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EB072" w14:textId="1A29680D" w:rsidR="009A0487" w:rsidRPr="002363C2" w:rsidRDefault="00C85FDB" w:rsidP="00C85FDB">
      <w:pPr>
        <w:pStyle w:val="Title"/>
      </w:pPr>
      <w:r>
        <w:t>Machine learning methods for classification of green infrastructure in city areas</w:t>
      </w:r>
    </w:p>
    <w:p w14:paraId="4F03CE3E" w14:textId="33D31BBB" w:rsidR="009A0487" w:rsidRPr="002363C2" w:rsidRDefault="00C85FDB">
      <w:pPr>
        <w:pStyle w:val="Authors"/>
      </w:pPr>
      <w:r>
        <w:t>Nikola Kranjčić</w:t>
      </w:r>
      <w:r w:rsidR="00574C91" w:rsidRPr="002363C2">
        <w:t xml:space="preserve"> </w:t>
      </w:r>
      <w:r w:rsidR="00574C91" w:rsidRPr="002363C2">
        <w:rPr>
          <w:vertAlign w:val="superscript"/>
        </w:rPr>
        <w:t>1</w:t>
      </w:r>
      <w:r w:rsidR="00574C91" w:rsidRPr="002363C2">
        <w:t>,</w:t>
      </w:r>
      <w:r>
        <w:t xml:space="preserve"> Damir Medak </w:t>
      </w:r>
      <w:r w:rsidR="00574C91" w:rsidRPr="002363C2">
        <w:rPr>
          <w:vertAlign w:val="superscript"/>
        </w:rPr>
        <w:t>2</w:t>
      </w:r>
      <w:r w:rsidR="00574C91" w:rsidRPr="002363C2">
        <w:t xml:space="preserve">, </w:t>
      </w:r>
      <w:r>
        <w:t>Robert Župan</w:t>
      </w:r>
      <w:r w:rsidR="00574C91" w:rsidRPr="002363C2">
        <w:t xml:space="preserve"> </w:t>
      </w:r>
      <w:r w:rsidR="00574C91" w:rsidRPr="002363C2">
        <w:rPr>
          <w:vertAlign w:val="superscript"/>
        </w:rPr>
        <w:t>3</w:t>
      </w:r>
      <w:r w:rsidR="00574C91" w:rsidRPr="002363C2">
        <w:t xml:space="preserve">, </w:t>
      </w:r>
      <w:r>
        <w:t xml:space="preserve">Milan Rezo </w:t>
      </w:r>
      <w:r>
        <w:rPr>
          <w:vertAlign w:val="superscript"/>
        </w:rPr>
        <w:t>1</w:t>
      </w:r>
      <w:r w:rsidR="00574C91" w:rsidRPr="002363C2">
        <w:t>…</w:t>
      </w:r>
    </w:p>
    <w:p w14:paraId="4FFBEB2C" w14:textId="77777777" w:rsidR="00C85FDB" w:rsidRPr="00C85FDB" w:rsidRDefault="00C85FDB" w:rsidP="00C85FDB">
      <w:pPr>
        <w:spacing w:line="300" w:lineRule="auto"/>
        <w:jc w:val="center"/>
        <w:rPr>
          <w:rFonts w:ascii="Times New Roman" w:hAnsi="Times New Roman"/>
          <w:bCs/>
          <w:color w:val="000000"/>
          <w:szCs w:val="22"/>
          <w:lang w:eastAsia="tr-TR"/>
        </w:rPr>
      </w:pPr>
      <w:r w:rsidRPr="00C85FDB">
        <w:rPr>
          <w:rFonts w:ascii="Times New Roman" w:hAnsi="Times New Roman"/>
          <w:bCs/>
          <w:color w:val="000000"/>
          <w:szCs w:val="22"/>
          <w:vertAlign w:val="superscript"/>
          <w:lang w:eastAsia="tr-TR"/>
        </w:rPr>
        <w:t>1</w:t>
      </w:r>
      <w:r w:rsidRPr="00C85FDB">
        <w:rPr>
          <w:rFonts w:ascii="Times New Roman" w:hAnsi="Times New Roman"/>
          <w:bCs/>
          <w:color w:val="000000"/>
          <w:szCs w:val="22"/>
          <w:lang w:eastAsia="tr-TR"/>
        </w:rPr>
        <w:t xml:space="preserve"> Faculty of Geotechnical Engineering, University of Zagreb, Hallerova aleja 7, 42000 Varaždin, Republic of Croatia</w:t>
      </w:r>
    </w:p>
    <w:p w14:paraId="0E79E356" w14:textId="77777777" w:rsidR="00C85FDB" w:rsidRPr="00C85FDB" w:rsidRDefault="00C85FDB" w:rsidP="00C85FDB">
      <w:pPr>
        <w:spacing w:line="300" w:lineRule="auto"/>
        <w:jc w:val="center"/>
        <w:rPr>
          <w:rFonts w:ascii="Times New Roman" w:hAnsi="Times New Roman"/>
          <w:bCs/>
          <w:color w:val="000000"/>
          <w:szCs w:val="22"/>
          <w:lang w:eastAsia="tr-TR"/>
        </w:rPr>
      </w:pPr>
      <w:r w:rsidRPr="00C85FDB">
        <w:rPr>
          <w:rFonts w:ascii="Times New Roman" w:hAnsi="Times New Roman"/>
          <w:bCs/>
          <w:color w:val="000000"/>
          <w:szCs w:val="22"/>
          <w:vertAlign w:val="superscript"/>
          <w:lang w:eastAsia="tr-TR"/>
        </w:rPr>
        <w:t xml:space="preserve">2 </w:t>
      </w:r>
      <w:r w:rsidRPr="00C85FDB">
        <w:rPr>
          <w:rFonts w:ascii="Times New Roman" w:hAnsi="Times New Roman"/>
          <w:bCs/>
          <w:color w:val="000000"/>
          <w:szCs w:val="22"/>
          <w:lang w:eastAsia="tr-TR"/>
        </w:rPr>
        <w:t>Faculty of Geodesy, University of Zagreb, Kačićeva 26, 10000 Zagreb, Republic of Croatia</w:t>
      </w:r>
    </w:p>
    <w:p w14:paraId="7151C100" w14:textId="77777777" w:rsidR="00006EA6" w:rsidRPr="00C85FDB" w:rsidRDefault="00006EA6">
      <w:pPr>
        <w:pStyle w:val="E-mail"/>
        <w:rPr>
          <w:noProof w:val="0"/>
          <w:lang w:val="en-GB"/>
        </w:rPr>
      </w:pPr>
    </w:p>
    <w:p w14:paraId="68660C6B" w14:textId="2B6B82F7" w:rsidR="009A0487" w:rsidRPr="002363C2" w:rsidRDefault="00CE5153">
      <w:pPr>
        <w:pStyle w:val="E-mail"/>
        <w:rPr>
          <w:noProof w:val="0"/>
          <w:lang w:val="en-GB"/>
        </w:rPr>
      </w:pPr>
      <w:hyperlink r:id="rId8" w:history="1">
        <w:r w:rsidR="00C85FDB" w:rsidRPr="00017D7E">
          <w:rPr>
            <w:rStyle w:val="Hyperlink"/>
            <w:noProof w:val="0"/>
            <w:lang w:val="en-GB"/>
          </w:rPr>
          <w:t>nkranjcic@gfv.hr</w:t>
        </w:r>
      </w:hyperlink>
      <w:r w:rsidR="00C85FDB">
        <w:rPr>
          <w:noProof w:val="0"/>
          <w:lang w:val="en-GB"/>
        </w:rPr>
        <w:t>; nikola.kranjcic@gmail.com</w:t>
      </w:r>
    </w:p>
    <w:p w14:paraId="2DF7429C" w14:textId="3ABCE3BE" w:rsidR="009A0487" w:rsidRPr="002363C2" w:rsidRDefault="009A0487">
      <w:pPr>
        <w:pStyle w:val="Abstract"/>
      </w:pPr>
      <w:r w:rsidRPr="002363C2">
        <w:rPr>
          <w:b/>
        </w:rPr>
        <w:t>Abstract</w:t>
      </w:r>
      <w:r w:rsidRPr="002363C2">
        <w:t xml:space="preserve">. </w:t>
      </w:r>
      <w:r w:rsidR="00C85FDB" w:rsidRPr="00C85FDB">
        <w:t>Reducing green urban infrastructure pose a huge threat to cities sustainability. It is important to monitor and track health of vegetation. For efficient planning of urban development and maintenance of green urban infrastructure key is to have up to date maps. Using satellite imagery is the easiest way to cover large city areas. In order to map vegetation, there are many possible solutions, however most effective way is using machine learning methods. Machine learning is divided into supervised and unsupervised classification and each can be divided into several different methods. Many authors have considered different methods and they use them to access accuracy on satellite image information extraction. They have used different satellite images and naturally higher resolution imagery results in better classification. However, there is still lack of comprehensive analysis of more supervised machine learning methods on similar cities. This paper aims to provide analysis of four different machine learning methods: support vector machine, artificial neural network, naïve Bayes and random forest. The objective of the support vector machine algorithm is to find a hyperplane in an N-dimensional space that distinctly classifies the data points where hyperplanes are decision boundaries that help classify the data points and support vectors data points that are closer to the hyperplane and influence the position and orientation of the hyperplane. Artificial neural network are brain-inspired systems which are intended to replicate the way that humans learn. Neural networks consist of input and output layers, and hidden layers. They are excellent tools for finding patterns which are far too complex or numerous for a human programmer to extract and teach the machine to recognize. A Naive Bayes classifier is a probabilistic machine learning model that’s used for classification task and the crux of the classifier is based on the Bayes theorem. Random Forest creates a forest and makes it random and is an ensemble of Decision Trees, most of the time trained with the bagging method which general idea is that a combination of learning models increases the overall result. All of the mentioned methods will be tested on Sentinel-2A imagery. Sentinel-2A multispectral imager has thirteen sensors which is useful in vegetation extraction. Methods will be compared using error matrix and kappa statistics.</w:t>
      </w:r>
    </w:p>
    <w:p w14:paraId="01C31711" w14:textId="77777777" w:rsidR="009A0487" w:rsidRPr="002363C2" w:rsidRDefault="004842D2">
      <w:pPr>
        <w:pStyle w:val="Section"/>
      </w:pPr>
      <w:r w:rsidRPr="002363C2">
        <w:t>Introduction</w:t>
      </w:r>
    </w:p>
    <w:p w14:paraId="2D110F0C" w14:textId="48397BC8" w:rsidR="00EF163B" w:rsidRDefault="00EF163B" w:rsidP="00976798">
      <w:pPr>
        <w:pStyle w:val="Bodytext"/>
        <w:spacing w:after="240"/>
        <w:rPr>
          <w:lang w:val="en-GB"/>
        </w:rPr>
      </w:pPr>
      <w:r>
        <w:rPr>
          <w:lang w:val="en-GB"/>
        </w:rPr>
        <w:t xml:space="preserve">Since more and more people are living in </w:t>
      </w:r>
      <w:r w:rsidR="0079382E">
        <w:rPr>
          <w:lang w:val="en-GB"/>
        </w:rPr>
        <w:t xml:space="preserve">cities it became extremely important to plan and manage green urban areas. Rapid urbanisation results in upgrade of interest in green urban areas and how can green space benefit cities and their residents </w:t>
      </w:r>
      <w:r w:rsidR="0079382E">
        <w:rPr>
          <w:lang w:val="en-GB"/>
        </w:rPr>
        <w:fldChar w:fldCharType="begin" w:fldLock="1"/>
      </w:r>
      <w:r w:rsidR="0079382E">
        <w:rPr>
          <w:lang w:val="en-GB"/>
        </w:rPr>
        <w:instrText>ADDIN CSL_CITATION {"citationItems":[{"id":"ITEM-1","itemData":{"DOI":"10.1080/02697450216356","ISSN":"02697459","abstract":"Following the arguments at the Rio Earth Summit in 1992, the Swedish legislation has been modified to pay special attention to sustainability, including the importance of green space in and around urban areas. The revised legislation stipulates that urban planning should promote a good state of living environment, biodiversity, efficient use of energy and other resources. According to the revised planning legislation, Swedish towns and cities are recommended to develop a green plan as an essential part of the mandatory structure plan. This plan is expected to identify urban green spaces and their value to the community in its efforts to attain sustainability and to preserve biodiversity. This paper attempts to answer the question whether green plans in Swedish cities take into consideration the multiple uses of green spaces in urban areas and considers their role in obtaining sustainable urban development. For this purpose, the criteria developed by the Swedish National Board of Housing, Building and Planning are used. With the help of these criteria, green plans from seven Swedish cities are evaluated. In addition to the Introduction, this paper consists of four sections. In the first section, the criteria used in the evaluation of the green plans are defined. In the following sections, the seven green plans are evaluated and the results of the evaluation are elaborated upon. The quantitative evaluation is presented in the Appendix. Finally, the role of urban green space is discussed in a broad planning perspective.","author":[{"dropping-particle":"","family":"Sandström","given":"Ulf G.","non-dropping-particle":"","parse-names":false,"suffix":""}],"container-title":"Planning Practice and Research","id":"ITEM-1","issue":"4","issued":{"date-parts":[["2002"]]},"page":"373-385","title":"Green infrastructure planning in urban Sweden","type":"article-journal","volume":"17"},"uris":["http://www.mendeley.com/documents/?uuid=ee9ca7e4-d47a-468c-aecf-41cf034f47f9"]}],"mendeley":{"formattedCitation":"[1]","plainTextFormattedCitation":"[1]","previouslyFormattedCitation":"[1]"},"properties":{"noteIndex":0},"schema":"https://github.com/citation-style-language/schema/raw/master/csl-citation.json"}</w:instrText>
      </w:r>
      <w:r w:rsidR="0079382E">
        <w:rPr>
          <w:lang w:val="en-GB"/>
        </w:rPr>
        <w:fldChar w:fldCharType="separate"/>
      </w:r>
      <w:r w:rsidR="0079382E" w:rsidRPr="0079382E">
        <w:rPr>
          <w:noProof/>
          <w:lang w:val="en-GB"/>
        </w:rPr>
        <w:t>[1]</w:t>
      </w:r>
      <w:r w:rsidR="0079382E">
        <w:rPr>
          <w:lang w:val="en-GB"/>
        </w:rPr>
        <w:fldChar w:fldCharType="end"/>
      </w:r>
      <w:r w:rsidR="0079382E">
        <w:rPr>
          <w:lang w:val="en-GB"/>
        </w:rPr>
        <w:t xml:space="preserve">. The importance of green urban areas in order to </w:t>
      </w:r>
      <w:r w:rsidR="0079382E">
        <w:rPr>
          <w:lang w:val="en-GB"/>
        </w:rPr>
        <w:lastRenderedPageBreak/>
        <w:t xml:space="preserve">improve quality of life has been discussed in </w:t>
      </w:r>
      <w:r w:rsidR="0079382E">
        <w:rPr>
          <w:lang w:val="en-GB"/>
        </w:rPr>
        <w:fldChar w:fldCharType="begin" w:fldLock="1"/>
      </w:r>
      <w:r w:rsidR="0079382E">
        <w:rPr>
          <w:lang w:val="en-GB"/>
        </w:rPr>
        <w:instrText>ADDIN CSL_CITATION {"citationItems":[{"id":"ITEM-1","itemData":{"DOI":"10.1023/a:1014354923367","ISBN":"1083-8155","ISSN":"1083-8155","PMID":"1284","abstract":"makes suggestions for veg in semiarid cities reviews work on designs of cities, incl. Frederick Law Olmsted in developed nations, 80% of people live in cities; in poorest nations, only 20% live in cities; by 2000, 50% of population of world will live in cities use LA as an example: characterisitics of a semi-arid city-- consdiering the environment, heat island effect, water and soil, and city's ecological functions cities are usually located in key environemtns- on rivers, ocean harbors; therfore, major cities tend to develop at locatiosn crucial for biological conservation... need to designate wilderness areas and rural nature preserves veg is the key to making cities pleasant urban park movement in 19th cetury Heat island effect Cities are warmer than surrounding areas, b/c of increased heat production (caused by burning fossil fuels and other idustrial/residential activieies) and b/c there is a decreased rate of heat loss (there is less water avaialbe at the surface for evaporative cooling). COncreate, asphalt, and roofs tend to act as solar collectors and quickly emit heat. jin U.S. , average observed increase in temp in urban areas is ~1-2oC in winter and .5-1.00C in summer helps ozone production Water and soil in urban environment cities may have higher local rainfall than their surounding b/c dust above a city provides praticles for condensation of raindrops. Some urban areas have 5-10% more precipietation and conserably more cloud covera nd gog than do surrounding areas California's cities use 15% of water used in state; much of water use goes to ag, esp. cotton, rice, alfalfa, and other crops goes through different ecotypes would expect to see in LA basin; rare and endangered plants; urban conservation corridors (incl. that greenways could provide structure to sprawl) Olmstead believed using \"greenswards\" or lawns, \"based on styles that had developed in the rainy climate of England, was inapproprtate for the Mountain States and California. The semi-arid American WEst called for devleopment of a new style of landscape design. cost of irrigation of large areas to secure good turf too expenseve, plus he would have rather emulated natural scenery and climate conditions urged use of veg that wouldn't require a lot of watering (14): \"Olmested proposed thtat irrigated lawns in the American West be thought of as communal possessions that served civic functions rather than as a normal part of private poerties that met onlyh the needs of individual land …","author":[{"dropping-particle":"","family":"Botkin","given":"D B","non-dropping-particle":"","parse-names":false,"suffix":""},{"dropping-particle":"","family":"Beveridge","given":"C E","non-dropping-particle":"","parse-names":false,"suffix":""}],"container-title":"Urban Ecosystems","id":"ITEM-1","issue":"1","issued":{"date-parts":[["1997"]]},"page":"3-19","title":"Cities as environments","type":"article-journal","volume":"1"},"uris":["http://www.mendeley.com/documents/?uuid=2b30f395-16f7-451a-8c5b-586d0fbc865b"]}],"mendeley":{"formattedCitation":"[2]","plainTextFormattedCitation":"[2]","previouslyFormattedCitation":"[2]"},"properties":{"noteIndex":0},"schema":"https://github.com/citation-style-language/schema/raw/master/csl-citation.json"}</w:instrText>
      </w:r>
      <w:r w:rsidR="0079382E">
        <w:rPr>
          <w:lang w:val="en-GB"/>
        </w:rPr>
        <w:fldChar w:fldCharType="separate"/>
      </w:r>
      <w:r w:rsidR="0079382E" w:rsidRPr="0079382E">
        <w:rPr>
          <w:noProof/>
          <w:lang w:val="en-GB"/>
        </w:rPr>
        <w:t>[2]</w:t>
      </w:r>
      <w:r w:rsidR="0079382E">
        <w:rPr>
          <w:lang w:val="en-GB"/>
        </w:rPr>
        <w:fldChar w:fldCharType="end"/>
      </w:r>
      <w:r w:rsidR="0079382E">
        <w:rPr>
          <w:lang w:val="en-GB"/>
        </w:rPr>
        <w:t xml:space="preserve"> and </w:t>
      </w:r>
      <w:r w:rsidR="0079382E">
        <w:rPr>
          <w:lang w:val="en-GB"/>
        </w:rPr>
        <w:fldChar w:fldCharType="begin" w:fldLock="1"/>
      </w:r>
      <w:r w:rsidR="00493BB6">
        <w:rPr>
          <w:lang w:val="en-GB"/>
        </w:rPr>
        <w:instrText>ADDIN CSL_CITATION {"citationItems":[{"id":"ITEM-1","itemData":{"author":[{"dropping-particle":"","family":"Gómez","given":"F.","non-dropping-particle":"","parse-names":false,"suffix":""},{"dropping-particle":"","family":"Tamarit","given":"N","non-dropping-particle":"","parse-names":false,"suffix":""},{"dropping-particle":"","family":"Jabaloyes","given":"J","non-dropping-particle":"","parse-names":false,"suffix":""}],"container-title":"Landscape and Urban Planning","id":"ITEM-1","issued":{"date-parts":[["2001"]]},"page":"151-161","title":"Green Zones in Urban Planning.Pdf","type":"article-journal","volume":"55"},"uris":["http://www.mendeley.com/documents/?uuid=c5bf8cc8-1fe2-4cd1-a523-f73fa7a2dcf1"]}],"mendeley":{"formattedCitation":"[3]","plainTextFormattedCitation":"[3]","previouslyFormattedCitation":"[3]"},"properties":{"noteIndex":0},"schema":"https://github.com/citation-style-language/schema/raw/master/csl-citation.json"}</w:instrText>
      </w:r>
      <w:r w:rsidR="0079382E">
        <w:rPr>
          <w:lang w:val="en-GB"/>
        </w:rPr>
        <w:fldChar w:fldCharType="separate"/>
      </w:r>
      <w:r w:rsidR="0079382E" w:rsidRPr="0079382E">
        <w:rPr>
          <w:noProof/>
          <w:lang w:val="en-GB"/>
        </w:rPr>
        <w:t>[3]</w:t>
      </w:r>
      <w:r w:rsidR="0079382E">
        <w:rPr>
          <w:lang w:val="en-GB"/>
        </w:rPr>
        <w:fldChar w:fldCharType="end"/>
      </w:r>
      <w:r w:rsidR="0079382E">
        <w:rPr>
          <w:lang w:val="en-GB"/>
        </w:rPr>
        <w:t xml:space="preserve"> discussed appropriate sizes of green areas in order to improve local climatic conditions. </w:t>
      </w:r>
      <w:r w:rsidR="00493BB6">
        <w:rPr>
          <w:lang w:val="en-GB"/>
        </w:rPr>
        <w:t xml:space="preserve">How combination of trees can optimize thermal comfort in extreme summer conditions has been discussed in </w:t>
      </w:r>
      <w:r w:rsidR="00493BB6">
        <w:rPr>
          <w:lang w:val="en-GB"/>
        </w:rPr>
        <w:fldChar w:fldCharType="begin" w:fldLock="1"/>
      </w:r>
      <w:r w:rsidR="00493BB6">
        <w:rPr>
          <w:lang w:val="en-GB"/>
        </w:rPr>
        <w:instrText>ADDIN CSL_CITATION {"citationItems":[{"id":"ITEM-1","itemData":{"DOI":"10.3390/su10114192","ISSN":"20711050","abstract":"Along with global climate change and the worldwide heat island phenomenon, developing climatic methods and planning practices for the benefit of thermal comfort is of increasing interest. Studies have focused on urban streets, studying the aspect ratio, the orientation, street vegetation patterns, etc. and how they affect thermal comfort. While the role of vegetation is undeniable, this paper asks the question whether the effects of a tree configuration does not vary under different street configurations, and if yes, how to select tree species and determine their appropriate layout. Here, an analytical framework is proposed to test the different tree configurations (changing one variable at a time) with the least favorable street configuration. It is confirmed that the east–west oriented streets are the least favorable cases and denser tree canopies are better for cooling. The interval between the trees are observed to have an optimal effect when it is equal to the crown width at maturity. Furthermore, the results show that the heat mitigation rate of a tree configuration is not linearly improved by the Aspect Ratio (AR). In the case of Shantou city, the improvement of thermal comfort slows down when the AR reaches 1.5 while Mangifera indica planted with 10 m intervals is recommended among the common street-tree species. Other species could be used also, but should meet the requirements of the canopy density and the interval of layout. The paper does not consider other configuration options such as asymmetrical cases of street geometry and one-side or axial tree planting, etc., but the framework allows for adding such options and simulating thermal comfort for a greater number of scenarios.","author":[{"dropping-particle":"","family":"Zheng","given":"Bohong","non-dropping-particle":"","parse-names":false,"suffix":""},{"dropping-particle":"","family":"Bedra","given":"Komi Bernard","non-dropping-particle":"","parse-names":false,"suffix":""},{"dropping-particle":"","family":"Zheng","given":"Jian","non-dropping-particle":"","parse-names":false,"suffix":""},{"dropping-particle":"","family":"Wang","given":"Guoguang","non-dropping-particle":"","parse-names":false,"suffix":""}],"container-title":"Sustainability","id":"ITEM-1","issue":"11","issued":{"date-parts":[["2018"]]},"title":"Combination of tree configuration with street configuration for thermal comfort optimization under extreme summer conditions in the urban center of Shantou City, China","type":"article-journal","volume":"10"},"uris":["http://www.mendeley.com/documents/?uuid=693c31eb-ff37-43d7-9195-ca470239ba8c"]}],"mendeley":{"formattedCitation":"[4]","plainTextFormattedCitation":"[4]","previouslyFormattedCitation":"[4]"},"properties":{"noteIndex":0},"schema":"https://github.com/citation-style-language/schema/raw/master/csl-citation.json"}</w:instrText>
      </w:r>
      <w:r w:rsidR="00493BB6">
        <w:rPr>
          <w:lang w:val="en-GB"/>
        </w:rPr>
        <w:fldChar w:fldCharType="separate"/>
      </w:r>
      <w:r w:rsidR="00493BB6" w:rsidRPr="00493BB6">
        <w:rPr>
          <w:noProof/>
          <w:lang w:val="en-GB"/>
        </w:rPr>
        <w:t>[4]</w:t>
      </w:r>
      <w:r w:rsidR="00493BB6">
        <w:rPr>
          <w:lang w:val="en-GB"/>
        </w:rPr>
        <w:fldChar w:fldCharType="end"/>
      </w:r>
      <w:r w:rsidR="00493BB6">
        <w:rPr>
          <w:lang w:val="en-GB"/>
        </w:rPr>
        <w:t xml:space="preserve"> and authors concluded that urban planning of green areas is important in improving quality of life of cities residents. Green infrastructure has been widely explored and investigated in order to improve or even gain sustainability. </w:t>
      </w:r>
      <w:r w:rsidR="00493BB6">
        <w:rPr>
          <w:lang w:val="en-GB"/>
        </w:rPr>
        <w:fldChar w:fldCharType="begin" w:fldLock="1"/>
      </w:r>
      <w:r w:rsidR="00F31C7A">
        <w:rPr>
          <w:lang w:val="en-GB"/>
        </w:rPr>
        <w:instrText>ADDIN CSL_CITATION {"citationItems":[{"id":"ITEM-1","itemData":{"DOI":"10.1680/ensu.2009.162.1.23","ISSN":"1478-4629","abstract":"In 2000, a UK government white paper promoted the prospect of an urban renaissance in the UK to be developed through a series of urban renewal initiatives to create better places for living, working and recreation. Eight years on, there continues to be a policy drive promoting better quality environments through integrative design, social inclusion and public participation. However, whether urban renewal can succeed without a progressive integration of multi-functional green spaces into the urban matrix is still uncertain. This paper proposes that green infrastructure can play a pivotal role in urban renaissance by providing a complementary green matrix of spaces that offer multi-level benefits for human populations. Green infrastructure can also be viewed as simultaneously providing natural resource sinks to assist urban climate control, water management and provide important green networks in an increasingly urbanised Britain. Due to the potential of green infrastructure t o be 'retrofitted' into most environments, this paper argues that green infrastructures can be delivered across diverse urban environments in the UK to promote sustainable communities and landscape management. Overall, this paper will address how green infrastructure can be planned within urban environments to promote increased human integration, ecological sustainability and economic regeneration. Finally, it is suggested that the broader implications for climate control and economic regeneration delivered by green infrastructure integration will, in the long term, provide a base for a continued urban renaissance.","author":[{"dropping-particle":"","family":"Mell","given":"I. C.","non-dropping-particle":"","parse-names":false,"suffix":""}],"container-title":"Engineering Sustainability","id":"ITEM-1","issue":"1","issued":{"date-parts":[["2009"]]},"page":"23-34","title":"Can green infrastructure promote urban sustainability?","type":"article-journal","volume":"162"},"uris":["http://www.mendeley.com/documents/?uuid=8580ed33-5583-454f-82b9-1478489cfb98"]}],"mendeley":{"formattedCitation":"[5]","plainTextFormattedCitation":"[5]","previouslyFormattedCitation":"[5]"},"properties":{"noteIndex":0},"schema":"https://github.com/citation-style-language/schema/raw/master/csl-citation.json"}</w:instrText>
      </w:r>
      <w:r w:rsidR="00493BB6">
        <w:rPr>
          <w:lang w:val="en-GB"/>
        </w:rPr>
        <w:fldChar w:fldCharType="separate"/>
      </w:r>
      <w:r w:rsidR="00493BB6" w:rsidRPr="00493BB6">
        <w:rPr>
          <w:noProof/>
          <w:lang w:val="en-GB"/>
        </w:rPr>
        <w:t>[5]</w:t>
      </w:r>
      <w:r w:rsidR="00493BB6">
        <w:rPr>
          <w:lang w:val="en-GB"/>
        </w:rPr>
        <w:fldChar w:fldCharType="end"/>
      </w:r>
      <w:r w:rsidR="00493BB6">
        <w:rPr>
          <w:lang w:val="en-GB"/>
        </w:rPr>
        <w:t xml:space="preserve"> discussed how </w:t>
      </w:r>
      <w:r w:rsidR="00D54537">
        <w:rPr>
          <w:lang w:val="en-GB"/>
        </w:rPr>
        <w:t xml:space="preserve">sustainability </w:t>
      </w:r>
      <w:r w:rsidR="00493BB6">
        <w:rPr>
          <w:lang w:val="en-GB"/>
        </w:rPr>
        <w:t xml:space="preserve">could </w:t>
      </w:r>
      <w:r w:rsidR="00D54537">
        <w:rPr>
          <w:lang w:val="en-GB"/>
        </w:rPr>
        <w:t xml:space="preserve">be achieved with smart </w:t>
      </w:r>
      <w:r w:rsidR="00493BB6">
        <w:rPr>
          <w:lang w:val="en-GB"/>
        </w:rPr>
        <w:t xml:space="preserve">green urban planning </w:t>
      </w:r>
      <w:r w:rsidR="00D54537">
        <w:rPr>
          <w:lang w:val="en-GB"/>
        </w:rPr>
        <w:t xml:space="preserve">and pointed out that green infrastructure plans are developed at different planning scales. As seen from this short introduction many authors have considered the issue of green urban infrastructure planning and they all came to the similar conclusion that it is important to have quality green urban spaces in cities. </w:t>
      </w:r>
      <w:r w:rsidR="00F31C7A">
        <w:rPr>
          <w:lang w:val="en-GB"/>
        </w:rPr>
        <w:t xml:space="preserve">In order to successfully plan the development it is necessary to have good and up to date maps. </w:t>
      </w:r>
      <w:r w:rsidR="00F31C7A">
        <w:rPr>
          <w:lang w:val="en-GB"/>
        </w:rPr>
        <w:fldChar w:fldCharType="begin" w:fldLock="1"/>
      </w:r>
      <w:r w:rsidR="00E25109">
        <w:rPr>
          <w:lang w:val="en-GB"/>
        </w:rPr>
        <w:instrText>ADDIN CSL_CITATION {"citationItems":[{"id":"ITEM-1","itemData":{"DOI":"10.3390/land7010017","ISSN":"2073-445X","abstract":"Common approaches to mapping green infrastructure in urbanised landscapes invariably focus on measures of land use or land cover and associated functional or physical traits. However, such one-dimensional perspectives do not accurately capture the character and complexity of the landscapes in which urban inhabitants live. The new approach presented in this paper demonstrates how open-source, high spatial and temporal resolution data with global coverage can be used to measure and represent the landscape qualities of urban environments. Through going beyond simple metrics of quantity, such as percentage green and blue cover, it is now possible to explore the extent to which landscape quality helps to unpick the mixed evidence presented in the literature on the benefits of urban nature to human well-being. Here we present a landscape approach, employing remote sensing, GIS and data reduction techniques to map urban green infrastructure elements in a large U.K. city region. Comparison with existing urban datasets demonstrates considerable improvement in terms of coverage and thematic detail. The characterisation of landscapes, using census tracts as spatial units, and subsequent exploration of associations with social–ecological attributes highlights the further detail that can be uncovered by the approach. For example, eight urban landscape types identified for the case study city exhibited associations with distinct socioeconomic conditions accountable not only to quantities but also qualities of green and blue space. The identification of individual landscape features through simultaneous measures of land use and land cover demonstrated unique and significant associations between the former and indicators of human health and ecological condition. The approach may therefore provide a promising basis for developing further insight into processes and characteristics that affect human health and well-being in urban areas, both in the United Kingdom and beyond.","author":[{"dropping-particle":"","family":"Dennis","given":"Matthew","non-dropping-particle":"","parse-names":false,"suffix":""},{"dropping-particle":"","family":"Barlow","given":"David","non-dropping-particle":"","parse-names":false,"suffix":""},{"dropping-particle":"","family":"Cavan","given":"Gina","non-dropping-particle":"","parse-names":false,"suffix":""},{"dropping-particle":"","family":"Cook","given":"Penny","non-dropping-particle":"","parse-names":false,"suffix":""},{"dropping-particle":"","family":"Gilchrist","given":"Anna","non-dropping-particle":"","parse-names":false,"suffix":""},{"dropping-particle":"","family":"Handley","given":"John","non-dropping-particle":"","parse-names":false,"suffix":""},{"dropping-particle":"","family":"James","given":"Philip","non-dropping-particle":"","parse-names":false,"suffix":""},{"dropping-particle":"","family":"Thompson","given":"Jessica","non-dropping-particle":"","parse-names":false,"suffix":""},{"dropping-particle":"","family":"Tzoulas","given":"Konstantinos","non-dropping-particle":"","parse-names":false,"suffix":""},{"dropping-particle":"","family":"Wheater","given":"C. Philip","non-dropping-particle":"","parse-names":false,"suffix":""},{"dropping-particle":"","family":"Lindley","given":"Sarah","non-dropping-particle":"","parse-names":false,"suffix":""}],"container-title":"Land","id":"ITEM-1","issue":"1","issued":{"date-parts":[["2018"]]},"page":"17","title":"Mapping Urban Green Infrastructure: A Novel Landscape-Based Approach to Incorporating Land Use and Land Cover in the Mapping of Human-Dominated Systems","type":"article-journal","volume":"7"},"uris":["http://www.mendeley.com/documents/?uuid=5f825b9a-248f-4fa8-91a0-1fc29d369cba"]}],"mendeley":{"formattedCitation":"[6]","plainTextFormattedCitation":"[6]","previouslyFormattedCitation":"[6]"},"properties":{"noteIndex":0},"schema":"https://github.com/citation-style-language/schema/raw/master/csl-citation.json"}</w:instrText>
      </w:r>
      <w:r w:rsidR="00F31C7A">
        <w:rPr>
          <w:lang w:val="en-GB"/>
        </w:rPr>
        <w:fldChar w:fldCharType="separate"/>
      </w:r>
      <w:r w:rsidR="00F31C7A" w:rsidRPr="00F31C7A">
        <w:rPr>
          <w:noProof/>
          <w:lang w:val="en-GB"/>
        </w:rPr>
        <w:t>[6]</w:t>
      </w:r>
      <w:r w:rsidR="00F31C7A">
        <w:rPr>
          <w:lang w:val="en-GB"/>
        </w:rPr>
        <w:fldChar w:fldCharType="end"/>
      </w:r>
      <w:r w:rsidR="00F31C7A">
        <w:rPr>
          <w:lang w:val="en-GB"/>
        </w:rPr>
        <w:t xml:space="preserve"> found that is difficult to describe landscapes using traditional land use and land cover classification techniques but with the use of multispectral imagery mapping could be improved. </w:t>
      </w:r>
    </w:p>
    <w:p w14:paraId="60EFE7DF" w14:textId="41BEE7CA" w:rsidR="00F31C7A" w:rsidRDefault="004515B0" w:rsidP="00F31C7A">
      <w:pPr>
        <w:pStyle w:val="BodytextIndented"/>
        <w:rPr>
          <w:lang w:val="en-GB"/>
        </w:rPr>
      </w:pPr>
      <w:r>
        <w:rPr>
          <w:lang w:val="en-GB"/>
        </w:rPr>
        <w:t xml:space="preserve">There has been many attempts and published papers which considers different techniques in order to extract information from satellite imagery especially using different machine learning methods. However there has not been full comprehensive analysis of available machine learning methods on one or two locations. In this paper four machine learning methods will be examined as it follows: support vector machines, artificial neural networks, naïve Bayes and random forest. </w:t>
      </w:r>
      <w:r w:rsidR="001B2C00">
        <w:rPr>
          <w:lang w:val="en-GB"/>
        </w:rPr>
        <w:t xml:space="preserve">This paper is the follow-up of paper published by </w:t>
      </w:r>
      <w:r w:rsidR="001B2C00">
        <w:rPr>
          <w:lang w:val="en-GB"/>
        </w:rPr>
        <w:fldChar w:fldCharType="begin" w:fldLock="1"/>
      </w:r>
      <w:r w:rsidR="00162650">
        <w:rPr>
          <w:lang w:val="en-GB"/>
        </w:rPr>
        <w:instrText>ADDIN CSL_CITATION {"citationItems":[{"id":"ITEM-1","itemData":{"DOI":"10.3390/rs11060655","abstract":"The most commonly used model for analyzing satellite imagery is the Support Vector Machine (SVM). Since there are a large number of possible variables for use in SVM, this paper will provide a combination of parameters that fit best for extracting green urban areas from Copernicus mission satellite images. This paper aims to provide a combination of parameters to extract green urban areas with the highest degree of accuracy, in order to speed up urban planning and ultimately improve town environments. Two different towns in Croatia were investigated, and the results provide an optimal combination of parameters for green urban areas extraction with an overall kappa index of 0.87 and 0.89, which demonstrates a very high classification accuracy.","author":[{"dropping-particle":"","family":"Kranjčić","given":"Nikola","non-dropping-particle":"","parse-names":false,"suffix":""},{"dropping-particle":"","family":"Medak","given":"Damir","non-dropping-particle":"","parse-names":false,"suffix":""},{"dropping-particle":"","family":"Župan","given":"Robert","non-dropping-particle":"","parse-names":false,"suffix":""},{"dropping-particle":"","family":"Rezo","given":"Milan","non-dropping-particle":"","parse-names":false,"suffix":""}],"container-title":"Remote Sensing","id":"ITEM-1","issue":"6","issued":{"date-parts":[["2019"]]},"page":"655","title":"Support Vector Machine Accuracy Assessment for Extracting Green Urban Areas in Towns","type":"article-journal","volume":"11"},"uris":["http://www.mendeley.com/documents/?uuid=4cc131d0-0982-4860-86be-139128f41a4f"]}],"mendeley":{"formattedCitation":"[7]","plainTextFormattedCitation":"[7]","previouslyFormattedCitation":"[7]"},"properties":{"noteIndex":0},"schema":"https://github.com/citation-style-language/schema/raw/master/csl-citation.json"}</w:instrText>
      </w:r>
      <w:r w:rsidR="001B2C00">
        <w:rPr>
          <w:lang w:val="en-GB"/>
        </w:rPr>
        <w:fldChar w:fldCharType="separate"/>
      </w:r>
      <w:r w:rsidR="001B2C00" w:rsidRPr="001B2C00">
        <w:rPr>
          <w:noProof/>
          <w:lang w:val="en-GB"/>
        </w:rPr>
        <w:t>[7]</w:t>
      </w:r>
      <w:r w:rsidR="001B2C00">
        <w:rPr>
          <w:lang w:val="en-GB"/>
        </w:rPr>
        <w:fldChar w:fldCharType="end"/>
      </w:r>
      <w:r w:rsidR="001B2C00">
        <w:rPr>
          <w:lang w:val="en-GB"/>
        </w:rPr>
        <w:t xml:space="preserve">. </w:t>
      </w:r>
      <w:r>
        <w:rPr>
          <w:lang w:val="en-GB"/>
        </w:rPr>
        <w:t xml:space="preserve">Due to page limitations only introduction to each method will be presented. </w:t>
      </w:r>
    </w:p>
    <w:p w14:paraId="36EA238F" w14:textId="4F62E41D" w:rsidR="00EF49F1" w:rsidRDefault="00EF49F1" w:rsidP="00F31C7A">
      <w:pPr>
        <w:pStyle w:val="BodytextIndented"/>
        <w:rPr>
          <w:lang w:val="en-GB"/>
        </w:rPr>
      </w:pPr>
    </w:p>
    <w:p w14:paraId="1FD60B19" w14:textId="550DD2C0" w:rsidR="00EF49F1" w:rsidRDefault="00EF49F1" w:rsidP="00F31C7A">
      <w:pPr>
        <w:pStyle w:val="BodytextIndented"/>
        <w:rPr>
          <w:lang w:val="en-GB"/>
        </w:rPr>
      </w:pPr>
      <w:r>
        <w:rPr>
          <w:lang w:val="en-GB"/>
        </w:rPr>
        <w:t>Proposed methods will be tested on two cities in Croatia, Varaždin and Osijek.</w:t>
      </w:r>
    </w:p>
    <w:p w14:paraId="262139A1" w14:textId="63ACA5BC" w:rsidR="004515B0" w:rsidRDefault="004515B0" w:rsidP="00F31C7A">
      <w:pPr>
        <w:pStyle w:val="BodytextIndented"/>
        <w:rPr>
          <w:lang w:val="en-GB"/>
        </w:rPr>
      </w:pPr>
    </w:p>
    <w:p w14:paraId="3BD5917A" w14:textId="01F71A48" w:rsidR="009A0487" w:rsidRDefault="00E25109" w:rsidP="009B7AF6">
      <w:pPr>
        <w:pStyle w:val="Section"/>
      </w:pPr>
      <w:r>
        <w:t>Machine learning methods</w:t>
      </w:r>
    </w:p>
    <w:p w14:paraId="7FB7ECA2" w14:textId="75934609" w:rsidR="00E25109" w:rsidRDefault="00E25109" w:rsidP="00E25109">
      <w:pPr>
        <w:pStyle w:val="Subsection"/>
        <w:rPr>
          <w:i/>
          <w:iCs w:val="0"/>
        </w:rPr>
      </w:pPr>
      <w:r w:rsidRPr="00E25109">
        <w:rPr>
          <w:i/>
          <w:iCs w:val="0"/>
        </w:rPr>
        <w:t>Support Vector Machine</w:t>
      </w:r>
    </w:p>
    <w:p w14:paraId="2DF2BDCF" w14:textId="6DCDEEAD" w:rsidR="00E25109" w:rsidRDefault="00E25109" w:rsidP="00E25109">
      <w:pPr>
        <w:pStyle w:val="Bodytext"/>
        <w:rPr>
          <w:lang w:val="en-GB"/>
        </w:rPr>
      </w:pPr>
      <w:r>
        <w:rPr>
          <w:lang w:val="en-GB"/>
        </w:rPr>
        <w:t xml:space="preserve">Support Vector Machines were presented by </w:t>
      </w:r>
      <w:r>
        <w:rPr>
          <w:lang w:val="en-GB"/>
        </w:rPr>
        <w:fldChar w:fldCharType="begin" w:fldLock="1"/>
      </w:r>
      <w:r w:rsidR="00162650">
        <w:rPr>
          <w:lang w:val="en-GB"/>
        </w:rPr>
        <w:instrText>ADDIN CSL_CITATION {"citationItems":[{"id":"ITEM-1","itemData":{"ISBN":"0387987800","author":[{"dropping-particle":"","family":"Vapnik","given":"Vladimir N.","non-dropping-particle":"","parse-names":false,"suffix":""}],"container-title":"Springer","id":"ITEM-1","issued":{"date-parts":[["1995"]]},"title":"The Nature of Statistical Learning Theory","type":"book"},"uris":["http://www.mendeley.com/documents/?uuid=4fc1bee2-503c-440a-9a1f-d2a24bd8b6b3"]}],"mendeley":{"formattedCitation":"[8]","plainTextFormattedCitation":"[8]","previouslyFormattedCitation":"[8]"},"properties":{"noteIndex":0},"schema":"https://github.com/citation-style-language/schema/raw/master/csl-citation.json"}</w:instrText>
      </w:r>
      <w:r>
        <w:rPr>
          <w:lang w:val="en-GB"/>
        </w:rPr>
        <w:fldChar w:fldCharType="separate"/>
      </w:r>
      <w:r w:rsidR="001B2C00" w:rsidRPr="001B2C00">
        <w:rPr>
          <w:noProof/>
          <w:lang w:val="en-GB"/>
        </w:rPr>
        <w:t>[8]</w:t>
      </w:r>
      <w:r>
        <w:rPr>
          <w:lang w:val="en-GB"/>
        </w:rPr>
        <w:fldChar w:fldCharType="end"/>
      </w:r>
      <w:r>
        <w:rPr>
          <w:lang w:val="en-GB"/>
        </w:rPr>
        <w:t xml:space="preserve"> and since that day it has been widely explored. </w:t>
      </w:r>
      <w:r w:rsidR="00483969">
        <w:rPr>
          <w:lang w:val="en-GB"/>
        </w:rPr>
        <w:fldChar w:fldCharType="begin" w:fldLock="1"/>
      </w:r>
      <w:r w:rsidR="00162650">
        <w:rPr>
          <w:lang w:val="en-GB"/>
        </w:rPr>
        <w:instrText>ADDIN CSL_CITATION {"citationItems":[{"id":"ITEM-1","itemData":{"DOI":"10.3390/rs11060655","abstract":"The most commonly used model for analyzing satellite imagery is the Support Vector Machine (SVM). Since there are a large number of possible variables for use in SVM, this paper will provide a combination of parameters that fit best for extracting green urban areas from Copernicus mission satellite images. This paper aims to provide a combination of parameters to extract green urban areas with the highest degree of accuracy, in order to speed up urban planning and ultimately improve town environments. Two different towns in Croatia were investigated, and the results provide an optimal combination of parameters for green urban areas extraction with an overall kappa index of 0.87 and 0.89, which demonstrates a very high classification accuracy.","author":[{"dropping-particle":"","family":"Kranjčić","given":"Nikola","non-dropping-particle":"","parse-names":false,"suffix":""},{"dropping-particle":"","family":"Medak","given":"Damir","non-dropping-particle":"","parse-names":false,"suffix":""},{"dropping-particle":"","family":"Župan","given":"Robert","non-dropping-particle":"","parse-names":false,"suffix":""},{"dropping-particle":"","family":"Rezo","given":"Milan","non-dropping-particle":"","parse-names":false,"suffix":""}],"container-title":"Remote Sensing","id":"ITEM-1","issue":"6","issued":{"date-parts":[["2019"]]},"page":"655","title":"Support Vector Machine Accuracy Assessment for Extracting Green Urban Areas in Towns","type":"article-journal","volume":"11"},"uris":["http://www.mendeley.com/documents/?uuid=4cc131d0-0982-4860-86be-139128f41a4f"]}],"mendeley":{"formattedCitation":"[7]","plainTextFormattedCitation":"[7]","previouslyFormattedCitation":"[7]"},"properties":{"noteIndex":0},"schema":"https://github.com/citation-style-language/schema/raw/master/csl-citation.json"}</w:instrText>
      </w:r>
      <w:r w:rsidR="00483969">
        <w:rPr>
          <w:lang w:val="en-GB"/>
        </w:rPr>
        <w:fldChar w:fldCharType="separate"/>
      </w:r>
      <w:r w:rsidR="001B2C00" w:rsidRPr="001B2C00">
        <w:rPr>
          <w:noProof/>
          <w:lang w:val="en-GB"/>
        </w:rPr>
        <w:t>[7]</w:t>
      </w:r>
      <w:r w:rsidR="00483969">
        <w:rPr>
          <w:lang w:val="en-GB"/>
        </w:rPr>
        <w:fldChar w:fldCharType="end"/>
      </w:r>
      <w:r w:rsidR="00483969">
        <w:rPr>
          <w:lang w:val="en-GB"/>
        </w:rPr>
        <w:t xml:space="preserve"> have showed in their work that with the right combination of parameters and kernels classification can achieve high accuracy. Their optimal parameters are shown in</w:t>
      </w:r>
      <w:r w:rsidR="003567E4">
        <w:rPr>
          <w:lang w:val="en-GB"/>
        </w:rPr>
        <w:t xml:space="preserve"> table 1</w:t>
      </w:r>
      <w:r w:rsidR="004A2481">
        <w:rPr>
          <w:lang w:val="en-GB"/>
        </w:rPr>
        <w:t xml:space="preserve"> with the use of Radial Basis Function kernel (RBF). </w:t>
      </w:r>
    </w:p>
    <w:p w14:paraId="7E708455" w14:textId="748EC054" w:rsidR="003567E4" w:rsidRDefault="003567E4" w:rsidP="003567E4">
      <w:pPr>
        <w:pStyle w:val="BodytextIndented"/>
        <w:rPr>
          <w:lang w:val="en-GB"/>
        </w:rPr>
      </w:pPr>
    </w:p>
    <w:p w14:paraId="680B1CE6" w14:textId="009A2037" w:rsidR="003567E4" w:rsidRPr="002363C2" w:rsidRDefault="003567E4" w:rsidP="003567E4">
      <w:pPr>
        <w:pStyle w:val="TableCaptionCentred"/>
        <w:ind w:left="28"/>
        <w:rPr>
          <w:rFonts w:ascii="Times New Roman" w:hAnsi="Times New Roman"/>
        </w:rPr>
      </w:pPr>
      <w:r w:rsidRPr="002363C2">
        <w:rPr>
          <w:rFonts w:ascii="Times New Roman" w:hAnsi="Times New Roman"/>
          <w:b/>
        </w:rPr>
        <w:t>Table 1.</w:t>
      </w:r>
      <w:r w:rsidRPr="002363C2">
        <w:rPr>
          <w:rFonts w:ascii="Times New Roman" w:hAnsi="Times New Roman"/>
        </w:rPr>
        <w:t xml:space="preserve"> </w:t>
      </w:r>
      <w:r>
        <w:rPr>
          <w:rFonts w:ascii="Times New Roman" w:hAnsi="Times New Roman"/>
        </w:rPr>
        <w:t xml:space="preserve">Combination of </w:t>
      </w:r>
      <w:r w:rsidR="00A65DB6">
        <w:rPr>
          <w:rFonts w:ascii="Times New Roman" w:hAnsi="Times New Roman"/>
        </w:rPr>
        <w:t xml:space="preserve">SVM </w:t>
      </w:r>
      <w:r>
        <w:rPr>
          <w:rFonts w:ascii="Times New Roman" w:hAnsi="Times New Roman"/>
        </w:rPr>
        <w:t>parameters to achieve high classification accuracy</w:t>
      </w:r>
    </w:p>
    <w:tbl>
      <w:tblPr>
        <w:tblW w:w="5642" w:type="dxa"/>
        <w:jc w:val="center"/>
        <w:tblLayout w:type="fixed"/>
        <w:tblCellMar>
          <w:left w:w="0" w:type="dxa"/>
          <w:right w:w="0" w:type="dxa"/>
        </w:tblCellMar>
        <w:tblLook w:val="0000" w:firstRow="0" w:lastRow="0" w:firstColumn="0" w:lastColumn="0" w:noHBand="0" w:noVBand="0"/>
      </w:tblPr>
      <w:tblGrid>
        <w:gridCol w:w="980"/>
        <w:gridCol w:w="1090"/>
        <w:gridCol w:w="612"/>
        <w:gridCol w:w="1480"/>
        <w:gridCol w:w="1480"/>
      </w:tblGrid>
      <w:tr w:rsidR="003567E4" w:rsidRPr="002363C2" w14:paraId="047FCB05" w14:textId="2822B9AB" w:rsidTr="003567E4">
        <w:trPr>
          <w:trHeight w:val="511"/>
          <w:jc w:val="center"/>
        </w:trPr>
        <w:tc>
          <w:tcPr>
            <w:tcW w:w="980" w:type="dxa"/>
            <w:tcBorders>
              <w:top w:val="single" w:sz="6" w:space="0" w:color="auto"/>
              <w:bottom w:val="single" w:sz="4" w:space="0" w:color="auto"/>
            </w:tcBorders>
            <w:noWrap/>
            <w:vAlign w:val="center"/>
          </w:tcPr>
          <w:p w14:paraId="0D608E68" w14:textId="2362588F" w:rsidR="003567E4" w:rsidRPr="002363C2" w:rsidRDefault="003567E4" w:rsidP="003567E4">
            <w:pPr>
              <w:ind w:left="28"/>
              <w:jc w:val="center"/>
              <w:rPr>
                <w:rFonts w:ascii="Times New Roman" w:hAnsi="Times New Roman"/>
                <w:bCs/>
                <w:sz w:val="20"/>
                <w:u w:val="single"/>
              </w:rPr>
            </w:pPr>
            <w:r>
              <w:rPr>
                <w:rFonts w:ascii="Times New Roman" w:hAnsi="Times New Roman"/>
                <w:bCs/>
                <w:sz w:val="20"/>
                <w:u w:val="single"/>
              </w:rPr>
              <w:t>City</w:t>
            </w:r>
          </w:p>
        </w:tc>
        <w:tc>
          <w:tcPr>
            <w:tcW w:w="1090" w:type="dxa"/>
            <w:tcBorders>
              <w:top w:val="single" w:sz="6" w:space="0" w:color="auto"/>
              <w:bottom w:val="single" w:sz="4" w:space="0" w:color="auto"/>
            </w:tcBorders>
            <w:noWrap/>
            <w:vAlign w:val="center"/>
          </w:tcPr>
          <w:p w14:paraId="4C43E001" w14:textId="0616329E" w:rsidR="003567E4" w:rsidRPr="008F204F" w:rsidRDefault="003567E4" w:rsidP="003567E4">
            <w:pPr>
              <w:ind w:left="28"/>
              <w:jc w:val="center"/>
              <w:rPr>
                <w:rFonts w:ascii="Times New Roman" w:hAnsi="Times New Roman"/>
                <w:iCs/>
                <w:color w:val="000000"/>
                <w:sz w:val="20"/>
                <w:lang w:val="it-IT"/>
              </w:rPr>
            </w:pPr>
            <w:r>
              <w:rPr>
                <w:rFonts w:ascii="Times New Roman" w:hAnsi="Times New Roman"/>
                <w:iCs/>
                <w:color w:val="000000"/>
                <w:sz w:val="20"/>
                <w:lang w:val="it-IT"/>
              </w:rPr>
              <w:t>Kernel</w:t>
            </w:r>
          </w:p>
        </w:tc>
        <w:tc>
          <w:tcPr>
            <w:tcW w:w="612" w:type="dxa"/>
            <w:tcBorders>
              <w:top w:val="single" w:sz="6" w:space="0" w:color="auto"/>
              <w:bottom w:val="single" w:sz="4" w:space="0" w:color="auto"/>
            </w:tcBorders>
            <w:noWrap/>
            <w:vAlign w:val="center"/>
          </w:tcPr>
          <w:p w14:paraId="62F5775A" w14:textId="539D7184" w:rsidR="003567E4" w:rsidRPr="003567E4" w:rsidRDefault="003567E4" w:rsidP="003567E4">
            <w:pPr>
              <w:ind w:left="28"/>
              <w:jc w:val="center"/>
              <w:rPr>
                <w:rFonts w:ascii="Times New Roman" w:hAnsi="Times New Roman"/>
                <w:color w:val="000000"/>
                <w:sz w:val="20"/>
              </w:rPr>
            </w:pPr>
            <w:r>
              <w:rPr>
                <w:rFonts w:ascii="Courier New" w:hAnsi="Courier New" w:cs="Courier New"/>
                <w:color w:val="000000"/>
                <w:sz w:val="20"/>
              </w:rPr>
              <w:t>γ</w:t>
            </w:r>
          </w:p>
        </w:tc>
        <w:tc>
          <w:tcPr>
            <w:tcW w:w="1480" w:type="dxa"/>
            <w:tcBorders>
              <w:top w:val="single" w:sz="6" w:space="0" w:color="auto"/>
              <w:bottom w:val="single" w:sz="4" w:space="0" w:color="auto"/>
            </w:tcBorders>
            <w:noWrap/>
            <w:vAlign w:val="center"/>
          </w:tcPr>
          <w:p w14:paraId="7DF0B499" w14:textId="1DF9E759" w:rsidR="003567E4" w:rsidRPr="008F204F" w:rsidRDefault="003567E4" w:rsidP="003567E4">
            <w:pPr>
              <w:ind w:left="28"/>
              <w:jc w:val="center"/>
              <w:rPr>
                <w:rFonts w:ascii="Times New Roman" w:hAnsi="Times New Roman"/>
                <w:iCs/>
                <w:color w:val="000000"/>
                <w:sz w:val="20"/>
                <w:lang w:val="it-IT"/>
              </w:rPr>
            </w:pPr>
            <w:r>
              <w:rPr>
                <w:rFonts w:ascii="Times New Roman" w:hAnsi="Times New Roman"/>
                <w:iCs/>
                <w:color w:val="000000"/>
                <w:sz w:val="20"/>
                <w:lang w:val="it-IT"/>
              </w:rPr>
              <w:t>C</w:t>
            </w:r>
          </w:p>
        </w:tc>
        <w:tc>
          <w:tcPr>
            <w:tcW w:w="1480" w:type="dxa"/>
            <w:tcBorders>
              <w:top w:val="single" w:sz="6" w:space="0" w:color="auto"/>
              <w:bottom w:val="single" w:sz="4" w:space="0" w:color="auto"/>
            </w:tcBorders>
            <w:vAlign w:val="center"/>
          </w:tcPr>
          <w:p w14:paraId="5739975B" w14:textId="3FC6854B" w:rsidR="003567E4" w:rsidRDefault="003567E4" w:rsidP="003567E4">
            <w:pPr>
              <w:ind w:left="28"/>
              <w:jc w:val="center"/>
              <w:rPr>
                <w:rFonts w:ascii="Times New Roman" w:hAnsi="Times New Roman"/>
                <w:iCs/>
                <w:color w:val="000000"/>
                <w:sz w:val="20"/>
                <w:lang w:val="it-IT"/>
              </w:rPr>
            </w:pPr>
            <w:r>
              <w:rPr>
                <w:rFonts w:ascii="Times New Roman" w:hAnsi="Times New Roman"/>
                <w:iCs/>
                <w:color w:val="000000"/>
                <w:sz w:val="20"/>
                <w:lang w:val="it-IT"/>
              </w:rPr>
              <w:t>Kappa</w:t>
            </w:r>
          </w:p>
        </w:tc>
      </w:tr>
      <w:tr w:rsidR="003567E4" w:rsidRPr="002363C2" w14:paraId="4BE5181A" w14:textId="57706DC7" w:rsidTr="003567E4">
        <w:trPr>
          <w:trHeight w:val="255"/>
          <w:jc w:val="center"/>
        </w:trPr>
        <w:tc>
          <w:tcPr>
            <w:tcW w:w="980" w:type="dxa"/>
            <w:tcBorders>
              <w:top w:val="single" w:sz="4" w:space="0" w:color="auto"/>
            </w:tcBorders>
            <w:noWrap/>
            <w:vAlign w:val="bottom"/>
          </w:tcPr>
          <w:p w14:paraId="359C3D75" w14:textId="6C04993C" w:rsidR="003567E4" w:rsidRPr="002363C2" w:rsidRDefault="003567E4" w:rsidP="00C44AC9">
            <w:pPr>
              <w:ind w:left="28"/>
              <w:rPr>
                <w:rFonts w:ascii="Times New Roman" w:hAnsi="Times New Roman"/>
                <w:b/>
                <w:iCs/>
                <w:color w:val="000000"/>
                <w:sz w:val="20"/>
              </w:rPr>
            </w:pPr>
            <w:r>
              <w:rPr>
                <w:rFonts w:ascii="Times New Roman" w:hAnsi="Times New Roman"/>
                <w:b/>
                <w:iCs/>
                <w:color w:val="000000"/>
                <w:sz w:val="20"/>
              </w:rPr>
              <w:t>Varaždin</w:t>
            </w:r>
          </w:p>
        </w:tc>
        <w:tc>
          <w:tcPr>
            <w:tcW w:w="1090" w:type="dxa"/>
            <w:tcBorders>
              <w:top w:val="single" w:sz="4" w:space="0" w:color="auto"/>
            </w:tcBorders>
            <w:noWrap/>
            <w:vAlign w:val="bottom"/>
          </w:tcPr>
          <w:p w14:paraId="45EE85A6" w14:textId="4751C93E"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RBF</w:t>
            </w:r>
          </w:p>
        </w:tc>
        <w:tc>
          <w:tcPr>
            <w:tcW w:w="612" w:type="dxa"/>
            <w:tcBorders>
              <w:top w:val="single" w:sz="4" w:space="0" w:color="auto"/>
            </w:tcBorders>
            <w:noWrap/>
            <w:vAlign w:val="bottom"/>
          </w:tcPr>
          <w:p w14:paraId="6A8A0A78" w14:textId="13E816DD"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1</w:t>
            </w:r>
          </w:p>
        </w:tc>
        <w:tc>
          <w:tcPr>
            <w:tcW w:w="1480" w:type="dxa"/>
            <w:tcBorders>
              <w:top w:val="single" w:sz="4" w:space="0" w:color="auto"/>
            </w:tcBorders>
            <w:noWrap/>
            <w:vAlign w:val="bottom"/>
          </w:tcPr>
          <w:p w14:paraId="4CC07D47" w14:textId="7F6DEF2C"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28</w:t>
            </w:r>
          </w:p>
        </w:tc>
        <w:tc>
          <w:tcPr>
            <w:tcW w:w="1480" w:type="dxa"/>
            <w:tcBorders>
              <w:top w:val="single" w:sz="4" w:space="0" w:color="auto"/>
            </w:tcBorders>
            <w:vAlign w:val="center"/>
          </w:tcPr>
          <w:p w14:paraId="0F303E77" w14:textId="528CCABE" w:rsidR="003567E4" w:rsidRPr="004A2481" w:rsidRDefault="004A2481" w:rsidP="003567E4">
            <w:pPr>
              <w:ind w:left="28"/>
              <w:jc w:val="center"/>
              <w:rPr>
                <w:rFonts w:ascii="Times New Roman" w:hAnsi="Times New Roman"/>
                <w:b/>
                <w:bCs/>
                <w:iCs/>
                <w:color w:val="000000"/>
                <w:sz w:val="20"/>
              </w:rPr>
            </w:pPr>
            <w:r w:rsidRPr="004A2481">
              <w:rPr>
                <w:rFonts w:ascii="Times New Roman" w:hAnsi="Times New Roman"/>
                <w:b/>
                <w:bCs/>
                <w:iCs/>
                <w:color w:val="000000"/>
                <w:sz w:val="20"/>
              </w:rPr>
              <w:t>0.87</w:t>
            </w:r>
          </w:p>
        </w:tc>
      </w:tr>
      <w:tr w:rsidR="003567E4" w:rsidRPr="002363C2" w14:paraId="09260079" w14:textId="48D92688" w:rsidTr="003567E4">
        <w:trPr>
          <w:trHeight w:val="255"/>
          <w:jc w:val="center"/>
        </w:trPr>
        <w:tc>
          <w:tcPr>
            <w:tcW w:w="980" w:type="dxa"/>
            <w:noWrap/>
            <w:vAlign w:val="bottom"/>
          </w:tcPr>
          <w:p w14:paraId="2EDA6D78" w14:textId="5830FC8F" w:rsidR="003567E4" w:rsidRPr="002363C2" w:rsidRDefault="003567E4" w:rsidP="00C44AC9">
            <w:pPr>
              <w:ind w:left="28"/>
              <w:rPr>
                <w:rFonts w:ascii="Times New Roman" w:hAnsi="Times New Roman"/>
                <w:b/>
                <w:iCs/>
                <w:color w:val="000000"/>
                <w:sz w:val="20"/>
              </w:rPr>
            </w:pPr>
            <w:r>
              <w:rPr>
                <w:rFonts w:ascii="Times New Roman" w:hAnsi="Times New Roman"/>
                <w:b/>
                <w:iCs/>
                <w:color w:val="000000"/>
                <w:sz w:val="20"/>
              </w:rPr>
              <w:t>Osijek</w:t>
            </w:r>
          </w:p>
        </w:tc>
        <w:tc>
          <w:tcPr>
            <w:tcW w:w="1090" w:type="dxa"/>
            <w:noWrap/>
            <w:vAlign w:val="bottom"/>
          </w:tcPr>
          <w:p w14:paraId="0CA66E23" w14:textId="7D47C057"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RBF</w:t>
            </w:r>
          </w:p>
        </w:tc>
        <w:tc>
          <w:tcPr>
            <w:tcW w:w="612" w:type="dxa"/>
            <w:noWrap/>
            <w:vAlign w:val="bottom"/>
          </w:tcPr>
          <w:p w14:paraId="67DBEA83" w14:textId="3F7EDAB1"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1</w:t>
            </w:r>
          </w:p>
        </w:tc>
        <w:tc>
          <w:tcPr>
            <w:tcW w:w="1480" w:type="dxa"/>
            <w:noWrap/>
            <w:vAlign w:val="bottom"/>
          </w:tcPr>
          <w:p w14:paraId="7AC08D76" w14:textId="1B97A515" w:rsidR="003567E4" w:rsidRPr="002363C2" w:rsidRDefault="003567E4" w:rsidP="00C44AC9">
            <w:pPr>
              <w:ind w:left="28"/>
              <w:jc w:val="center"/>
              <w:rPr>
                <w:rFonts w:ascii="Times New Roman" w:hAnsi="Times New Roman"/>
                <w:iCs/>
                <w:color w:val="000000"/>
                <w:sz w:val="20"/>
              </w:rPr>
            </w:pPr>
            <w:r>
              <w:rPr>
                <w:rFonts w:ascii="Times New Roman" w:hAnsi="Times New Roman"/>
                <w:iCs/>
                <w:color w:val="000000"/>
                <w:sz w:val="20"/>
              </w:rPr>
              <w:t>28</w:t>
            </w:r>
          </w:p>
        </w:tc>
        <w:tc>
          <w:tcPr>
            <w:tcW w:w="1480" w:type="dxa"/>
          </w:tcPr>
          <w:p w14:paraId="4DA81E4D" w14:textId="35508086" w:rsidR="003567E4" w:rsidRPr="004A2481" w:rsidRDefault="004A2481" w:rsidP="00C44AC9">
            <w:pPr>
              <w:ind w:left="28"/>
              <w:jc w:val="center"/>
              <w:rPr>
                <w:rFonts w:ascii="Times New Roman" w:hAnsi="Times New Roman"/>
                <w:b/>
                <w:bCs/>
                <w:iCs/>
                <w:color w:val="000000"/>
                <w:sz w:val="20"/>
              </w:rPr>
            </w:pPr>
            <w:r w:rsidRPr="004A2481">
              <w:rPr>
                <w:rFonts w:ascii="Times New Roman" w:hAnsi="Times New Roman"/>
                <w:b/>
                <w:bCs/>
                <w:iCs/>
                <w:color w:val="000000"/>
                <w:sz w:val="20"/>
              </w:rPr>
              <w:t>0.89</w:t>
            </w:r>
          </w:p>
        </w:tc>
      </w:tr>
    </w:tbl>
    <w:p w14:paraId="23755A04" w14:textId="77777777" w:rsidR="003567E4" w:rsidRPr="003567E4" w:rsidRDefault="003567E4" w:rsidP="003567E4">
      <w:pPr>
        <w:pStyle w:val="BodytextIndented"/>
        <w:rPr>
          <w:lang w:val="en-GB"/>
        </w:rPr>
      </w:pPr>
    </w:p>
    <w:p w14:paraId="727AB371" w14:textId="502BA38B" w:rsidR="00E25109" w:rsidRDefault="00E25109" w:rsidP="00E25109">
      <w:pPr>
        <w:pStyle w:val="Subsection"/>
        <w:rPr>
          <w:i/>
          <w:iCs w:val="0"/>
        </w:rPr>
      </w:pPr>
      <w:r w:rsidRPr="00E25109">
        <w:rPr>
          <w:i/>
          <w:iCs w:val="0"/>
        </w:rPr>
        <w:t>Artificial Neural Networks</w:t>
      </w:r>
    </w:p>
    <w:p w14:paraId="352DF48C" w14:textId="6DAA7A39" w:rsidR="001B2C00" w:rsidRPr="001B2C00" w:rsidRDefault="00EA784B" w:rsidP="001B2C00">
      <w:pPr>
        <w:pStyle w:val="Bodytext"/>
        <w:rPr>
          <w:lang w:val="en-GB"/>
        </w:rPr>
      </w:pPr>
      <w:r>
        <w:rPr>
          <w:lang w:val="en-GB"/>
        </w:rPr>
        <w:t xml:space="preserve">First mention of neural networks was by McCulloch and Pitts in 1943 when they proposed </w:t>
      </w:r>
      <w:r w:rsidR="007A497A">
        <w:rPr>
          <w:lang w:val="en-GB"/>
        </w:rPr>
        <w:t xml:space="preserve">a paper on how neurons might work. Afterward there were not many researches on artificial networks due to limitation in computation power. Breakthrough for artificial neural network was in 1990 when they became more and more explored. </w:t>
      </w:r>
      <w:r w:rsidR="00162650">
        <w:rPr>
          <w:lang w:val="en-GB"/>
        </w:rPr>
        <w:fldChar w:fldCharType="begin" w:fldLock="1"/>
      </w:r>
      <w:r w:rsidR="00A65DB6">
        <w:rPr>
          <w:lang w:val="en-GB"/>
        </w:rPr>
        <w:instrText>ADDIN CSL_CITATION {"citationItems":[{"id":"ITEM-1","itemData":{"abstract":"People believe that depth plays an important role in success of deep neural networks (DNN). However, this belief lacks solid theoretical justifications as far as we know. We investigate role of depth from perspective of margin bound. In margin bound, expected error is upper bounded by empirical margin error plus Rademacher Average (RA) based capacity term. First, we derive an upper bound for RA of DNN, and show that it increases with increasing depth. This indicates negative impact of depth on test performance. Second, we show that deeper networks tend to have larger representation power (measured by Betti numbers based complexity) than shallower networks in multi-class setting, and thus can lead to smaller empirical margin error. This implies positive impact of depth. The combination of these two results shows that for DNN with restricted number of hidden units, increasing depth is not always good since there is a tradeoff between positive and negative impacts. These results inspire us to seek alternative ways to achieve positive impact of depth, e.g., imposing margin-based penalty terms to cross entropy loss so as to reduce empirical margin error without increasing depth. Our experiments show that in this way, we achieve significantly better test performance.","author":[{"dropping-particle":"","family":"Sun","given":"Shizhao","non-dropping-particle":"","parse-names":false,"suffix":""},{"dropping-particle":"","family":"Chen","given":"Wei","non-dropping-particle":"","parse-names":false,"suffix":""},{"dropping-particle":"","family":"Wang","given":"Liwei","non-dropping-particle":"","parse-names":false,"suffix":""},{"dropping-particle":"","family":"Liu","given":"Xiaoguang","non-dropping-particle":"","parse-names":false,"suffix":""},{"dropping-particle":"","family":"Liu","given":"Tie-Yan","non-dropping-particle":"","parse-names":false,"suffix":""}],"container-title":"Proceedings of the Thirtieth AAAI Conference on Artificial Intelligence (AAAI-16)","id":"ITEM-1","issued":{"date-parts":[["2015"]]},"page":"2066-2072","title":"On the Depth of Deep Neural Networks: A Theoretical View","type":"paper-conference"},"uris":["http://www.mendeley.com/documents/?uuid=1e89b6a9-7eea-44f4-945d-2982b5987d5b"]}],"mendeley":{"formattedCitation":"[9]","plainTextFormattedCitation":"[9]","previouslyFormattedCitation":"[9]"},"properties":{"noteIndex":0},"schema":"https://github.com/citation-style-language/schema/raw/master/csl-citation.json"}</w:instrText>
      </w:r>
      <w:r w:rsidR="00162650">
        <w:rPr>
          <w:lang w:val="en-GB"/>
        </w:rPr>
        <w:fldChar w:fldCharType="separate"/>
      </w:r>
      <w:r w:rsidR="00162650" w:rsidRPr="00162650">
        <w:rPr>
          <w:noProof/>
          <w:lang w:val="en-GB"/>
        </w:rPr>
        <w:t>[9]</w:t>
      </w:r>
      <w:r w:rsidR="00162650">
        <w:rPr>
          <w:lang w:val="en-GB"/>
        </w:rPr>
        <w:fldChar w:fldCharType="end"/>
      </w:r>
      <w:r w:rsidR="00162650">
        <w:rPr>
          <w:lang w:val="en-GB"/>
        </w:rPr>
        <w:t xml:space="preserve"> considered how depth of neural network affects the result. They have concluded that there is still work to do in order to find specific parameters to gain maximum accuracy. </w:t>
      </w:r>
      <w:r w:rsidR="00A65DB6">
        <w:rPr>
          <w:lang w:val="en-GB"/>
        </w:rPr>
        <w:fldChar w:fldCharType="begin" w:fldLock="1"/>
      </w:r>
      <w:r w:rsidR="00191700">
        <w:rPr>
          <w:lang w:val="en-GB"/>
        </w:rPr>
        <w:instrText>ADDIN CSL_CITATION {"citationItems":[{"id":"ITEM-1","itemData":{"DOI":"10.1016/j.jag.2006.05.001","ISSN":"15698432","abstract":"This article treats the possibility of using artificial neural networks for road detection from high-resolution satellite images on a part of RGB Ikonos and Quick-Bird images from Kish Island and Bushehr Harbor, respectively. Attempts are also made to verify the impacts of different input parameters on network's ability to find out optimum input vector for the problem. A variety of network structures with different iteration times are used to determine the best network structure and termination condition in training stage. It was found that when the input parameters are made up of spectral information and distances of pixels to road mean vector in a 3 × 3 window, the network's ability in both road and background detection can be improved in comparison with simple networks that simply use spectral information of a single pixel in their input vector. © 2006 Elsevier B.V. All rights reserved.","author":[{"dropping-particle":"","family":"Mokhtarzade","given":"M.","non-dropping-particle":"","parse-names":false,"suffix":""},{"dropping-particle":"","family":"Zoej","given":"M. J.Valadan","non-dropping-particle":"","parse-names":false,"suffix":""}],"container-title":"International Journal of Applied Earth Observation and Geoinformation","id":"ITEM-1","issue":"1","issued":{"date-parts":[["2007"]]},"page":"32-40","title":"Road detection from high-resolution satellite images using artificial neural networks","type":"article-journal","volume":"9"},"uris":["http://www.mendeley.com/documents/?uuid=5149f1d3-9f6a-475e-9043-89d789439a8a"]}],"mendeley":{"formattedCitation":"[10]","plainTextFormattedCitation":"[10]","previouslyFormattedCitation":"[10]"},"properties":{"noteIndex":0},"schema":"https://github.com/citation-style-language/schema/raw/master/csl-citation.json"}</w:instrText>
      </w:r>
      <w:r w:rsidR="00A65DB6">
        <w:rPr>
          <w:lang w:val="en-GB"/>
        </w:rPr>
        <w:fldChar w:fldCharType="separate"/>
      </w:r>
      <w:r w:rsidR="00A65DB6" w:rsidRPr="00A65DB6">
        <w:rPr>
          <w:noProof/>
          <w:lang w:val="en-GB"/>
        </w:rPr>
        <w:t>[10]</w:t>
      </w:r>
      <w:r w:rsidR="00A65DB6">
        <w:rPr>
          <w:lang w:val="en-GB"/>
        </w:rPr>
        <w:fldChar w:fldCharType="end"/>
      </w:r>
      <w:r w:rsidR="00A65DB6">
        <w:rPr>
          <w:lang w:val="en-GB"/>
        </w:rPr>
        <w:t xml:space="preserve"> have shown that the </w:t>
      </w:r>
      <w:r w:rsidR="00395CB1">
        <w:rPr>
          <w:lang w:val="en-GB"/>
        </w:rPr>
        <w:t>highest overall accuracy of classification of high-resolution imagery is produced when there are 15 hidden neurons and number of iterations is 1500.</w:t>
      </w:r>
      <w:r w:rsidR="00A65DB6">
        <w:rPr>
          <w:lang w:val="en-GB"/>
        </w:rPr>
        <w:t xml:space="preserve"> </w:t>
      </w:r>
      <w:r w:rsidR="00395CB1">
        <w:rPr>
          <w:lang w:val="en-GB"/>
        </w:rPr>
        <w:t xml:space="preserve">There are parameters such as function, training methods and number of iterations that could affect the satellite imagery classification. </w:t>
      </w:r>
      <w:r w:rsidR="002F3F56">
        <w:rPr>
          <w:lang w:val="en-GB"/>
        </w:rPr>
        <w:t xml:space="preserve">In this paper </w:t>
      </w:r>
      <w:r w:rsidR="00395CB1">
        <w:rPr>
          <w:lang w:val="en-GB"/>
        </w:rPr>
        <w:t xml:space="preserve">different parameters will be tested and </w:t>
      </w:r>
      <w:r w:rsidR="002F3F56">
        <w:rPr>
          <w:lang w:val="en-GB"/>
        </w:rPr>
        <w:t xml:space="preserve">preliminary results will be shown. </w:t>
      </w:r>
      <w:r>
        <w:rPr>
          <w:lang w:val="en-GB"/>
        </w:rPr>
        <w:t xml:space="preserve"> </w:t>
      </w:r>
    </w:p>
    <w:p w14:paraId="0376091D" w14:textId="00415179" w:rsidR="00E25109" w:rsidRDefault="00E25109" w:rsidP="00E25109">
      <w:pPr>
        <w:pStyle w:val="Subsection"/>
        <w:rPr>
          <w:i/>
          <w:iCs w:val="0"/>
        </w:rPr>
      </w:pPr>
      <w:r w:rsidRPr="00E25109">
        <w:rPr>
          <w:i/>
          <w:iCs w:val="0"/>
        </w:rPr>
        <w:lastRenderedPageBreak/>
        <w:t>Naïve Bayes</w:t>
      </w:r>
    </w:p>
    <w:p w14:paraId="64DF2C2D" w14:textId="7EEDB6C1" w:rsidR="00DB2B30" w:rsidRPr="00DB2B30" w:rsidRDefault="00191700" w:rsidP="00DB2B30">
      <w:pPr>
        <w:pStyle w:val="Bodytext"/>
        <w:rPr>
          <w:lang w:val="en-GB"/>
        </w:rPr>
      </w:pPr>
      <w:r>
        <w:rPr>
          <w:lang w:val="en-GB"/>
        </w:rPr>
        <w:t xml:space="preserve">In order to represent knowledge based on Bayes theorem </w:t>
      </w:r>
      <w:r>
        <w:rPr>
          <w:lang w:val="en-GB"/>
        </w:rPr>
        <w:fldChar w:fldCharType="begin" w:fldLock="1"/>
      </w:r>
      <w:r w:rsidR="007C30D0">
        <w:rPr>
          <w:lang w:val="en-GB"/>
        </w:rPr>
        <w:instrText>ADDIN CSL_CITATION {"citationItems":[{"id":"ITEM-1","itemData":{"ISBN":"0-934613-73-7","author":[{"dropping-particle":"","family":"Pearl","given":"Judea","non-dropping-particle":"","parse-names":false,"suffix":""}],"id":"ITEM-1","issued":{"date-parts":[["1998"]]},"publisher":"Morgan Kaufmann Publishers Inc.","title":"Probabilistic reasoning in intelligent systems: networks of plausible inference","type":"book"},"uris":["http://www.mendeley.com/documents/?uuid=11c969a1-adb8-48f1-b43f-8bf05d1bcf84"]}],"mendeley":{"formattedCitation":"[11]","plainTextFormattedCitation":"[11]","previouslyFormattedCitation":"[11]"},"properties":{"noteIndex":0},"schema":"https://github.com/citation-style-language/schema/raw/master/csl-citation.json"}</w:instrText>
      </w:r>
      <w:r>
        <w:rPr>
          <w:lang w:val="en-GB"/>
        </w:rPr>
        <w:fldChar w:fldCharType="separate"/>
      </w:r>
      <w:r w:rsidRPr="00191700">
        <w:rPr>
          <w:noProof/>
          <w:lang w:val="en-GB"/>
        </w:rPr>
        <w:t>[11]</w:t>
      </w:r>
      <w:r>
        <w:rPr>
          <w:lang w:val="en-GB"/>
        </w:rPr>
        <w:fldChar w:fldCharType="end"/>
      </w:r>
      <w:r>
        <w:rPr>
          <w:lang w:val="en-GB"/>
        </w:rPr>
        <w:t xml:space="preserve"> proposed Bayesian networks or Naïve Bayes. </w:t>
      </w:r>
      <w:r w:rsidR="007C30D0">
        <w:rPr>
          <w:lang w:val="en-GB"/>
        </w:rPr>
        <w:t xml:space="preserve">A Bayesian network is a graph showing information flow as directed links between nodes without any loops consisting of nodes and directed links </w:t>
      </w:r>
      <w:r w:rsidR="007C30D0">
        <w:rPr>
          <w:lang w:val="en-GB"/>
        </w:rPr>
        <w:fldChar w:fldCharType="begin" w:fldLock="1"/>
      </w:r>
      <w:r w:rsidR="007C30D0">
        <w:rPr>
          <w:lang w:val="en-GB"/>
        </w:rPr>
        <w:instrText>ADDIN CSL_CITATION {"citationItems":[{"id":"ITEM-1","itemData":{"ISBN":"0-934613-73-7","author":[{"dropping-particle":"","family":"Pearl","given":"Judea","non-dropping-particle":"","parse-names":false,"suffix":""}],"id":"ITEM-1","issued":{"date-parts":[["1998"]]},"publisher":"Morgan Kaufmann Publishers Inc.","title":"Probabilistic reasoning in intelligent systems: networks of plausible inference","type":"book"},"uris":["http://www.mendeley.com/documents/?uuid=11c969a1-adb8-48f1-b43f-8bf05d1bcf84"]},{"id":"ITEM-2","itemData":{"ISBN":"0-471-61840-3","author":[{"dropping-particle":"","family":"Neapolitan","given":"Richard E.","non-dropping-particle":"","parse-names":false,"suffix":""}],"id":"ITEM-2","issued":{"date-parts":[["1990"]]},"publisher":"John Wiley &amp; Sons, Inc. Hoboken, New Jersey","title":"Probabilistic reasoning in expert systems: theory and algorithms","type":"book"},"uris":["http://www.mendeley.com/documents/?uuid=ed7b8d91-c2b3-44d4-9176-a72f1dcb85d1"]}],"mendeley":{"formattedCitation":"[11,12]","plainTextFormattedCitation":"[11,12]","previouslyFormattedCitation":"[11,12]"},"properties":{"noteIndex":0},"schema":"https://github.com/citation-style-language/schema/raw/master/csl-citation.json"}</w:instrText>
      </w:r>
      <w:r w:rsidR="007C30D0">
        <w:rPr>
          <w:lang w:val="en-GB"/>
        </w:rPr>
        <w:fldChar w:fldCharType="separate"/>
      </w:r>
      <w:r w:rsidR="007C30D0" w:rsidRPr="007C30D0">
        <w:rPr>
          <w:noProof/>
          <w:lang w:val="en-GB"/>
        </w:rPr>
        <w:t>[11,12]</w:t>
      </w:r>
      <w:r w:rsidR="007C30D0">
        <w:rPr>
          <w:lang w:val="en-GB"/>
        </w:rPr>
        <w:fldChar w:fldCharType="end"/>
      </w:r>
      <w:r w:rsidR="007C30D0">
        <w:rPr>
          <w:lang w:val="en-GB"/>
        </w:rPr>
        <w:t xml:space="preserve">. Each node of the network corresponds to a variable and the variables have discrete values </w:t>
      </w:r>
      <w:r w:rsidR="007C30D0">
        <w:rPr>
          <w:lang w:val="en-GB"/>
        </w:rPr>
        <w:fldChar w:fldCharType="begin" w:fldLock="1"/>
      </w:r>
      <w:r w:rsidR="007C30D0">
        <w:rPr>
          <w:lang w:val="en-GB"/>
        </w:rPr>
        <w:instrText>ADDIN CSL_CITATION {"citationItems":[{"id":"ITEM-1","itemData":{"author":[{"dropping-particle":"","family":"Mitchell","given":"Tom M.","non-dropping-particle":"","parse-names":false,"suffix":""}],"id":"ITEM-1","issued":{"date-parts":[["1997"]]},"number-of-pages":"432","publisher":"McGraw-Hill Science/Engineering/Math","title":"Machine Learning","type":"book"},"uris":["http://www.mendeley.com/documents/?uuid=fbb34e07-4c26-4234-adca-0333885b543c"]}],"mendeley":{"formattedCitation":"[13]","plainTextFormattedCitation":"[13]","previouslyFormattedCitation":"[13]"},"properties":{"noteIndex":0},"schema":"https://github.com/citation-style-language/schema/raw/master/csl-citation.json"}</w:instrText>
      </w:r>
      <w:r w:rsidR="007C30D0">
        <w:rPr>
          <w:lang w:val="en-GB"/>
        </w:rPr>
        <w:fldChar w:fldCharType="separate"/>
      </w:r>
      <w:r w:rsidR="007C30D0" w:rsidRPr="007C30D0">
        <w:rPr>
          <w:noProof/>
          <w:lang w:val="en-GB"/>
        </w:rPr>
        <w:t>[13]</w:t>
      </w:r>
      <w:r w:rsidR="007C30D0">
        <w:rPr>
          <w:lang w:val="en-GB"/>
        </w:rPr>
        <w:fldChar w:fldCharType="end"/>
      </w:r>
      <w:r w:rsidR="007C30D0">
        <w:rPr>
          <w:lang w:val="en-GB"/>
        </w:rPr>
        <w:t xml:space="preserve">. It is typical for the relationships and the conditional probability table to be learned from a training data sets </w:t>
      </w:r>
      <w:r w:rsidR="007C30D0">
        <w:rPr>
          <w:lang w:val="en-GB"/>
        </w:rPr>
        <w:fldChar w:fldCharType="begin" w:fldLock="1"/>
      </w:r>
      <w:r w:rsidR="00FA1F89">
        <w:rPr>
          <w:lang w:val="en-GB"/>
        </w:rPr>
        <w:instrText>ADDIN CSL_CITATION {"citationItems":[{"id":"ITEM-1","itemData":{"DOI":"10.1016/j.watres.2006.06.041","ISSN":"00431354","abstract":"Urban stormwater runoff is the primary source of many pollutants to Santa Monica Bay, but its monitoring and modeling is inherently difficult and often requires land use information as an intermediate process. Many approaches have been developed to estimate stormwater pollutant loading from land use. This research investigates an alternative approach, which estimates stormwater pollutant loadings directly from satellite imagery. We proposed a Bayesian network approach to classify a Landsat ETM+ image of the Marina del Rey area in the Santa Monica Bay watershed. Eight water quality parameters were examined, including: total suspended solids, chemical oxygen demand, nutrients, heavy metals, and oil and grease. The pollutant loads for each parameter were classified into six levels: very low, low, medium low, medium high, high, and very high. The results provided spatial estimates of each pollutant load as thematic maps from which the greatest pollutant loading areas were identified. These results may be useful in developing best management strategies for stormwater pollution at regional and global scales and in establishing total maximum daily loads in the watershed. The approach can also be used for areas without ground-survey land use data. © 2006 Elsevier Ltd. All rights reserved.","author":[{"dropping-particle":"","family":"Park","given":"Mi Hyun","non-dropping-particle":"","parse-names":false,"suffix":""},{"dropping-particle":"","family":"Stenstrom","given":"Michael K.","non-dropping-particle":"","parse-names":false,"suffix":""}],"container-title":"Water Research","id":"ITEM-1","issue":"18","issued":{"date-parts":[["2006"]]},"page":"3429-3438","title":"Using satellite imagery for stormwater pollution management with Bayesian networks","type":"article-journal","volume":"40"},"uris":["http://www.mendeley.com/documents/?uuid=005d1034-079d-4287-a8b5-eb6240f57b7f"]}],"mendeley":{"formattedCitation":"[14]","plainTextFormattedCitation":"[14]","previouslyFormattedCitation":"[14]"},"properties":{"noteIndex":0},"schema":"https://github.com/citation-style-language/schema/raw/master/csl-citation.json"}</w:instrText>
      </w:r>
      <w:r w:rsidR="007C30D0">
        <w:rPr>
          <w:lang w:val="en-GB"/>
        </w:rPr>
        <w:fldChar w:fldCharType="separate"/>
      </w:r>
      <w:r w:rsidR="007C30D0" w:rsidRPr="007C30D0">
        <w:rPr>
          <w:noProof/>
          <w:lang w:val="en-GB"/>
        </w:rPr>
        <w:t>[14]</w:t>
      </w:r>
      <w:r w:rsidR="007C30D0">
        <w:rPr>
          <w:lang w:val="en-GB"/>
        </w:rPr>
        <w:fldChar w:fldCharType="end"/>
      </w:r>
      <w:r w:rsidR="007C30D0">
        <w:rPr>
          <w:lang w:val="en-GB"/>
        </w:rPr>
        <w:t>. In this paper the preliminary results of satellite image classification using Naïve Bayes will be shown. Also</w:t>
      </w:r>
      <w:r w:rsidR="00812556">
        <w:rPr>
          <w:lang w:val="en-GB"/>
        </w:rPr>
        <w:t>,</w:t>
      </w:r>
      <w:r w:rsidR="007C30D0">
        <w:rPr>
          <w:lang w:val="en-GB"/>
        </w:rPr>
        <w:t xml:space="preserve"> the results will be compared to the other machine learning methods. </w:t>
      </w:r>
    </w:p>
    <w:p w14:paraId="257323DE" w14:textId="575B3E2D" w:rsidR="00E25109" w:rsidRDefault="00E25109" w:rsidP="00E25109">
      <w:pPr>
        <w:pStyle w:val="Subsection"/>
        <w:rPr>
          <w:i/>
          <w:iCs w:val="0"/>
        </w:rPr>
      </w:pPr>
      <w:r w:rsidRPr="00E25109">
        <w:rPr>
          <w:i/>
          <w:iCs w:val="0"/>
        </w:rPr>
        <w:t>Random Forest</w:t>
      </w:r>
    </w:p>
    <w:p w14:paraId="626D3A22" w14:textId="38B63283" w:rsidR="001B2C00" w:rsidRDefault="00FA1F89" w:rsidP="001B2C00">
      <w:pPr>
        <w:pStyle w:val="Bodytext"/>
        <w:rPr>
          <w:lang w:val="en-GB"/>
        </w:rPr>
      </w:pPr>
      <w:r>
        <w:rPr>
          <w:lang w:val="en-GB"/>
        </w:rPr>
        <w:t xml:space="preserve">Random forest is a regression technique that combines the performance of numerous decision trees algorithms to classify or predict the value of a variable </w:t>
      </w:r>
      <w:r>
        <w:rPr>
          <w:lang w:val="en-GB"/>
        </w:rPr>
        <w:fldChar w:fldCharType="begin" w:fldLock="1"/>
      </w:r>
      <w:r>
        <w:rPr>
          <w:lang w:val="en-GB"/>
        </w:rPr>
        <w:instrText>ADDIN CSL_CITATION {"citationItems":[{"id":"ITEM-1","itemData":{"DOI":"10.1023/A:1010933404324","ISSN":"1573-0565","abstract":"Random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Learning","id":"ITEM-1","issue":"1","issued":{"date-parts":[["2001"]]},"page":"5-32","title":"Random Forests","type":"article-journal","volume":"45"},"uris":["http://www.mendeley.com/documents/?uuid=7beaf5f2-5382-46f8-af9f-264209c57b76"]},{"id":"ITEM-2","itemData":{"DOI":"10.1016/j.oregeorev.2015.01.001","ISSN":"01691368","abstract":"Machine learning algorithms (MLAs) such us artificial neural networks (ANNs), regression trees (RTs), random forest (RF) and support vector machines (SVMs) are powerful data driven methods that are relatively less widely used in the mapping of mineral prospectivity, and thus have not been comparatively evaluated together thoroughly in this field.The performances of a series of MLAs, namely, artificial neural networks (ANNs), regression trees (RTs), random forest (RF) and support vector machines (SVMs) in mineral prospectivity modelling are compared based on the following criteria: i) the accuracy in the delineation of prospective areas; ii) the sensitivity to the estimation of hyper-parameters; iii) the sensitivity to the size of training data; and iv) the interpretability of model parameters. The results of applying the above algorithms to epithermal Au prospectivity mapping of the Rodalquilar district, Spain, indicate that the RF outperformed the other MLA algorithms (ANNs, RTs and SVMs). The RF algorithm showed higher stability and robustness with varying training parameters and better success rates and ROC analysis results. On the other hand, all MLA algorithms can be used when ore deposit evidences are scarce. Moreover the model parameters of RF and RT can be interpreted to gain insights into the geological controls of mineralization.","author":[{"dropping-particle":"","family":"Rodriguez-Galiano","given":"V.","non-dropping-particle":"","parse-names":false,"suffix":""},{"dropping-particle":"","family":"Sanchez-Castillo","given":"M.","non-dropping-particle":"","parse-names":false,"suffix":""},{"dropping-particle":"","family":"Chica-Olmo","given":"M.","non-dropping-particle":"","parse-names":false,"suffix":""},{"dropping-particle":"","family":"Chica-Rivas","given":"M.","non-dropping-particle":"","parse-names":false,"suffix":""}],"container-title":"Ore Geology Reviews","id":"ITEM-2","issued":{"date-parts":[["2015"]]},"page":"804-818","publisher":"Elsevier B.V.","title":"Machine learning predictive models for mineral prospectivity: An evaluation of neural networks, random forest, regression trees and support vector machines","type":"article-journal","volume":"71"},"uris":["http://www.mendeley.com/documents/?uuid=dd2a5fcf-2b2e-4794-bc87-7376503025a6"]}],"mendeley":{"formattedCitation":"[15,16]","plainTextFormattedCitation":"[15,16]","previouslyFormattedCitation":"[15,16]"},"properties":{"noteIndex":0},"schema":"https://github.com/citation-style-language/schema/raw/master/csl-citation.json"}</w:instrText>
      </w:r>
      <w:r>
        <w:rPr>
          <w:lang w:val="en-GB"/>
        </w:rPr>
        <w:fldChar w:fldCharType="separate"/>
      </w:r>
      <w:r w:rsidRPr="00FA1F89">
        <w:rPr>
          <w:noProof/>
          <w:lang w:val="en-GB"/>
        </w:rPr>
        <w:t>[15,16]</w:t>
      </w:r>
      <w:r>
        <w:rPr>
          <w:lang w:val="en-GB"/>
        </w:rPr>
        <w:fldChar w:fldCharType="end"/>
      </w:r>
      <w:r>
        <w:rPr>
          <w:lang w:val="en-GB"/>
        </w:rPr>
        <w:t xml:space="preserve">. To avoid the correlation of the different trees, random forest increases the diversity of the trees by growing them from different training data subsets created through a procedure called bagging </w:t>
      </w:r>
      <w:r>
        <w:rPr>
          <w:lang w:val="en-GB"/>
        </w:rPr>
        <w:fldChar w:fldCharType="begin" w:fldLock="1"/>
      </w:r>
      <w:r>
        <w:rPr>
          <w:lang w:val="en-GB"/>
        </w:rPr>
        <w:instrText>ADDIN CSL_CITATION {"citationItems":[{"id":"ITEM-1","itemData":{"DOI":"10.1016/j.oregeorev.2015.01.001","ISSN":"01691368","abstract":"Machine learning algorithms (MLAs) such us artificial neural networks (ANNs), regression trees (RTs), random forest (RF) and support vector machines (SVMs) are powerful data driven methods that are relatively less widely used in the mapping of mineral prospectivity, and thus have not been comparatively evaluated together thoroughly in this field.The performances of a series of MLAs, namely, artificial neural networks (ANNs), regression trees (RTs), random forest (RF) and support vector machines (SVMs) in mineral prospectivity modelling are compared based on the following criteria: i) the accuracy in the delineation of prospective areas; ii) the sensitivity to the estimation of hyper-parameters; iii) the sensitivity to the size of training data; and iv) the interpretability of model parameters. The results of applying the above algorithms to epithermal Au prospectivity mapping of the Rodalquilar district, Spain, indicate that the RF outperformed the other MLA algorithms (ANNs, RTs and SVMs). The RF algorithm showed higher stability and robustness with varying training parameters and better success rates and ROC analysis results. On the other hand, all MLA algorithms can be used when ore deposit evidences are scarce. Moreover the model parameters of RF and RT can be interpreted to gain insights into the geological controls of mineralization.","author":[{"dropping-particle":"","family":"Rodriguez-Galiano","given":"V.","non-dropping-particle":"","parse-names":false,"suffix":""},{"dropping-particle":"","family":"Sanchez-Castillo","given":"M.","non-dropping-particle":"","parse-names":false,"suffix":""},{"dropping-particle":"","family":"Chica-Olmo","given":"M.","non-dropping-particle":"","parse-names":false,"suffix":""},{"dropping-particle":"","family":"Chica-Rivas","given":"M.","non-dropping-particle":"","parse-names":false,"suffix":""}],"container-title":"Ore Geology Reviews","id":"ITEM-1","issued":{"date-parts":[["2015"]]},"page":"804-818","publisher":"Elsevier B.V.","title":"Machine learning predictive models for mineral prospectivity: An evaluation of neural networks, random forest, regression trees and support vector machines","type":"article-journal","volume":"71"},"uris":["http://www.mendeley.com/documents/?uuid=dd2a5fcf-2b2e-4794-bc87-7376503025a6"]}],"mendeley":{"formattedCitation":"[16]","plainTextFormattedCitation":"[16]","previouslyFormattedCitation":"[16]"},"properties":{"noteIndex":0},"schema":"https://github.com/citation-style-language/schema/raw/master/csl-citation.json"}</w:instrText>
      </w:r>
      <w:r>
        <w:rPr>
          <w:lang w:val="en-GB"/>
        </w:rPr>
        <w:fldChar w:fldCharType="separate"/>
      </w:r>
      <w:r w:rsidRPr="00FA1F89">
        <w:rPr>
          <w:noProof/>
          <w:lang w:val="en-GB"/>
        </w:rPr>
        <w:t>[16]</w:t>
      </w:r>
      <w:r>
        <w:rPr>
          <w:lang w:val="en-GB"/>
        </w:rPr>
        <w:fldChar w:fldCharType="end"/>
      </w:r>
      <w:r>
        <w:rPr>
          <w:lang w:val="en-GB"/>
        </w:rPr>
        <w:t xml:space="preserve">. In order to gain stability some data may be used more than once while others might never be used. Bagging technique is used for training data by resampling randomly the original datasets with replacements </w:t>
      </w:r>
      <w:r>
        <w:rPr>
          <w:lang w:val="en-GB"/>
        </w:rPr>
        <w:fldChar w:fldCharType="begin" w:fldLock="1"/>
      </w:r>
      <w:r w:rsidR="007630CA">
        <w:rPr>
          <w:lang w:val="en-GB"/>
        </w:rPr>
        <w:instrText>ADDIN CSL_CITATION {"citationItems":[{"id":"ITEM-1","itemData":{"DOI":"10.1016/j.oregeorev.2015.01.001","ISSN":"01691368","abstract":"Machine learning algorithms (MLAs) such us artificial neural networks (ANNs), regression trees (RTs), random forest (RF) and support vector machines (SVMs) are powerful data driven methods that are relatively less widely used in the mapping of mineral prospectivity, and thus have not been comparatively evaluated together thoroughly in this field.The performances of a series of MLAs, namely, artificial neural networks (ANNs), regression trees (RTs), random forest (RF) and support vector machines (SVMs) in mineral prospectivity modelling are compared based on the following criteria: i) the accuracy in the delineation of prospective areas; ii) the sensitivity to the estimation of hyper-parameters; iii) the sensitivity to the size of training data; and iv) the interpretability of model parameters. The results of applying the above algorithms to epithermal Au prospectivity mapping of the Rodalquilar district, Spain, indicate that the RF outperformed the other MLA algorithms (ANNs, RTs and SVMs). The RF algorithm showed higher stability and robustness with varying training parameters and better success rates and ROC analysis results. On the other hand, all MLA algorithms can be used when ore deposit evidences are scarce. Moreover the model parameters of RF and RT can be interpreted to gain insights into the geological controls of mineralization.","author":[{"dropping-particle":"","family":"Rodriguez-Galiano","given":"V.","non-dropping-particle":"","parse-names":false,"suffix":""},{"dropping-particle":"","family":"Sanchez-Castillo","given":"M.","non-dropping-particle":"","parse-names":false,"suffix":""},{"dropping-particle":"","family":"Chica-Olmo","given":"M.","non-dropping-particle":"","parse-names":false,"suffix":""},{"dropping-particle":"","family":"Chica-Rivas","given":"M.","non-dropping-particle":"","parse-names":false,"suffix":""}],"container-title":"Ore Geology Reviews","id":"ITEM-1","issued":{"date-parts":[["2015"]]},"page":"804-818","publisher":"Elsevier B.V.","title":"Machine learning predictive models for mineral prospectivity: An evaluation of neural networks, random forest, regression trees and support vector machines","type":"article-journal","volume":"71"},"uris":["http://www.mendeley.com/documents/?uuid=dd2a5fcf-2b2e-4794-bc87-7376503025a6"]}],"mendeley":{"formattedCitation":"[16]","plainTextFormattedCitation":"[16]","previouslyFormattedCitation":"[16]"},"properties":{"noteIndex":0},"schema":"https://github.com/citation-style-language/schema/raw/master/csl-citation.json"}</w:instrText>
      </w:r>
      <w:r>
        <w:rPr>
          <w:lang w:val="en-GB"/>
        </w:rPr>
        <w:fldChar w:fldCharType="separate"/>
      </w:r>
      <w:r w:rsidRPr="00FA1F89">
        <w:rPr>
          <w:noProof/>
          <w:lang w:val="en-GB"/>
        </w:rPr>
        <w:t>[16]</w:t>
      </w:r>
      <w:r>
        <w:rPr>
          <w:lang w:val="en-GB"/>
        </w:rPr>
        <w:fldChar w:fldCharType="end"/>
      </w:r>
      <w:r>
        <w:rPr>
          <w:lang w:val="en-GB"/>
        </w:rPr>
        <w:t xml:space="preserve">. </w:t>
      </w:r>
      <w:r w:rsidR="007630CA">
        <w:rPr>
          <w:lang w:val="en-GB"/>
        </w:rPr>
        <w:t xml:space="preserve">To reduce generalisation error, random forest uses the best feature/split point within a subset of evidential features which has been selected randomly form the total set of input features </w:t>
      </w:r>
      <w:r w:rsidR="007630CA">
        <w:rPr>
          <w:lang w:val="en-GB"/>
        </w:rPr>
        <w:fldChar w:fldCharType="begin" w:fldLock="1"/>
      </w:r>
      <w:r w:rsidR="005A4271">
        <w:rPr>
          <w:lang w:val="en-GB"/>
        </w:rPr>
        <w:instrText>ADDIN CSL_CITATION {"citationItems":[{"id":"ITEM-1","itemData":{"DOI":"10.1016/j.oregeorev.2015.01.001","ISSN":"01691368","abstract":"Machine learning algorithms (MLAs) such us artificial neural networks (ANNs), regression trees (RTs), random forest (RF) and support vector machines (SVMs) are powerful data driven methods that are relatively less widely used in the mapping of mineral prospectivity, and thus have not been comparatively evaluated together thoroughly in this field.The performances of a series of MLAs, namely, artificial neural networks (ANNs), regression trees (RTs), random forest (RF) and support vector machines (SVMs) in mineral prospectivity modelling are compared based on the following criteria: i) the accuracy in the delineation of prospective areas; ii) the sensitivity to the estimation of hyper-parameters; iii) the sensitivity to the size of training data; and iv) the interpretability of model parameters. The results of applying the above algorithms to epithermal Au prospectivity mapping of the Rodalquilar district, Spain, indicate that the RF outperformed the other MLA algorithms (ANNs, RTs and SVMs). The RF algorithm showed higher stability and robustness with varying training parameters and better success rates and ROC analysis results. On the other hand, all MLA algorithms can be used when ore deposit evidences are scarce. Moreover the model parameters of RF and RT can be interpreted to gain insights into the geological controls of mineralization.","author":[{"dropping-particle":"","family":"Rodriguez-Galiano","given":"V.","non-dropping-particle":"","parse-names":false,"suffix":""},{"dropping-particle":"","family":"Sanchez-Castillo","given":"M.","non-dropping-particle":"","parse-names":false,"suffix":""},{"dropping-particle":"","family":"Chica-Olmo","given":"M.","non-dropping-particle":"","parse-names":false,"suffix":""},{"dropping-particle":"","family":"Chica-Rivas","given":"M.","non-dropping-particle":"","parse-names":false,"suffix":""}],"container-title":"Ore Geology Reviews","id":"ITEM-1","issued":{"date-parts":[["2015"]]},"page":"804-818","publisher":"Elsevier B.V.","title":"Machine learning predictive models for mineral prospectivity: An evaluation of neural networks, random forest, regression trees and support vector machines","type":"article-journal","volume":"71"},"uris":["http://www.mendeley.com/documents/?uuid=dd2a5fcf-2b2e-4794-bc87-7376503025a6"]},{"id":"ITEM-2","itemData":{"DOI":"10.1023/A:1010933404324","ISSN":"1573-0565","abstract":"Random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Learning","id":"ITEM-2","issue":"1","issued":{"date-parts":[["2001"]]},"page":"5-32","title":"Random Forests","type":"article-journal","volume":"45"},"uris":["http://www.mendeley.com/documents/?uuid=7beaf5f2-5382-46f8-af9f-264209c57b76"]}],"mendeley":{"formattedCitation":"[15,16]","plainTextFormattedCitation":"[15,16]","previouslyFormattedCitation":"[15,16]"},"properties":{"noteIndex":0},"schema":"https://github.com/citation-style-language/schema/raw/master/csl-citation.json"}</w:instrText>
      </w:r>
      <w:r w:rsidR="007630CA">
        <w:rPr>
          <w:lang w:val="en-GB"/>
        </w:rPr>
        <w:fldChar w:fldCharType="separate"/>
      </w:r>
      <w:r w:rsidR="007630CA" w:rsidRPr="007630CA">
        <w:rPr>
          <w:noProof/>
          <w:lang w:val="en-GB"/>
        </w:rPr>
        <w:t>[15,16]</w:t>
      </w:r>
      <w:r w:rsidR="007630CA">
        <w:rPr>
          <w:lang w:val="en-GB"/>
        </w:rPr>
        <w:fldChar w:fldCharType="end"/>
      </w:r>
      <w:r w:rsidR="007630CA">
        <w:rPr>
          <w:lang w:val="en-GB"/>
        </w:rPr>
        <w:t xml:space="preserve">. </w:t>
      </w:r>
      <w:r w:rsidR="00812556">
        <w:rPr>
          <w:lang w:val="en-GB"/>
        </w:rPr>
        <w:t xml:space="preserve">In this paper different parameters will be tested and preliminary results shown, and compared with other methods as well. </w:t>
      </w:r>
    </w:p>
    <w:p w14:paraId="15D26D0E" w14:textId="44AE6F14" w:rsidR="00BC1AB2" w:rsidRDefault="00BC1AB2" w:rsidP="00BC1AB2">
      <w:pPr>
        <w:pStyle w:val="BodytextIndented"/>
        <w:rPr>
          <w:lang w:val="en-GB"/>
        </w:rPr>
      </w:pPr>
    </w:p>
    <w:p w14:paraId="0800EC70" w14:textId="259CC599" w:rsidR="00BC1AB2" w:rsidRDefault="00BC1AB2" w:rsidP="00BC1AB2">
      <w:pPr>
        <w:pStyle w:val="Section"/>
      </w:pPr>
      <w:r>
        <w:t>Study area</w:t>
      </w:r>
    </w:p>
    <w:p w14:paraId="0A55338F" w14:textId="0F6512A4" w:rsidR="00BC1AB2" w:rsidRPr="00BC1AB2" w:rsidRDefault="00BC1AB2" w:rsidP="00BC1AB2">
      <w:pPr>
        <w:pStyle w:val="Bodytext"/>
        <w:rPr>
          <w:lang w:val="en-GB"/>
        </w:rPr>
      </w:pPr>
      <w:r>
        <w:rPr>
          <w:lang w:val="en-GB"/>
        </w:rPr>
        <w:t xml:space="preserve">The study area is located in two towns in Croatia: Varaždin and Osijek and they have similar land cover use. Both are located on the River Drava, and the central area is populated with an urban fabric while smaller areas are filled with green urban areas. The wider city centre is populated with arable land, forests and inland waters. </w:t>
      </w:r>
      <w:r w:rsidRPr="00BC1AB2">
        <w:rPr>
          <w:lang w:val="en-GB"/>
        </w:rPr>
        <w:t xml:space="preserve">The dominant types of vegetation in Varaždin are forests populated with beech, oak, and chestnut and larger parks with grass and shrubbery. The dominant types of vegetation in Osijek are also parks, but in Osijek there are many swamp plants and linden and oak trees dominate forests. The coordinates for the centre of the study areas of Varaždin and Osijek are shown in Table </w:t>
      </w:r>
      <w:r w:rsidR="00710C62">
        <w:rPr>
          <w:lang w:val="en-GB"/>
        </w:rPr>
        <w:t>2</w:t>
      </w:r>
      <w:r w:rsidRPr="00BC1AB2">
        <w:rPr>
          <w:lang w:val="en-GB"/>
        </w:rPr>
        <w:t>. Study areas with a signature and control samples are presented in Figure 1.</w:t>
      </w:r>
    </w:p>
    <w:p w14:paraId="68E91085" w14:textId="77777777" w:rsidR="001B2C00" w:rsidRPr="001B2C00" w:rsidRDefault="001B2C00" w:rsidP="001B2C00">
      <w:pPr>
        <w:pStyle w:val="BodytextIndented"/>
        <w:rPr>
          <w:lang w:val="en-GB"/>
        </w:rPr>
      </w:pPr>
    </w:p>
    <w:p w14:paraId="3079B8A8" w14:textId="22477D94" w:rsidR="000B56DF" w:rsidRPr="002363C2" w:rsidRDefault="000B56DF" w:rsidP="000B56DF">
      <w:pPr>
        <w:pStyle w:val="TableCaptionCentred"/>
        <w:ind w:left="28"/>
        <w:rPr>
          <w:rFonts w:ascii="Times New Roman" w:hAnsi="Times New Roman"/>
        </w:rPr>
      </w:pPr>
      <w:r w:rsidRPr="002363C2">
        <w:rPr>
          <w:rFonts w:ascii="Times New Roman" w:hAnsi="Times New Roman"/>
          <w:b/>
        </w:rPr>
        <w:t xml:space="preserve">Table </w:t>
      </w:r>
      <w:r w:rsidR="00710C62">
        <w:rPr>
          <w:rFonts w:ascii="Times New Roman" w:hAnsi="Times New Roman"/>
          <w:b/>
        </w:rPr>
        <w:t>2</w:t>
      </w:r>
      <w:r w:rsidRPr="002363C2">
        <w:rPr>
          <w:rFonts w:ascii="Times New Roman" w:hAnsi="Times New Roman"/>
          <w:b/>
        </w:rPr>
        <w:t>.</w:t>
      </w:r>
      <w:r w:rsidR="00BC1AB2">
        <w:rPr>
          <w:rFonts w:ascii="Times New Roman" w:hAnsi="Times New Roman"/>
          <w:bCs/>
        </w:rPr>
        <w:t xml:space="preserve"> The study area coordinates (projection EPSG 3765 | WGS84)</w:t>
      </w:r>
      <w:r w:rsidRPr="002363C2">
        <w:rPr>
          <w:rFonts w:ascii="Times New Roman" w:hAnsi="Times New Roman"/>
        </w:rPr>
        <w:t>.</w:t>
      </w:r>
    </w:p>
    <w:tbl>
      <w:tblPr>
        <w:tblW w:w="6050" w:type="dxa"/>
        <w:jc w:val="center"/>
        <w:tblLayout w:type="fixed"/>
        <w:tblCellMar>
          <w:left w:w="0" w:type="dxa"/>
          <w:right w:w="0" w:type="dxa"/>
        </w:tblCellMar>
        <w:tblLook w:val="0000" w:firstRow="0" w:lastRow="0" w:firstColumn="0" w:lastColumn="0" w:noHBand="0" w:noVBand="0"/>
      </w:tblPr>
      <w:tblGrid>
        <w:gridCol w:w="900"/>
        <w:gridCol w:w="2575"/>
        <w:gridCol w:w="2575"/>
      </w:tblGrid>
      <w:tr w:rsidR="003D6701" w:rsidRPr="002363C2" w14:paraId="3E3AFB9D" w14:textId="77777777" w:rsidTr="003D6701">
        <w:trPr>
          <w:trHeight w:val="511"/>
          <w:jc w:val="center"/>
        </w:trPr>
        <w:tc>
          <w:tcPr>
            <w:tcW w:w="900" w:type="dxa"/>
            <w:tcBorders>
              <w:top w:val="single" w:sz="6" w:space="0" w:color="auto"/>
              <w:bottom w:val="single" w:sz="4" w:space="0" w:color="auto"/>
            </w:tcBorders>
            <w:noWrap/>
          </w:tcPr>
          <w:p w14:paraId="48ADC88B" w14:textId="77777777" w:rsidR="003D6701" w:rsidRPr="002363C2" w:rsidRDefault="003D6701" w:rsidP="001029F9">
            <w:pPr>
              <w:ind w:left="28"/>
              <w:jc w:val="center"/>
              <w:rPr>
                <w:rFonts w:ascii="Times New Roman" w:hAnsi="Times New Roman"/>
                <w:bCs/>
                <w:sz w:val="20"/>
                <w:u w:val="single"/>
              </w:rPr>
            </w:pPr>
          </w:p>
        </w:tc>
        <w:tc>
          <w:tcPr>
            <w:tcW w:w="2575" w:type="dxa"/>
            <w:tcBorders>
              <w:top w:val="single" w:sz="6" w:space="0" w:color="auto"/>
              <w:bottom w:val="single" w:sz="4" w:space="0" w:color="auto"/>
            </w:tcBorders>
            <w:noWrap/>
          </w:tcPr>
          <w:p w14:paraId="4DF34939" w14:textId="49B2670E" w:rsidR="003D6701" w:rsidRPr="00BC1AB2" w:rsidRDefault="003D6701" w:rsidP="001029F9">
            <w:pPr>
              <w:ind w:left="28"/>
              <w:jc w:val="center"/>
              <w:rPr>
                <w:rFonts w:ascii="Times New Roman" w:hAnsi="Times New Roman"/>
                <w:b/>
                <w:bCs/>
                <w:iCs/>
                <w:color w:val="000000"/>
                <w:sz w:val="20"/>
                <w:lang w:val="it-IT"/>
              </w:rPr>
            </w:pPr>
            <w:r>
              <w:rPr>
                <w:rFonts w:ascii="Times New Roman" w:hAnsi="Times New Roman"/>
                <w:b/>
                <w:bCs/>
                <w:iCs/>
                <w:color w:val="000000"/>
                <w:sz w:val="20"/>
                <w:lang w:val="it-IT"/>
              </w:rPr>
              <w:t xml:space="preserve"> E (m) | </w:t>
            </w:r>
            <w:r>
              <w:rPr>
                <w:rFonts w:ascii="Courier New" w:hAnsi="Courier New" w:cs="Courier New"/>
                <w:b/>
                <w:bCs/>
                <w:iCs/>
                <w:color w:val="000000"/>
                <w:sz w:val="20"/>
                <w:lang w:val="it-IT"/>
              </w:rPr>
              <w:t>φ</w:t>
            </w:r>
            <w:r>
              <w:rPr>
                <w:rFonts w:ascii="Times New Roman" w:hAnsi="Times New Roman"/>
                <w:b/>
                <w:bCs/>
                <w:iCs/>
                <w:color w:val="000000"/>
                <w:sz w:val="20"/>
                <w:lang w:val="it-IT"/>
              </w:rPr>
              <w:t xml:space="preserve"> (d°m’ s’’)</w:t>
            </w:r>
          </w:p>
        </w:tc>
        <w:tc>
          <w:tcPr>
            <w:tcW w:w="2575" w:type="dxa"/>
            <w:tcBorders>
              <w:top w:val="single" w:sz="6" w:space="0" w:color="auto"/>
              <w:bottom w:val="single" w:sz="4" w:space="0" w:color="auto"/>
            </w:tcBorders>
            <w:noWrap/>
          </w:tcPr>
          <w:p w14:paraId="29872B56" w14:textId="745CBD55" w:rsidR="003D6701" w:rsidRPr="008F204F" w:rsidRDefault="003D6701" w:rsidP="001029F9">
            <w:pPr>
              <w:ind w:left="28"/>
              <w:jc w:val="center"/>
              <w:rPr>
                <w:rFonts w:ascii="Times New Roman" w:hAnsi="Times New Roman"/>
                <w:iCs/>
                <w:color w:val="000000"/>
                <w:sz w:val="20"/>
                <w:lang w:val="it-IT"/>
              </w:rPr>
            </w:pPr>
            <w:r>
              <w:rPr>
                <w:rFonts w:ascii="Times New Roman" w:hAnsi="Times New Roman"/>
                <w:b/>
                <w:bCs/>
                <w:iCs/>
                <w:color w:val="000000"/>
                <w:sz w:val="20"/>
                <w:lang w:val="it-IT"/>
              </w:rPr>
              <w:t xml:space="preserve">N (m) | </w:t>
            </w:r>
            <w:r>
              <w:rPr>
                <w:rFonts w:ascii="Palatino Linotype" w:hAnsi="Palatino Linotype"/>
                <w:b/>
                <w:bCs/>
                <w:iCs/>
                <w:color w:val="000000"/>
                <w:sz w:val="20"/>
                <w:lang w:val="it-IT"/>
              </w:rPr>
              <w:t>λ</w:t>
            </w:r>
            <w:r>
              <w:rPr>
                <w:rFonts w:ascii="Times New Roman" w:hAnsi="Times New Roman"/>
                <w:b/>
                <w:bCs/>
                <w:iCs/>
                <w:color w:val="000000"/>
                <w:sz w:val="20"/>
                <w:lang w:val="it-IT"/>
              </w:rPr>
              <w:t xml:space="preserve"> (d°m’ s’’)</w:t>
            </w:r>
          </w:p>
        </w:tc>
      </w:tr>
      <w:tr w:rsidR="003D6701" w:rsidRPr="002363C2" w14:paraId="5772998D" w14:textId="77777777" w:rsidTr="003D6701">
        <w:trPr>
          <w:trHeight w:val="255"/>
          <w:jc w:val="center"/>
        </w:trPr>
        <w:tc>
          <w:tcPr>
            <w:tcW w:w="900" w:type="dxa"/>
            <w:tcBorders>
              <w:top w:val="single" w:sz="4" w:space="0" w:color="auto"/>
            </w:tcBorders>
            <w:noWrap/>
            <w:vAlign w:val="bottom"/>
          </w:tcPr>
          <w:p w14:paraId="77D396EA" w14:textId="1516E19E" w:rsidR="003D6701" w:rsidRPr="003D6701" w:rsidRDefault="003D6701" w:rsidP="001029F9">
            <w:pPr>
              <w:ind w:left="28"/>
              <w:rPr>
                <w:rFonts w:ascii="Times New Roman" w:hAnsi="Times New Roman"/>
                <w:bCs/>
                <w:iCs/>
                <w:color w:val="000000"/>
                <w:sz w:val="20"/>
              </w:rPr>
            </w:pPr>
            <w:r>
              <w:rPr>
                <w:rFonts w:ascii="Times New Roman" w:hAnsi="Times New Roman"/>
                <w:bCs/>
                <w:iCs/>
                <w:color w:val="000000"/>
                <w:sz w:val="20"/>
              </w:rPr>
              <w:t>Varaždin</w:t>
            </w:r>
          </w:p>
        </w:tc>
        <w:tc>
          <w:tcPr>
            <w:tcW w:w="2575" w:type="dxa"/>
            <w:tcBorders>
              <w:top w:val="single" w:sz="4" w:space="0" w:color="auto"/>
            </w:tcBorders>
            <w:noWrap/>
            <w:vAlign w:val="bottom"/>
          </w:tcPr>
          <w:p w14:paraId="0B5189E5" w14:textId="4081539D" w:rsidR="003D6701" w:rsidRPr="002363C2" w:rsidRDefault="003D6701" w:rsidP="001029F9">
            <w:pPr>
              <w:ind w:left="28"/>
              <w:jc w:val="center"/>
              <w:rPr>
                <w:rFonts w:ascii="Times New Roman" w:hAnsi="Times New Roman"/>
                <w:iCs/>
                <w:color w:val="000000"/>
                <w:sz w:val="20"/>
              </w:rPr>
            </w:pPr>
            <w:r>
              <w:rPr>
                <w:rFonts w:ascii="Times New Roman" w:hAnsi="Times New Roman"/>
                <w:iCs/>
                <w:color w:val="000000"/>
                <w:sz w:val="20"/>
              </w:rPr>
              <w:t>487,550.00 | 46°18’35’’</w:t>
            </w:r>
          </w:p>
        </w:tc>
        <w:tc>
          <w:tcPr>
            <w:tcW w:w="2575" w:type="dxa"/>
            <w:tcBorders>
              <w:top w:val="single" w:sz="4" w:space="0" w:color="auto"/>
            </w:tcBorders>
            <w:noWrap/>
            <w:vAlign w:val="bottom"/>
          </w:tcPr>
          <w:p w14:paraId="69AD3895" w14:textId="7C734D59" w:rsidR="003D6701" w:rsidRPr="002363C2" w:rsidRDefault="003D6701" w:rsidP="001029F9">
            <w:pPr>
              <w:ind w:left="28"/>
              <w:jc w:val="center"/>
              <w:rPr>
                <w:rFonts w:ascii="Times New Roman" w:hAnsi="Times New Roman"/>
                <w:iCs/>
                <w:color w:val="000000"/>
                <w:sz w:val="20"/>
              </w:rPr>
            </w:pPr>
            <w:r>
              <w:rPr>
                <w:rFonts w:ascii="Times New Roman" w:hAnsi="Times New Roman"/>
                <w:iCs/>
                <w:color w:val="000000"/>
                <w:sz w:val="20"/>
              </w:rPr>
              <w:t>5,130,000.00 | 16°20’18’’</w:t>
            </w:r>
          </w:p>
        </w:tc>
      </w:tr>
      <w:tr w:rsidR="003D6701" w:rsidRPr="002363C2" w14:paraId="355EE294" w14:textId="77777777" w:rsidTr="003D6701">
        <w:trPr>
          <w:trHeight w:val="255"/>
          <w:jc w:val="center"/>
        </w:trPr>
        <w:tc>
          <w:tcPr>
            <w:tcW w:w="900" w:type="dxa"/>
            <w:tcBorders>
              <w:bottom w:val="single" w:sz="4" w:space="0" w:color="auto"/>
            </w:tcBorders>
            <w:noWrap/>
            <w:vAlign w:val="bottom"/>
          </w:tcPr>
          <w:p w14:paraId="0DBF00CA" w14:textId="4EC0202D" w:rsidR="003D6701" w:rsidRPr="003D6701" w:rsidRDefault="003D6701" w:rsidP="001029F9">
            <w:pPr>
              <w:ind w:left="28"/>
              <w:rPr>
                <w:rFonts w:ascii="Times New Roman" w:hAnsi="Times New Roman"/>
                <w:bCs/>
                <w:iCs/>
                <w:color w:val="000000"/>
                <w:sz w:val="20"/>
              </w:rPr>
            </w:pPr>
            <w:r>
              <w:rPr>
                <w:rFonts w:ascii="Times New Roman" w:hAnsi="Times New Roman"/>
                <w:bCs/>
                <w:iCs/>
                <w:color w:val="000000"/>
                <w:sz w:val="20"/>
              </w:rPr>
              <w:t>Osijek</w:t>
            </w:r>
          </w:p>
        </w:tc>
        <w:tc>
          <w:tcPr>
            <w:tcW w:w="2575" w:type="dxa"/>
            <w:tcBorders>
              <w:bottom w:val="single" w:sz="4" w:space="0" w:color="auto"/>
            </w:tcBorders>
            <w:noWrap/>
            <w:vAlign w:val="bottom"/>
          </w:tcPr>
          <w:p w14:paraId="738DF230" w14:textId="78F4E6E9" w:rsidR="003D6701" w:rsidRPr="002363C2" w:rsidRDefault="003D6701" w:rsidP="001029F9">
            <w:pPr>
              <w:ind w:left="28"/>
              <w:jc w:val="center"/>
              <w:rPr>
                <w:rFonts w:ascii="Times New Roman" w:hAnsi="Times New Roman"/>
                <w:iCs/>
                <w:color w:val="000000"/>
                <w:sz w:val="20"/>
              </w:rPr>
            </w:pPr>
            <w:r>
              <w:rPr>
                <w:rFonts w:ascii="Times New Roman" w:hAnsi="Times New Roman"/>
                <w:iCs/>
                <w:color w:val="000000"/>
                <w:sz w:val="20"/>
              </w:rPr>
              <w:t>671,000.00 | 45°33’03’’</w:t>
            </w:r>
          </w:p>
        </w:tc>
        <w:tc>
          <w:tcPr>
            <w:tcW w:w="2575" w:type="dxa"/>
            <w:tcBorders>
              <w:bottom w:val="single" w:sz="4" w:space="0" w:color="auto"/>
            </w:tcBorders>
            <w:noWrap/>
            <w:vAlign w:val="bottom"/>
          </w:tcPr>
          <w:p w14:paraId="2C0170BB" w14:textId="75623E78" w:rsidR="003D6701" w:rsidRPr="002363C2" w:rsidRDefault="003D6701" w:rsidP="001029F9">
            <w:pPr>
              <w:ind w:left="28"/>
              <w:jc w:val="center"/>
              <w:rPr>
                <w:rFonts w:ascii="Times New Roman" w:hAnsi="Times New Roman"/>
                <w:iCs/>
                <w:color w:val="000000"/>
                <w:sz w:val="20"/>
              </w:rPr>
            </w:pPr>
            <w:r>
              <w:rPr>
                <w:rFonts w:ascii="Times New Roman" w:hAnsi="Times New Roman"/>
                <w:iCs/>
                <w:color w:val="000000"/>
                <w:sz w:val="20"/>
              </w:rPr>
              <w:t>5,048,000.00 | 18°41’24’’</w:t>
            </w:r>
          </w:p>
        </w:tc>
      </w:tr>
    </w:tbl>
    <w:p w14:paraId="424881CA" w14:textId="29E0DDCB" w:rsidR="00783F67" w:rsidRDefault="00783F67" w:rsidP="00624FC7">
      <w:pPr>
        <w:pStyle w:val="BodytextIndented"/>
        <w:spacing w:after="240"/>
        <w:rPr>
          <w:rFonts w:ascii="Times New Roman" w:hAnsi="Times New Roman"/>
          <w:b/>
          <w:lang w:val="en-GB"/>
        </w:rPr>
      </w:pPr>
    </w:p>
    <w:p w14:paraId="2ABC459A" w14:textId="77777777" w:rsidR="00781BE6" w:rsidRDefault="00781BE6" w:rsidP="00781BE6">
      <w:pPr>
        <w:pStyle w:val="BodytextIndented"/>
        <w:spacing w:after="240"/>
        <w:rPr>
          <w:rFonts w:ascii="Times New Roman" w:hAnsi="Times New Roman"/>
          <w:bCs/>
          <w:lang w:val="en-GB"/>
        </w:rPr>
      </w:pPr>
      <w:r>
        <w:rPr>
          <w:rFonts w:ascii="Times New Roman" w:hAnsi="Times New Roman"/>
          <w:bCs/>
          <w:lang w:val="en-GB"/>
        </w:rPr>
        <w:t xml:space="preserve">The combination of parameters tested in this paper are presented in Table 3. and in Table 4. In Saga-GIS Normal Bayes doesn’t have parameters that could be changed. All of the machine learning methods are based on OpenCV library. </w:t>
      </w:r>
    </w:p>
    <w:p w14:paraId="32A97A0E" w14:textId="77777777" w:rsidR="00781BE6" w:rsidRDefault="00781BE6" w:rsidP="00624FC7">
      <w:pPr>
        <w:pStyle w:val="BodytextIndented"/>
        <w:spacing w:after="240"/>
        <w:rPr>
          <w:rFonts w:ascii="Times New Roman" w:hAnsi="Times New Roman"/>
          <w:b/>
          <w:lang w:val="en-GB"/>
        </w:rPr>
      </w:pPr>
    </w:p>
    <w:p w14:paraId="32589ECF" w14:textId="682BE94F" w:rsidR="00783F67" w:rsidRDefault="00783F67" w:rsidP="00783F67">
      <w:pPr>
        <w:pStyle w:val="BodytextIndented"/>
        <w:spacing w:after="240"/>
        <w:jc w:val="center"/>
        <w:rPr>
          <w:rFonts w:ascii="Times New Roman" w:hAnsi="Times New Roman"/>
          <w:b/>
          <w:lang w:val="en-GB"/>
        </w:rPr>
      </w:pPr>
      <w:r>
        <w:rPr>
          <w:rFonts w:ascii="Times New Roman" w:hAnsi="Times New Roman"/>
          <w:b/>
          <w:noProof/>
          <w:lang w:val="en-GB"/>
        </w:rPr>
        <w:lastRenderedPageBreak/>
        <w:drawing>
          <wp:inline distT="0" distB="0" distL="0" distR="0" wp14:anchorId="3812698A" wp14:editId="08957165">
            <wp:extent cx="5760085" cy="4104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z+os+hr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104005"/>
                    </a:xfrm>
                    <a:prstGeom prst="rect">
                      <a:avLst/>
                    </a:prstGeom>
                  </pic:spPr>
                </pic:pic>
              </a:graphicData>
            </a:graphic>
          </wp:inline>
        </w:drawing>
      </w:r>
    </w:p>
    <w:p w14:paraId="77A26FAF" w14:textId="2E55B158" w:rsidR="00783F67" w:rsidRPr="00B46DA6" w:rsidRDefault="00783F67" w:rsidP="00783F67">
      <w:pPr>
        <w:pStyle w:val="BodytextIndented"/>
        <w:spacing w:after="240"/>
        <w:jc w:val="center"/>
        <w:rPr>
          <w:rFonts w:ascii="Times New Roman" w:hAnsi="Times New Roman"/>
          <w:bCs/>
          <w:lang w:val="en-GB"/>
        </w:rPr>
      </w:pPr>
      <w:r>
        <w:rPr>
          <w:rFonts w:ascii="Times New Roman" w:hAnsi="Times New Roman"/>
          <w:b/>
          <w:lang w:val="en-GB"/>
        </w:rPr>
        <w:t>Figure 1</w:t>
      </w:r>
      <w:r w:rsidR="00B46DA6">
        <w:rPr>
          <w:rFonts w:ascii="Times New Roman" w:hAnsi="Times New Roman"/>
          <w:b/>
          <w:lang w:val="en-GB"/>
        </w:rPr>
        <w:t xml:space="preserve">. </w:t>
      </w:r>
      <w:r w:rsidR="00B46DA6">
        <w:rPr>
          <w:rFonts w:ascii="Times New Roman" w:hAnsi="Times New Roman"/>
          <w:bCs/>
          <w:lang w:val="en-GB"/>
        </w:rPr>
        <w:t>The study area: Varaždin (left); Osijek (right).</w:t>
      </w:r>
    </w:p>
    <w:p w14:paraId="211ED602" w14:textId="6B5D236D" w:rsidR="00710C62" w:rsidRPr="002363C2" w:rsidRDefault="00710C62" w:rsidP="00710C62">
      <w:pPr>
        <w:pStyle w:val="TableCaptionCentred"/>
        <w:ind w:left="28"/>
        <w:rPr>
          <w:rFonts w:ascii="Times New Roman" w:hAnsi="Times New Roman"/>
        </w:rPr>
      </w:pPr>
      <w:r w:rsidRPr="002363C2">
        <w:rPr>
          <w:rFonts w:ascii="Times New Roman" w:hAnsi="Times New Roman"/>
          <w:b/>
        </w:rPr>
        <w:t xml:space="preserve">Table </w:t>
      </w:r>
      <w:r>
        <w:rPr>
          <w:rFonts w:ascii="Times New Roman" w:hAnsi="Times New Roman"/>
          <w:b/>
        </w:rPr>
        <w:t>3</w:t>
      </w:r>
      <w:r w:rsidRPr="002363C2">
        <w:rPr>
          <w:rFonts w:ascii="Times New Roman" w:hAnsi="Times New Roman"/>
          <w:b/>
        </w:rPr>
        <w:t>.</w:t>
      </w:r>
      <w:r>
        <w:rPr>
          <w:rFonts w:ascii="Times New Roman" w:hAnsi="Times New Roman"/>
          <w:bCs/>
        </w:rPr>
        <w:t xml:space="preserve"> Combination of parameters for Artificial Neural Networks</w:t>
      </w:r>
      <w:r w:rsidRPr="002363C2">
        <w:rPr>
          <w:rFonts w:ascii="Times New Roman" w:hAnsi="Times New Roman"/>
        </w:rPr>
        <w:t>.</w:t>
      </w:r>
    </w:p>
    <w:tbl>
      <w:tblPr>
        <w:tblW w:w="9892" w:type="dxa"/>
        <w:jc w:val="center"/>
        <w:tblLayout w:type="fixed"/>
        <w:tblCellMar>
          <w:left w:w="0" w:type="dxa"/>
          <w:right w:w="0" w:type="dxa"/>
        </w:tblCellMar>
        <w:tblLook w:val="0000" w:firstRow="0" w:lastRow="0" w:firstColumn="0" w:lastColumn="0" w:noHBand="0" w:noVBand="0"/>
      </w:tblPr>
      <w:tblGrid>
        <w:gridCol w:w="1843"/>
        <w:gridCol w:w="1587"/>
        <w:gridCol w:w="1587"/>
        <w:gridCol w:w="1587"/>
        <w:gridCol w:w="1587"/>
        <w:gridCol w:w="1701"/>
      </w:tblGrid>
      <w:tr w:rsidR="00D27C5C" w:rsidRPr="00D27C5C" w14:paraId="6BB06BC2" w14:textId="77777777" w:rsidTr="00D27C5C">
        <w:trPr>
          <w:trHeight w:val="475"/>
          <w:jc w:val="center"/>
        </w:trPr>
        <w:tc>
          <w:tcPr>
            <w:tcW w:w="1843" w:type="dxa"/>
            <w:tcBorders>
              <w:top w:val="single" w:sz="6" w:space="0" w:color="auto"/>
              <w:bottom w:val="single" w:sz="4" w:space="0" w:color="auto"/>
            </w:tcBorders>
            <w:noWrap/>
            <w:vAlign w:val="center"/>
          </w:tcPr>
          <w:p w14:paraId="3704C77F" w14:textId="77777777" w:rsidR="00D27C5C" w:rsidRPr="00D27C5C" w:rsidRDefault="00D27C5C" w:rsidP="00D27C5C">
            <w:pPr>
              <w:ind w:left="28"/>
              <w:jc w:val="center"/>
              <w:rPr>
                <w:rFonts w:ascii="Times New Roman" w:hAnsi="Times New Roman"/>
                <w:b/>
                <w:sz w:val="20"/>
                <w:u w:val="single"/>
              </w:rPr>
            </w:pPr>
          </w:p>
        </w:tc>
        <w:tc>
          <w:tcPr>
            <w:tcW w:w="1587" w:type="dxa"/>
            <w:tcBorders>
              <w:top w:val="single" w:sz="6" w:space="0" w:color="auto"/>
              <w:bottom w:val="single" w:sz="4" w:space="0" w:color="auto"/>
            </w:tcBorders>
            <w:noWrap/>
            <w:vAlign w:val="center"/>
          </w:tcPr>
          <w:p w14:paraId="4D661287" w14:textId="3082E854" w:rsidR="00D27C5C" w:rsidRPr="00D27C5C" w:rsidRDefault="00D27C5C" w:rsidP="00D27C5C">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#1</w:t>
            </w:r>
          </w:p>
        </w:tc>
        <w:tc>
          <w:tcPr>
            <w:tcW w:w="1587" w:type="dxa"/>
            <w:tcBorders>
              <w:top w:val="single" w:sz="6" w:space="0" w:color="auto"/>
              <w:bottom w:val="single" w:sz="4" w:space="0" w:color="auto"/>
            </w:tcBorders>
            <w:vAlign w:val="center"/>
          </w:tcPr>
          <w:p w14:paraId="74724491" w14:textId="56605805" w:rsidR="00D27C5C" w:rsidRPr="00D27C5C" w:rsidRDefault="00D27C5C" w:rsidP="00D27C5C">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#2</w:t>
            </w:r>
          </w:p>
        </w:tc>
        <w:tc>
          <w:tcPr>
            <w:tcW w:w="1587" w:type="dxa"/>
            <w:tcBorders>
              <w:top w:val="single" w:sz="6" w:space="0" w:color="auto"/>
              <w:bottom w:val="single" w:sz="4" w:space="0" w:color="auto"/>
            </w:tcBorders>
            <w:vAlign w:val="center"/>
          </w:tcPr>
          <w:p w14:paraId="0A1EFAE2" w14:textId="12A27B14" w:rsidR="00D27C5C" w:rsidRPr="00D27C5C" w:rsidRDefault="00D27C5C" w:rsidP="00D27C5C">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#3</w:t>
            </w:r>
          </w:p>
        </w:tc>
        <w:tc>
          <w:tcPr>
            <w:tcW w:w="1587" w:type="dxa"/>
            <w:tcBorders>
              <w:top w:val="single" w:sz="6" w:space="0" w:color="auto"/>
              <w:bottom w:val="single" w:sz="4" w:space="0" w:color="auto"/>
            </w:tcBorders>
            <w:vAlign w:val="center"/>
          </w:tcPr>
          <w:p w14:paraId="6C60CA3A" w14:textId="231A2020" w:rsidR="00D27C5C" w:rsidRPr="00D27C5C" w:rsidRDefault="00D27C5C" w:rsidP="00D27C5C">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#4</w:t>
            </w:r>
          </w:p>
        </w:tc>
        <w:tc>
          <w:tcPr>
            <w:tcW w:w="1701" w:type="dxa"/>
            <w:tcBorders>
              <w:top w:val="single" w:sz="6" w:space="0" w:color="auto"/>
              <w:bottom w:val="single" w:sz="4" w:space="0" w:color="auto"/>
            </w:tcBorders>
            <w:noWrap/>
            <w:vAlign w:val="center"/>
          </w:tcPr>
          <w:p w14:paraId="5FE19224" w14:textId="0316868A" w:rsidR="00D27C5C" w:rsidRPr="00D27C5C" w:rsidRDefault="00D27C5C" w:rsidP="00D27C5C">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#5</w:t>
            </w:r>
          </w:p>
        </w:tc>
      </w:tr>
      <w:tr w:rsidR="00D27C5C" w:rsidRPr="002363C2" w14:paraId="0BE40008" w14:textId="77777777" w:rsidTr="00D27C5C">
        <w:trPr>
          <w:trHeight w:val="475"/>
          <w:jc w:val="center"/>
        </w:trPr>
        <w:tc>
          <w:tcPr>
            <w:tcW w:w="1843" w:type="dxa"/>
            <w:tcBorders>
              <w:top w:val="single" w:sz="4" w:space="0" w:color="auto"/>
            </w:tcBorders>
            <w:noWrap/>
            <w:vAlign w:val="center"/>
          </w:tcPr>
          <w:p w14:paraId="6A22D4E7" w14:textId="16B54C17" w:rsidR="00D27C5C" w:rsidRPr="003D6701" w:rsidRDefault="00D27C5C" w:rsidP="00D27C5C">
            <w:pPr>
              <w:ind w:left="28"/>
              <w:jc w:val="center"/>
              <w:rPr>
                <w:rFonts w:ascii="Times New Roman" w:hAnsi="Times New Roman"/>
                <w:bCs/>
                <w:iCs/>
                <w:color w:val="000000"/>
                <w:sz w:val="20"/>
              </w:rPr>
            </w:pPr>
            <w:r>
              <w:rPr>
                <w:rFonts w:ascii="Times New Roman" w:hAnsi="Times New Roman"/>
                <w:bCs/>
                <w:iCs/>
                <w:color w:val="000000"/>
                <w:sz w:val="20"/>
              </w:rPr>
              <w:t>Number of Layers</w:t>
            </w:r>
          </w:p>
        </w:tc>
        <w:tc>
          <w:tcPr>
            <w:tcW w:w="1587" w:type="dxa"/>
            <w:tcBorders>
              <w:top w:val="single" w:sz="4" w:space="0" w:color="auto"/>
            </w:tcBorders>
            <w:noWrap/>
            <w:vAlign w:val="center"/>
          </w:tcPr>
          <w:p w14:paraId="554EA39E" w14:textId="12341AED" w:rsidR="00D27C5C" w:rsidRPr="002363C2" w:rsidRDefault="00D27C5C" w:rsidP="00D27C5C">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220919DF" w14:textId="42290771" w:rsidR="00D27C5C" w:rsidRPr="002363C2" w:rsidRDefault="00D27C5C" w:rsidP="00D27C5C">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3A33250D" w14:textId="2C91ECCD" w:rsidR="00D27C5C" w:rsidRPr="002363C2" w:rsidRDefault="00D27C5C" w:rsidP="00D27C5C">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69238701" w14:textId="4B6AFAD3" w:rsidR="00D27C5C" w:rsidRPr="002363C2" w:rsidRDefault="00A22302" w:rsidP="00D27C5C">
            <w:pPr>
              <w:ind w:left="28"/>
              <w:jc w:val="center"/>
              <w:rPr>
                <w:rFonts w:ascii="Times New Roman" w:hAnsi="Times New Roman"/>
                <w:iCs/>
                <w:color w:val="000000"/>
                <w:sz w:val="20"/>
              </w:rPr>
            </w:pPr>
            <w:r>
              <w:rPr>
                <w:rFonts w:ascii="Times New Roman" w:hAnsi="Times New Roman"/>
                <w:iCs/>
                <w:color w:val="000000"/>
                <w:sz w:val="20"/>
              </w:rPr>
              <w:t>5</w:t>
            </w:r>
          </w:p>
        </w:tc>
        <w:tc>
          <w:tcPr>
            <w:tcW w:w="1701" w:type="dxa"/>
            <w:tcBorders>
              <w:top w:val="single" w:sz="4" w:space="0" w:color="auto"/>
            </w:tcBorders>
            <w:noWrap/>
            <w:vAlign w:val="center"/>
          </w:tcPr>
          <w:p w14:paraId="44E7CE59" w14:textId="33A3B5E4" w:rsidR="00D27C5C" w:rsidRPr="002363C2" w:rsidRDefault="00A22302" w:rsidP="00D27C5C">
            <w:pPr>
              <w:ind w:left="28"/>
              <w:jc w:val="center"/>
              <w:rPr>
                <w:rFonts w:ascii="Times New Roman" w:hAnsi="Times New Roman"/>
                <w:iCs/>
                <w:color w:val="000000"/>
                <w:sz w:val="20"/>
              </w:rPr>
            </w:pPr>
            <w:r>
              <w:rPr>
                <w:rFonts w:ascii="Times New Roman" w:hAnsi="Times New Roman"/>
                <w:iCs/>
                <w:color w:val="000000"/>
                <w:sz w:val="20"/>
              </w:rPr>
              <w:t>5</w:t>
            </w:r>
          </w:p>
        </w:tc>
      </w:tr>
      <w:tr w:rsidR="00D27C5C" w:rsidRPr="002363C2" w14:paraId="609C92F4" w14:textId="77777777" w:rsidTr="00D27C5C">
        <w:trPr>
          <w:trHeight w:val="475"/>
          <w:jc w:val="center"/>
        </w:trPr>
        <w:tc>
          <w:tcPr>
            <w:tcW w:w="1843" w:type="dxa"/>
            <w:tcBorders>
              <w:top w:val="single" w:sz="4" w:space="0" w:color="auto"/>
            </w:tcBorders>
            <w:noWrap/>
            <w:vAlign w:val="center"/>
          </w:tcPr>
          <w:p w14:paraId="710A89D9" w14:textId="02FFCA19" w:rsidR="00D27C5C" w:rsidRDefault="00D27C5C" w:rsidP="00D27C5C">
            <w:pPr>
              <w:ind w:left="28"/>
              <w:jc w:val="center"/>
              <w:rPr>
                <w:rFonts w:ascii="Times New Roman" w:hAnsi="Times New Roman"/>
                <w:bCs/>
                <w:iCs/>
                <w:color w:val="000000"/>
                <w:sz w:val="20"/>
              </w:rPr>
            </w:pPr>
            <w:r>
              <w:rPr>
                <w:rFonts w:ascii="Times New Roman" w:hAnsi="Times New Roman"/>
                <w:bCs/>
                <w:iCs/>
                <w:color w:val="000000"/>
                <w:sz w:val="20"/>
              </w:rPr>
              <w:t>Number of Neurons</w:t>
            </w:r>
          </w:p>
        </w:tc>
        <w:tc>
          <w:tcPr>
            <w:tcW w:w="1587" w:type="dxa"/>
            <w:tcBorders>
              <w:top w:val="single" w:sz="4" w:space="0" w:color="auto"/>
            </w:tcBorders>
            <w:noWrap/>
            <w:vAlign w:val="center"/>
          </w:tcPr>
          <w:p w14:paraId="3C5745EA" w14:textId="73F9B1D1"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3</w:t>
            </w:r>
          </w:p>
        </w:tc>
        <w:tc>
          <w:tcPr>
            <w:tcW w:w="1587" w:type="dxa"/>
            <w:tcBorders>
              <w:top w:val="single" w:sz="4" w:space="0" w:color="auto"/>
            </w:tcBorders>
            <w:vAlign w:val="center"/>
          </w:tcPr>
          <w:p w14:paraId="6B69AE85" w14:textId="3B0F47E7"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31FE6694" w14:textId="75363E0D"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7</w:t>
            </w:r>
          </w:p>
        </w:tc>
        <w:tc>
          <w:tcPr>
            <w:tcW w:w="1587" w:type="dxa"/>
            <w:tcBorders>
              <w:top w:val="single" w:sz="4" w:space="0" w:color="auto"/>
            </w:tcBorders>
            <w:vAlign w:val="center"/>
          </w:tcPr>
          <w:p w14:paraId="6240034E" w14:textId="6225592D" w:rsidR="00D27C5C" w:rsidRDefault="00A22302" w:rsidP="00D27C5C">
            <w:pPr>
              <w:ind w:left="28"/>
              <w:jc w:val="center"/>
              <w:rPr>
                <w:rFonts w:ascii="Times New Roman" w:hAnsi="Times New Roman"/>
                <w:iCs/>
                <w:color w:val="000000"/>
                <w:sz w:val="20"/>
              </w:rPr>
            </w:pPr>
            <w:r>
              <w:rPr>
                <w:rFonts w:ascii="Times New Roman" w:hAnsi="Times New Roman"/>
                <w:iCs/>
                <w:color w:val="000000"/>
                <w:sz w:val="20"/>
              </w:rPr>
              <w:t>9</w:t>
            </w:r>
          </w:p>
        </w:tc>
        <w:tc>
          <w:tcPr>
            <w:tcW w:w="1701" w:type="dxa"/>
            <w:tcBorders>
              <w:top w:val="single" w:sz="4" w:space="0" w:color="auto"/>
            </w:tcBorders>
            <w:noWrap/>
            <w:vAlign w:val="center"/>
          </w:tcPr>
          <w:p w14:paraId="7B21F40D" w14:textId="6556CCD2" w:rsidR="00D27C5C" w:rsidRDefault="00A22302" w:rsidP="00D27C5C">
            <w:pPr>
              <w:ind w:left="28"/>
              <w:jc w:val="center"/>
              <w:rPr>
                <w:rFonts w:ascii="Times New Roman" w:hAnsi="Times New Roman"/>
                <w:iCs/>
                <w:color w:val="000000"/>
                <w:sz w:val="20"/>
              </w:rPr>
            </w:pPr>
            <w:r>
              <w:rPr>
                <w:rFonts w:ascii="Times New Roman" w:hAnsi="Times New Roman"/>
                <w:iCs/>
                <w:color w:val="000000"/>
                <w:sz w:val="20"/>
              </w:rPr>
              <w:t>15</w:t>
            </w:r>
          </w:p>
        </w:tc>
      </w:tr>
      <w:tr w:rsidR="00D27C5C" w:rsidRPr="002363C2" w14:paraId="2867A18F" w14:textId="77777777" w:rsidTr="00D27C5C">
        <w:trPr>
          <w:trHeight w:val="475"/>
          <w:jc w:val="center"/>
        </w:trPr>
        <w:tc>
          <w:tcPr>
            <w:tcW w:w="1843" w:type="dxa"/>
            <w:tcBorders>
              <w:top w:val="single" w:sz="4" w:space="0" w:color="auto"/>
            </w:tcBorders>
            <w:noWrap/>
            <w:vAlign w:val="center"/>
          </w:tcPr>
          <w:p w14:paraId="3E8646F2" w14:textId="4A7FA589" w:rsidR="00D27C5C" w:rsidRDefault="00D27C5C" w:rsidP="00D27C5C">
            <w:pPr>
              <w:ind w:left="28"/>
              <w:jc w:val="center"/>
              <w:rPr>
                <w:rFonts w:ascii="Times New Roman" w:hAnsi="Times New Roman"/>
                <w:bCs/>
                <w:iCs/>
                <w:color w:val="000000"/>
                <w:sz w:val="20"/>
              </w:rPr>
            </w:pPr>
            <w:r>
              <w:rPr>
                <w:rFonts w:ascii="Times New Roman" w:hAnsi="Times New Roman"/>
                <w:bCs/>
                <w:iCs/>
                <w:color w:val="000000"/>
                <w:sz w:val="20"/>
              </w:rPr>
              <w:t>Number of Iterations</w:t>
            </w:r>
          </w:p>
        </w:tc>
        <w:tc>
          <w:tcPr>
            <w:tcW w:w="1587" w:type="dxa"/>
            <w:tcBorders>
              <w:top w:val="single" w:sz="4" w:space="0" w:color="auto"/>
            </w:tcBorders>
            <w:noWrap/>
            <w:vAlign w:val="center"/>
          </w:tcPr>
          <w:p w14:paraId="405C7A85" w14:textId="77EFB614"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100</w:t>
            </w:r>
          </w:p>
        </w:tc>
        <w:tc>
          <w:tcPr>
            <w:tcW w:w="1587" w:type="dxa"/>
            <w:tcBorders>
              <w:top w:val="single" w:sz="4" w:space="0" w:color="auto"/>
            </w:tcBorders>
            <w:vAlign w:val="center"/>
          </w:tcPr>
          <w:p w14:paraId="033A5DC4" w14:textId="3C3DDE9C"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300</w:t>
            </w:r>
          </w:p>
        </w:tc>
        <w:tc>
          <w:tcPr>
            <w:tcW w:w="1587" w:type="dxa"/>
            <w:tcBorders>
              <w:top w:val="single" w:sz="4" w:space="0" w:color="auto"/>
            </w:tcBorders>
            <w:vAlign w:val="center"/>
          </w:tcPr>
          <w:p w14:paraId="55FC4C97" w14:textId="0DAE2709" w:rsidR="00D27C5C" w:rsidRDefault="00D27C5C" w:rsidP="00D27C5C">
            <w:pPr>
              <w:ind w:left="28"/>
              <w:jc w:val="center"/>
              <w:rPr>
                <w:rFonts w:ascii="Times New Roman" w:hAnsi="Times New Roman"/>
                <w:iCs/>
                <w:color w:val="000000"/>
                <w:sz w:val="20"/>
              </w:rPr>
            </w:pPr>
            <w:r>
              <w:rPr>
                <w:rFonts w:ascii="Times New Roman" w:hAnsi="Times New Roman"/>
                <w:iCs/>
                <w:color w:val="000000"/>
                <w:sz w:val="20"/>
              </w:rPr>
              <w:t>500</w:t>
            </w:r>
          </w:p>
        </w:tc>
        <w:tc>
          <w:tcPr>
            <w:tcW w:w="1587" w:type="dxa"/>
            <w:tcBorders>
              <w:top w:val="single" w:sz="4" w:space="0" w:color="auto"/>
            </w:tcBorders>
            <w:vAlign w:val="center"/>
          </w:tcPr>
          <w:p w14:paraId="3C715BD2" w14:textId="376187CE" w:rsidR="00D27C5C" w:rsidRDefault="00A22302" w:rsidP="00D27C5C">
            <w:pPr>
              <w:ind w:left="28"/>
              <w:jc w:val="center"/>
              <w:rPr>
                <w:rFonts w:ascii="Times New Roman" w:hAnsi="Times New Roman"/>
                <w:iCs/>
                <w:color w:val="000000"/>
                <w:sz w:val="20"/>
              </w:rPr>
            </w:pPr>
            <w:r>
              <w:rPr>
                <w:rFonts w:ascii="Times New Roman" w:hAnsi="Times New Roman"/>
                <w:iCs/>
                <w:color w:val="000000"/>
                <w:sz w:val="20"/>
              </w:rPr>
              <w:t>700</w:t>
            </w:r>
          </w:p>
        </w:tc>
        <w:tc>
          <w:tcPr>
            <w:tcW w:w="1701" w:type="dxa"/>
            <w:tcBorders>
              <w:top w:val="single" w:sz="4" w:space="0" w:color="auto"/>
            </w:tcBorders>
            <w:noWrap/>
            <w:vAlign w:val="center"/>
          </w:tcPr>
          <w:p w14:paraId="36D51A88" w14:textId="53C497DE" w:rsidR="00D27C5C" w:rsidRDefault="00A22302" w:rsidP="00D27C5C">
            <w:pPr>
              <w:ind w:left="28"/>
              <w:jc w:val="center"/>
              <w:rPr>
                <w:rFonts w:ascii="Times New Roman" w:hAnsi="Times New Roman"/>
                <w:iCs/>
                <w:color w:val="000000"/>
                <w:sz w:val="20"/>
              </w:rPr>
            </w:pPr>
            <w:r>
              <w:rPr>
                <w:rFonts w:ascii="Times New Roman" w:hAnsi="Times New Roman"/>
                <w:iCs/>
                <w:color w:val="000000"/>
                <w:sz w:val="20"/>
              </w:rPr>
              <w:t>1500</w:t>
            </w:r>
          </w:p>
        </w:tc>
      </w:tr>
    </w:tbl>
    <w:p w14:paraId="7004B04F" w14:textId="1E5BC83D" w:rsidR="00710C62" w:rsidRDefault="00710C62" w:rsidP="00624FC7">
      <w:pPr>
        <w:pStyle w:val="BodytextIndented"/>
        <w:spacing w:after="240"/>
        <w:rPr>
          <w:rFonts w:ascii="Times New Roman" w:hAnsi="Times New Roman"/>
          <w:bCs/>
          <w:lang w:val="en-GB"/>
        </w:rPr>
      </w:pPr>
    </w:p>
    <w:p w14:paraId="030F26DD" w14:textId="66E4EABC" w:rsidR="00A22302" w:rsidRPr="002363C2" w:rsidRDefault="00A22302" w:rsidP="00A22302">
      <w:pPr>
        <w:pStyle w:val="TableCaptionCentred"/>
        <w:ind w:left="28"/>
        <w:rPr>
          <w:rFonts w:ascii="Times New Roman" w:hAnsi="Times New Roman"/>
        </w:rPr>
      </w:pPr>
      <w:r w:rsidRPr="002363C2">
        <w:rPr>
          <w:rFonts w:ascii="Times New Roman" w:hAnsi="Times New Roman"/>
          <w:b/>
        </w:rPr>
        <w:t xml:space="preserve">Table </w:t>
      </w:r>
      <w:r>
        <w:rPr>
          <w:rFonts w:ascii="Times New Roman" w:hAnsi="Times New Roman"/>
          <w:b/>
        </w:rPr>
        <w:t>4</w:t>
      </w:r>
      <w:r w:rsidRPr="002363C2">
        <w:rPr>
          <w:rFonts w:ascii="Times New Roman" w:hAnsi="Times New Roman"/>
          <w:b/>
        </w:rPr>
        <w:t>.</w:t>
      </w:r>
      <w:r>
        <w:rPr>
          <w:rFonts w:ascii="Times New Roman" w:hAnsi="Times New Roman"/>
          <w:bCs/>
        </w:rPr>
        <w:t xml:space="preserve"> Combination of parameters for Random Forest</w:t>
      </w:r>
      <w:r w:rsidRPr="002363C2">
        <w:rPr>
          <w:rFonts w:ascii="Times New Roman" w:hAnsi="Times New Roman"/>
        </w:rPr>
        <w:t>.</w:t>
      </w:r>
    </w:p>
    <w:tbl>
      <w:tblPr>
        <w:tblW w:w="9892" w:type="dxa"/>
        <w:jc w:val="center"/>
        <w:tblLayout w:type="fixed"/>
        <w:tblCellMar>
          <w:left w:w="0" w:type="dxa"/>
          <w:right w:w="0" w:type="dxa"/>
        </w:tblCellMar>
        <w:tblLook w:val="0000" w:firstRow="0" w:lastRow="0" w:firstColumn="0" w:lastColumn="0" w:noHBand="0" w:noVBand="0"/>
      </w:tblPr>
      <w:tblGrid>
        <w:gridCol w:w="1843"/>
        <w:gridCol w:w="1587"/>
        <w:gridCol w:w="1587"/>
        <w:gridCol w:w="1587"/>
        <w:gridCol w:w="1587"/>
        <w:gridCol w:w="1701"/>
      </w:tblGrid>
      <w:tr w:rsidR="00A22302" w:rsidRPr="00D27C5C" w14:paraId="363E279E" w14:textId="77777777" w:rsidTr="00EB5A85">
        <w:trPr>
          <w:trHeight w:val="475"/>
          <w:jc w:val="center"/>
        </w:trPr>
        <w:tc>
          <w:tcPr>
            <w:tcW w:w="1843" w:type="dxa"/>
            <w:tcBorders>
              <w:top w:val="single" w:sz="6" w:space="0" w:color="auto"/>
              <w:bottom w:val="single" w:sz="4" w:space="0" w:color="auto"/>
            </w:tcBorders>
            <w:noWrap/>
            <w:vAlign w:val="center"/>
          </w:tcPr>
          <w:p w14:paraId="77528E00" w14:textId="77777777" w:rsidR="00A22302" w:rsidRPr="00D27C5C" w:rsidRDefault="00A22302" w:rsidP="00EB5A85">
            <w:pPr>
              <w:ind w:left="28"/>
              <w:jc w:val="center"/>
              <w:rPr>
                <w:rFonts w:ascii="Times New Roman" w:hAnsi="Times New Roman"/>
                <w:b/>
                <w:sz w:val="20"/>
                <w:u w:val="single"/>
              </w:rPr>
            </w:pPr>
          </w:p>
        </w:tc>
        <w:tc>
          <w:tcPr>
            <w:tcW w:w="1587" w:type="dxa"/>
            <w:tcBorders>
              <w:top w:val="single" w:sz="6" w:space="0" w:color="auto"/>
              <w:bottom w:val="single" w:sz="4" w:space="0" w:color="auto"/>
            </w:tcBorders>
            <w:noWrap/>
            <w:vAlign w:val="center"/>
          </w:tcPr>
          <w:p w14:paraId="351E8C2A" w14:textId="77777777" w:rsidR="00A22302" w:rsidRPr="00D27C5C" w:rsidRDefault="00A22302"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#1</w:t>
            </w:r>
          </w:p>
        </w:tc>
        <w:tc>
          <w:tcPr>
            <w:tcW w:w="1587" w:type="dxa"/>
            <w:tcBorders>
              <w:top w:val="single" w:sz="6" w:space="0" w:color="auto"/>
              <w:bottom w:val="single" w:sz="4" w:space="0" w:color="auto"/>
            </w:tcBorders>
            <w:vAlign w:val="center"/>
          </w:tcPr>
          <w:p w14:paraId="6FF402E4" w14:textId="77777777" w:rsidR="00A22302" w:rsidRPr="00D27C5C" w:rsidRDefault="00A22302"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#2</w:t>
            </w:r>
          </w:p>
        </w:tc>
        <w:tc>
          <w:tcPr>
            <w:tcW w:w="1587" w:type="dxa"/>
            <w:tcBorders>
              <w:top w:val="single" w:sz="6" w:space="0" w:color="auto"/>
              <w:bottom w:val="single" w:sz="4" w:space="0" w:color="auto"/>
            </w:tcBorders>
            <w:vAlign w:val="center"/>
          </w:tcPr>
          <w:p w14:paraId="7F1FEAA6" w14:textId="77777777" w:rsidR="00A22302" w:rsidRPr="00D27C5C" w:rsidRDefault="00A22302"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#3</w:t>
            </w:r>
          </w:p>
        </w:tc>
        <w:tc>
          <w:tcPr>
            <w:tcW w:w="1587" w:type="dxa"/>
            <w:tcBorders>
              <w:top w:val="single" w:sz="6" w:space="0" w:color="auto"/>
              <w:bottom w:val="single" w:sz="4" w:space="0" w:color="auto"/>
            </w:tcBorders>
            <w:vAlign w:val="center"/>
          </w:tcPr>
          <w:p w14:paraId="0679CC08" w14:textId="77777777" w:rsidR="00A22302" w:rsidRPr="00D27C5C" w:rsidRDefault="00A22302"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#4</w:t>
            </w:r>
          </w:p>
        </w:tc>
        <w:tc>
          <w:tcPr>
            <w:tcW w:w="1701" w:type="dxa"/>
            <w:tcBorders>
              <w:top w:val="single" w:sz="6" w:space="0" w:color="auto"/>
              <w:bottom w:val="single" w:sz="4" w:space="0" w:color="auto"/>
            </w:tcBorders>
            <w:noWrap/>
            <w:vAlign w:val="center"/>
          </w:tcPr>
          <w:p w14:paraId="09950DC6" w14:textId="77777777" w:rsidR="00A22302" w:rsidRPr="00D27C5C" w:rsidRDefault="00A22302"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#5</w:t>
            </w:r>
          </w:p>
        </w:tc>
      </w:tr>
      <w:tr w:rsidR="00A22302" w:rsidRPr="002363C2" w14:paraId="5B4AB587" w14:textId="77777777" w:rsidTr="00EB5A85">
        <w:trPr>
          <w:trHeight w:val="475"/>
          <w:jc w:val="center"/>
        </w:trPr>
        <w:tc>
          <w:tcPr>
            <w:tcW w:w="1843" w:type="dxa"/>
            <w:tcBorders>
              <w:top w:val="single" w:sz="4" w:space="0" w:color="auto"/>
            </w:tcBorders>
            <w:noWrap/>
            <w:vAlign w:val="center"/>
          </w:tcPr>
          <w:p w14:paraId="0982A534" w14:textId="1FC5295B" w:rsidR="00A22302" w:rsidRPr="003D6701" w:rsidRDefault="00A22302" w:rsidP="00EB5A85">
            <w:pPr>
              <w:ind w:left="28"/>
              <w:jc w:val="center"/>
              <w:rPr>
                <w:rFonts w:ascii="Times New Roman" w:hAnsi="Times New Roman"/>
                <w:bCs/>
                <w:iCs/>
                <w:color w:val="000000"/>
                <w:sz w:val="20"/>
              </w:rPr>
            </w:pPr>
            <w:r>
              <w:rPr>
                <w:rFonts w:ascii="Times New Roman" w:hAnsi="Times New Roman"/>
                <w:bCs/>
                <w:iCs/>
                <w:color w:val="000000"/>
                <w:sz w:val="20"/>
              </w:rPr>
              <w:t>Maximum tree depth</w:t>
            </w:r>
          </w:p>
        </w:tc>
        <w:tc>
          <w:tcPr>
            <w:tcW w:w="1587" w:type="dxa"/>
            <w:tcBorders>
              <w:top w:val="single" w:sz="4" w:space="0" w:color="auto"/>
            </w:tcBorders>
            <w:noWrap/>
            <w:vAlign w:val="center"/>
          </w:tcPr>
          <w:p w14:paraId="74087655" w14:textId="6DD5096A" w:rsidR="00A22302" w:rsidRPr="002363C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03B08ECC" w14:textId="221F8AE9" w:rsidR="00A22302" w:rsidRPr="002363C2" w:rsidRDefault="00A22302" w:rsidP="00EB5A85">
            <w:pPr>
              <w:ind w:left="28"/>
              <w:jc w:val="center"/>
              <w:rPr>
                <w:rFonts w:ascii="Times New Roman" w:hAnsi="Times New Roman"/>
                <w:iCs/>
                <w:color w:val="000000"/>
                <w:sz w:val="20"/>
              </w:rPr>
            </w:pPr>
            <w:r>
              <w:rPr>
                <w:rFonts w:ascii="Times New Roman" w:hAnsi="Times New Roman"/>
                <w:iCs/>
                <w:color w:val="000000"/>
                <w:sz w:val="20"/>
              </w:rPr>
              <w:t>10</w:t>
            </w:r>
          </w:p>
        </w:tc>
        <w:tc>
          <w:tcPr>
            <w:tcW w:w="1587" w:type="dxa"/>
            <w:tcBorders>
              <w:top w:val="single" w:sz="4" w:space="0" w:color="auto"/>
            </w:tcBorders>
            <w:vAlign w:val="center"/>
          </w:tcPr>
          <w:p w14:paraId="2762DB96" w14:textId="7BDB450B" w:rsidR="00A22302" w:rsidRPr="002363C2" w:rsidRDefault="00A22302" w:rsidP="00EB5A85">
            <w:pPr>
              <w:ind w:left="28"/>
              <w:jc w:val="center"/>
              <w:rPr>
                <w:rFonts w:ascii="Times New Roman" w:hAnsi="Times New Roman"/>
                <w:iCs/>
                <w:color w:val="000000"/>
                <w:sz w:val="20"/>
              </w:rPr>
            </w:pPr>
            <w:r>
              <w:rPr>
                <w:rFonts w:ascii="Times New Roman" w:hAnsi="Times New Roman"/>
                <w:iCs/>
                <w:color w:val="000000"/>
                <w:sz w:val="20"/>
              </w:rPr>
              <w:t>20</w:t>
            </w:r>
          </w:p>
        </w:tc>
        <w:tc>
          <w:tcPr>
            <w:tcW w:w="1587" w:type="dxa"/>
            <w:tcBorders>
              <w:top w:val="single" w:sz="4" w:space="0" w:color="auto"/>
            </w:tcBorders>
            <w:vAlign w:val="center"/>
          </w:tcPr>
          <w:p w14:paraId="168EDB2B" w14:textId="14464190" w:rsidR="00A22302" w:rsidRPr="002363C2" w:rsidRDefault="00A22302" w:rsidP="00EB5A85">
            <w:pPr>
              <w:ind w:left="28"/>
              <w:jc w:val="center"/>
              <w:rPr>
                <w:rFonts w:ascii="Times New Roman" w:hAnsi="Times New Roman"/>
                <w:iCs/>
                <w:color w:val="000000"/>
                <w:sz w:val="20"/>
              </w:rPr>
            </w:pPr>
            <w:r>
              <w:rPr>
                <w:rFonts w:ascii="Times New Roman" w:hAnsi="Times New Roman"/>
                <w:iCs/>
                <w:color w:val="000000"/>
                <w:sz w:val="20"/>
              </w:rPr>
              <w:t>30</w:t>
            </w:r>
          </w:p>
        </w:tc>
        <w:tc>
          <w:tcPr>
            <w:tcW w:w="1701" w:type="dxa"/>
            <w:tcBorders>
              <w:top w:val="single" w:sz="4" w:space="0" w:color="auto"/>
            </w:tcBorders>
            <w:noWrap/>
            <w:vAlign w:val="center"/>
          </w:tcPr>
          <w:p w14:paraId="017AB3A7" w14:textId="4212B16B" w:rsidR="00A22302" w:rsidRPr="002363C2" w:rsidRDefault="00A22302" w:rsidP="00EB5A85">
            <w:pPr>
              <w:ind w:left="28"/>
              <w:jc w:val="center"/>
              <w:rPr>
                <w:rFonts w:ascii="Times New Roman" w:hAnsi="Times New Roman"/>
                <w:iCs/>
                <w:color w:val="000000"/>
                <w:sz w:val="20"/>
              </w:rPr>
            </w:pPr>
            <w:r>
              <w:rPr>
                <w:rFonts w:ascii="Times New Roman" w:hAnsi="Times New Roman"/>
                <w:iCs/>
                <w:color w:val="000000"/>
                <w:sz w:val="20"/>
              </w:rPr>
              <w:t>50</w:t>
            </w:r>
          </w:p>
        </w:tc>
      </w:tr>
      <w:tr w:rsidR="00A22302" w:rsidRPr="002363C2" w14:paraId="291323F0" w14:textId="77777777" w:rsidTr="00A22302">
        <w:trPr>
          <w:trHeight w:val="475"/>
          <w:jc w:val="center"/>
        </w:trPr>
        <w:tc>
          <w:tcPr>
            <w:tcW w:w="1843" w:type="dxa"/>
            <w:tcBorders>
              <w:top w:val="single" w:sz="4" w:space="0" w:color="auto"/>
            </w:tcBorders>
            <w:noWrap/>
            <w:vAlign w:val="center"/>
          </w:tcPr>
          <w:p w14:paraId="5C22EE29" w14:textId="4D091205" w:rsidR="00A22302" w:rsidRDefault="00A22302" w:rsidP="00A22302">
            <w:pPr>
              <w:ind w:left="28"/>
              <w:jc w:val="center"/>
              <w:rPr>
                <w:rFonts w:ascii="Times New Roman" w:hAnsi="Times New Roman"/>
                <w:bCs/>
                <w:iCs/>
                <w:color w:val="000000"/>
                <w:sz w:val="20"/>
              </w:rPr>
            </w:pPr>
            <w:r>
              <w:rPr>
                <w:rFonts w:ascii="Times New Roman" w:hAnsi="Times New Roman"/>
                <w:bCs/>
                <w:iCs/>
                <w:color w:val="000000"/>
                <w:sz w:val="20"/>
              </w:rPr>
              <w:t>Maximum sample count</w:t>
            </w:r>
          </w:p>
        </w:tc>
        <w:tc>
          <w:tcPr>
            <w:tcW w:w="1587" w:type="dxa"/>
            <w:tcBorders>
              <w:top w:val="single" w:sz="4" w:space="0" w:color="auto"/>
            </w:tcBorders>
            <w:noWrap/>
            <w:vAlign w:val="center"/>
          </w:tcPr>
          <w:p w14:paraId="43177256" w14:textId="1D558390" w:rsidR="00A22302" w:rsidRDefault="00A22302" w:rsidP="00A22302">
            <w:pPr>
              <w:ind w:left="28"/>
              <w:jc w:val="center"/>
              <w:rPr>
                <w:rFonts w:ascii="Times New Roman" w:hAnsi="Times New Roman"/>
                <w:iCs/>
                <w:color w:val="000000"/>
                <w:sz w:val="20"/>
              </w:rPr>
            </w:pPr>
            <w:r>
              <w:rPr>
                <w:rFonts w:ascii="Times New Roman" w:hAnsi="Times New Roman"/>
                <w:iCs/>
                <w:color w:val="000000"/>
                <w:sz w:val="20"/>
              </w:rPr>
              <w:t>1</w:t>
            </w:r>
          </w:p>
        </w:tc>
        <w:tc>
          <w:tcPr>
            <w:tcW w:w="1587" w:type="dxa"/>
            <w:tcBorders>
              <w:top w:val="single" w:sz="4" w:space="0" w:color="auto"/>
            </w:tcBorders>
            <w:vAlign w:val="center"/>
          </w:tcPr>
          <w:p w14:paraId="758A261B" w14:textId="16D8F28A"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2</w:t>
            </w:r>
          </w:p>
        </w:tc>
        <w:tc>
          <w:tcPr>
            <w:tcW w:w="1587" w:type="dxa"/>
            <w:tcBorders>
              <w:top w:val="single" w:sz="4" w:space="0" w:color="auto"/>
            </w:tcBorders>
            <w:vAlign w:val="center"/>
          </w:tcPr>
          <w:p w14:paraId="4FE4C3FB" w14:textId="37A956C3"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4</w:t>
            </w:r>
          </w:p>
        </w:tc>
        <w:tc>
          <w:tcPr>
            <w:tcW w:w="1587" w:type="dxa"/>
            <w:tcBorders>
              <w:top w:val="single" w:sz="4" w:space="0" w:color="auto"/>
            </w:tcBorders>
            <w:vAlign w:val="center"/>
          </w:tcPr>
          <w:p w14:paraId="163F5CDC" w14:textId="58A4A4A5"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6</w:t>
            </w:r>
          </w:p>
        </w:tc>
        <w:tc>
          <w:tcPr>
            <w:tcW w:w="1701" w:type="dxa"/>
            <w:tcBorders>
              <w:top w:val="single" w:sz="4" w:space="0" w:color="auto"/>
            </w:tcBorders>
            <w:noWrap/>
            <w:vAlign w:val="center"/>
          </w:tcPr>
          <w:p w14:paraId="17DA343F" w14:textId="3C6B6735"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10</w:t>
            </w:r>
          </w:p>
        </w:tc>
      </w:tr>
      <w:tr w:rsidR="00A22302" w:rsidRPr="002363C2" w14:paraId="13D4EFF4" w14:textId="77777777" w:rsidTr="00EB5A85">
        <w:trPr>
          <w:trHeight w:val="475"/>
          <w:jc w:val="center"/>
        </w:trPr>
        <w:tc>
          <w:tcPr>
            <w:tcW w:w="1843" w:type="dxa"/>
            <w:tcBorders>
              <w:top w:val="single" w:sz="4" w:space="0" w:color="auto"/>
            </w:tcBorders>
            <w:noWrap/>
            <w:vAlign w:val="center"/>
          </w:tcPr>
          <w:p w14:paraId="5E5679DD" w14:textId="08463AB2" w:rsidR="00A22302" w:rsidRDefault="00A22302" w:rsidP="00EB5A85">
            <w:pPr>
              <w:ind w:left="28"/>
              <w:jc w:val="center"/>
              <w:rPr>
                <w:rFonts w:ascii="Times New Roman" w:hAnsi="Times New Roman"/>
                <w:bCs/>
                <w:iCs/>
                <w:color w:val="000000"/>
                <w:sz w:val="20"/>
              </w:rPr>
            </w:pPr>
            <w:r>
              <w:rPr>
                <w:rFonts w:ascii="Times New Roman" w:hAnsi="Times New Roman"/>
                <w:bCs/>
                <w:iCs/>
                <w:color w:val="000000"/>
                <w:sz w:val="20"/>
              </w:rPr>
              <w:t>Maximum categories</w:t>
            </w:r>
          </w:p>
        </w:tc>
        <w:tc>
          <w:tcPr>
            <w:tcW w:w="1587" w:type="dxa"/>
            <w:tcBorders>
              <w:top w:val="single" w:sz="4" w:space="0" w:color="auto"/>
            </w:tcBorders>
            <w:noWrap/>
            <w:vAlign w:val="center"/>
          </w:tcPr>
          <w:p w14:paraId="368DFEA9" w14:textId="6EBBDBEC"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006F580A" w14:textId="1D6B7886"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4A91256A" w14:textId="05F2A61E"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c>
          <w:tcPr>
            <w:tcW w:w="1587" w:type="dxa"/>
            <w:tcBorders>
              <w:top w:val="single" w:sz="4" w:space="0" w:color="auto"/>
            </w:tcBorders>
            <w:vAlign w:val="center"/>
          </w:tcPr>
          <w:p w14:paraId="3D552CAD" w14:textId="116CBB3A"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c>
          <w:tcPr>
            <w:tcW w:w="1701" w:type="dxa"/>
            <w:tcBorders>
              <w:top w:val="single" w:sz="4" w:space="0" w:color="auto"/>
            </w:tcBorders>
            <w:noWrap/>
            <w:vAlign w:val="center"/>
          </w:tcPr>
          <w:p w14:paraId="079FADA3" w14:textId="533DE339" w:rsidR="00A22302" w:rsidRDefault="00A22302" w:rsidP="00EB5A85">
            <w:pPr>
              <w:ind w:left="28"/>
              <w:jc w:val="center"/>
              <w:rPr>
                <w:rFonts w:ascii="Times New Roman" w:hAnsi="Times New Roman"/>
                <w:iCs/>
                <w:color w:val="000000"/>
                <w:sz w:val="20"/>
              </w:rPr>
            </w:pPr>
            <w:r>
              <w:rPr>
                <w:rFonts w:ascii="Times New Roman" w:hAnsi="Times New Roman"/>
                <w:iCs/>
                <w:color w:val="000000"/>
                <w:sz w:val="20"/>
              </w:rPr>
              <w:t>5</w:t>
            </w:r>
          </w:p>
        </w:tc>
      </w:tr>
    </w:tbl>
    <w:p w14:paraId="421D8F4C" w14:textId="77777777" w:rsidR="00A22302" w:rsidRDefault="00A22302" w:rsidP="00624FC7">
      <w:pPr>
        <w:pStyle w:val="BodytextIndented"/>
        <w:spacing w:after="240"/>
        <w:rPr>
          <w:rFonts w:ascii="Times New Roman" w:hAnsi="Times New Roman"/>
          <w:bCs/>
          <w:lang w:val="en-GB"/>
        </w:rPr>
      </w:pPr>
    </w:p>
    <w:p w14:paraId="3A79B350" w14:textId="549219E8" w:rsidR="009B7AF6" w:rsidRDefault="009B7AF6" w:rsidP="009B7AF6">
      <w:pPr>
        <w:pStyle w:val="Section"/>
      </w:pPr>
      <w:r w:rsidRPr="002363C2">
        <w:lastRenderedPageBreak/>
        <w:t>Results and discussions</w:t>
      </w:r>
    </w:p>
    <w:p w14:paraId="03F8BE4A" w14:textId="121F9908" w:rsidR="00A2570A" w:rsidRDefault="00E563FD" w:rsidP="00A2570A">
      <w:pPr>
        <w:pStyle w:val="Bodytext"/>
        <w:rPr>
          <w:lang w:val="en-GB"/>
        </w:rPr>
      </w:pPr>
      <w:r>
        <w:rPr>
          <w:lang w:val="en-GB"/>
        </w:rPr>
        <w:t xml:space="preserve">In Table 5. and Table 6. the results will be shown. All the results shown are presented in Kappa indices. </w:t>
      </w:r>
    </w:p>
    <w:p w14:paraId="7DA3BA72" w14:textId="615B800E" w:rsidR="00E563FD" w:rsidRPr="002363C2" w:rsidRDefault="00E563FD" w:rsidP="00E563FD">
      <w:pPr>
        <w:pStyle w:val="TableCaptionCentred"/>
        <w:ind w:left="28"/>
        <w:rPr>
          <w:rFonts w:ascii="Times New Roman" w:hAnsi="Times New Roman"/>
        </w:rPr>
      </w:pPr>
      <w:r w:rsidRPr="002363C2">
        <w:rPr>
          <w:rFonts w:ascii="Times New Roman" w:hAnsi="Times New Roman"/>
          <w:b/>
        </w:rPr>
        <w:t xml:space="preserve">Table </w:t>
      </w:r>
      <w:r>
        <w:rPr>
          <w:rFonts w:ascii="Times New Roman" w:hAnsi="Times New Roman"/>
          <w:b/>
        </w:rPr>
        <w:t>5</w:t>
      </w:r>
      <w:r w:rsidRPr="002363C2">
        <w:rPr>
          <w:rFonts w:ascii="Times New Roman" w:hAnsi="Times New Roman"/>
          <w:b/>
        </w:rPr>
        <w:t>.</w:t>
      </w:r>
      <w:r>
        <w:rPr>
          <w:rFonts w:ascii="Times New Roman" w:hAnsi="Times New Roman"/>
          <w:bCs/>
        </w:rPr>
        <w:t xml:space="preserve"> Classification accuracy for city of Varaždin</w:t>
      </w:r>
      <w:r w:rsidRPr="002363C2">
        <w:rPr>
          <w:rFonts w:ascii="Times New Roman" w:hAnsi="Times New Roman"/>
        </w:rPr>
        <w:t>.</w:t>
      </w:r>
    </w:p>
    <w:tbl>
      <w:tblPr>
        <w:tblW w:w="9892" w:type="dxa"/>
        <w:jc w:val="center"/>
        <w:tblLayout w:type="fixed"/>
        <w:tblCellMar>
          <w:left w:w="0" w:type="dxa"/>
          <w:right w:w="0" w:type="dxa"/>
        </w:tblCellMar>
        <w:tblLook w:val="0000" w:firstRow="0" w:lastRow="0" w:firstColumn="0" w:lastColumn="0" w:noHBand="0" w:noVBand="0"/>
      </w:tblPr>
      <w:tblGrid>
        <w:gridCol w:w="1843"/>
        <w:gridCol w:w="1587"/>
        <w:gridCol w:w="1587"/>
        <w:gridCol w:w="1587"/>
        <w:gridCol w:w="1587"/>
        <w:gridCol w:w="1701"/>
      </w:tblGrid>
      <w:tr w:rsidR="00E563FD" w:rsidRPr="00D27C5C" w14:paraId="0DE55FE9" w14:textId="77777777" w:rsidTr="00EB5A85">
        <w:trPr>
          <w:trHeight w:val="475"/>
          <w:jc w:val="center"/>
        </w:trPr>
        <w:tc>
          <w:tcPr>
            <w:tcW w:w="1843" w:type="dxa"/>
            <w:tcBorders>
              <w:top w:val="single" w:sz="6" w:space="0" w:color="auto"/>
              <w:bottom w:val="single" w:sz="4" w:space="0" w:color="auto"/>
            </w:tcBorders>
            <w:noWrap/>
            <w:vAlign w:val="center"/>
          </w:tcPr>
          <w:p w14:paraId="0D3494D0" w14:textId="77777777" w:rsidR="00E563FD" w:rsidRPr="00D27C5C" w:rsidRDefault="00E563FD" w:rsidP="00EB5A85">
            <w:pPr>
              <w:ind w:left="28"/>
              <w:jc w:val="center"/>
              <w:rPr>
                <w:rFonts w:ascii="Times New Roman" w:hAnsi="Times New Roman"/>
                <w:b/>
                <w:sz w:val="20"/>
                <w:u w:val="single"/>
              </w:rPr>
            </w:pPr>
          </w:p>
        </w:tc>
        <w:tc>
          <w:tcPr>
            <w:tcW w:w="1587" w:type="dxa"/>
            <w:tcBorders>
              <w:top w:val="single" w:sz="6" w:space="0" w:color="auto"/>
              <w:bottom w:val="single" w:sz="4" w:space="0" w:color="auto"/>
            </w:tcBorders>
            <w:noWrap/>
            <w:vAlign w:val="center"/>
          </w:tcPr>
          <w:p w14:paraId="353DAA88" w14:textId="77777777" w:rsidR="00E563FD" w:rsidRPr="00D27C5C" w:rsidRDefault="00E563FD"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#1</w:t>
            </w:r>
          </w:p>
        </w:tc>
        <w:tc>
          <w:tcPr>
            <w:tcW w:w="1587" w:type="dxa"/>
            <w:tcBorders>
              <w:top w:val="single" w:sz="6" w:space="0" w:color="auto"/>
              <w:bottom w:val="single" w:sz="4" w:space="0" w:color="auto"/>
            </w:tcBorders>
            <w:vAlign w:val="center"/>
          </w:tcPr>
          <w:p w14:paraId="19C3FB60" w14:textId="77777777" w:rsidR="00E563FD" w:rsidRPr="00D27C5C" w:rsidRDefault="00E563FD"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#2</w:t>
            </w:r>
          </w:p>
        </w:tc>
        <w:tc>
          <w:tcPr>
            <w:tcW w:w="1587" w:type="dxa"/>
            <w:tcBorders>
              <w:top w:val="single" w:sz="6" w:space="0" w:color="auto"/>
              <w:bottom w:val="single" w:sz="4" w:space="0" w:color="auto"/>
            </w:tcBorders>
            <w:vAlign w:val="center"/>
          </w:tcPr>
          <w:p w14:paraId="0E8F4ECC" w14:textId="77777777" w:rsidR="00E563FD" w:rsidRPr="00D27C5C" w:rsidRDefault="00E563FD"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#3</w:t>
            </w:r>
          </w:p>
        </w:tc>
        <w:tc>
          <w:tcPr>
            <w:tcW w:w="1587" w:type="dxa"/>
            <w:tcBorders>
              <w:top w:val="single" w:sz="6" w:space="0" w:color="auto"/>
              <w:bottom w:val="single" w:sz="4" w:space="0" w:color="auto"/>
            </w:tcBorders>
            <w:vAlign w:val="center"/>
          </w:tcPr>
          <w:p w14:paraId="2ACE8F13" w14:textId="77777777" w:rsidR="00E563FD" w:rsidRPr="00D27C5C" w:rsidRDefault="00E563FD"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#4</w:t>
            </w:r>
          </w:p>
        </w:tc>
        <w:tc>
          <w:tcPr>
            <w:tcW w:w="1701" w:type="dxa"/>
            <w:tcBorders>
              <w:top w:val="single" w:sz="6" w:space="0" w:color="auto"/>
              <w:bottom w:val="single" w:sz="4" w:space="0" w:color="auto"/>
            </w:tcBorders>
            <w:noWrap/>
            <w:vAlign w:val="center"/>
          </w:tcPr>
          <w:p w14:paraId="515390C3" w14:textId="77777777" w:rsidR="00E563FD" w:rsidRPr="00D27C5C" w:rsidRDefault="00E563FD"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#5</w:t>
            </w:r>
          </w:p>
        </w:tc>
      </w:tr>
      <w:tr w:rsidR="00E563FD" w:rsidRPr="002363C2" w14:paraId="22F0F987" w14:textId="77777777" w:rsidTr="00EB5A85">
        <w:trPr>
          <w:trHeight w:val="475"/>
          <w:jc w:val="center"/>
        </w:trPr>
        <w:tc>
          <w:tcPr>
            <w:tcW w:w="1843" w:type="dxa"/>
            <w:tcBorders>
              <w:top w:val="single" w:sz="4" w:space="0" w:color="auto"/>
            </w:tcBorders>
            <w:noWrap/>
            <w:vAlign w:val="center"/>
          </w:tcPr>
          <w:p w14:paraId="339D23AB" w14:textId="76522BF4" w:rsidR="00E563FD" w:rsidRPr="003D6701" w:rsidRDefault="00E563FD" w:rsidP="00EB5A85">
            <w:pPr>
              <w:ind w:left="28"/>
              <w:jc w:val="center"/>
              <w:rPr>
                <w:rFonts w:ascii="Times New Roman" w:hAnsi="Times New Roman"/>
                <w:bCs/>
                <w:iCs/>
                <w:color w:val="000000"/>
                <w:sz w:val="20"/>
              </w:rPr>
            </w:pPr>
            <w:r>
              <w:rPr>
                <w:rFonts w:ascii="Times New Roman" w:hAnsi="Times New Roman"/>
                <w:bCs/>
                <w:iCs/>
                <w:color w:val="000000"/>
                <w:sz w:val="20"/>
              </w:rPr>
              <w:t>Artificial Neural Network</w:t>
            </w:r>
          </w:p>
        </w:tc>
        <w:tc>
          <w:tcPr>
            <w:tcW w:w="1587" w:type="dxa"/>
            <w:tcBorders>
              <w:top w:val="single" w:sz="4" w:space="0" w:color="auto"/>
            </w:tcBorders>
            <w:noWrap/>
            <w:vAlign w:val="center"/>
          </w:tcPr>
          <w:p w14:paraId="2E6E2F8A" w14:textId="3A740E4F" w:rsidR="00E563FD"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52,19%</w:t>
            </w:r>
          </w:p>
        </w:tc>
        <w:tc>
          <w:tcPr>
            <w:tcW w:w="1587" w:type="dxa"/>
            <w:tcBorders>
              <w:top w:val="single" w:sz="4" w:space="0" w:color="auto"/>
            </w:tcBorders>
            <w:vAlign w:val="center"/>
          </w:tcPr>
          <w:p w14:paraId="5422817F" w14:textId="19F2480E" w:rsidR="00E563FD"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49,37%</w:t>
            </w:r>
          </w:p>
        </w:tc>
        <w:tc>
          <w:tcPr>
            <w:tcW w:w="1587" w:type="dxa"/>
            <w:tcBorders>
              <w:top w:val="single" w:sz="4" w:space="0" w:color="auto"/>
            </w:tcBorders>
            <w:vAlign w:val="center"/>
          </w:tcPr>
          <w:p w14:paraId="4ACEC019" w14:textId="4390967C" w:rsidR="00E563FD"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0,00%</w:t>
            </w:r>
          </w:p>
        </w:tc>
        <w:tc>
          <w:tcPr>
            <w:tcW w:w="1587" w:type="dxa"/>
            <w:tcBorders>
              <w:top w:val="single" w:sz="4" w:space="0" w:color="auto"/>
            </w:tcBorders>
            <w:vAlign w:val="center"/>
          </w:tcPr>
          <w:p w14:paraId="78AC6C8D" w14:textId="1E92C981" w:rsidR="00E563FD"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33,99%</w:t>
            </w:r>
          </w:p>
        </w:tc>
        <w:tc>
          <w:tcPr>
            <w:tcW w:w="1701" w:type="dxa"/>
            <w:tcBorders>
              <w:top w:val="single" w:sz="4" w:space="0" w:color="auto"/>
            </w:tcBorders>
            <w:noWrap/>
            <w:vAlign w:val="center"/>
          </w:tcPr>
          <w:p w14:paraId="09CD4587" w14:textId="37256E78" w:rsidR="00E563FD"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43,59%</w:t>
            </w:r>
          </w:p>
        </w:tc>
      </w:tr>
      <w:tr w:rsidR="00300850" w:rsidRPr="002363C2" w14:paraId="31292478" w14:textId="77777777" w:rsidTr="00300850">
        <w:trPr>
          <w:trHeight w:val="475"/>
          <w:jc w:val="center"/>
        </w:trPr>
        <w:tc>
          <w:tcPr>
            <w:tcW w:w="1843" w:type="dxa"/>
            <w:tcBorders>
              <w:top w:val="single" w:sz="4" w:space="0" w:color="auto"/>
            </w:tcBorders>
            <w:noWrap/>
            <w:vAlign w:val="center"/>
          </w:tcPr>
          <w:p w14:paraId="11A16D56" w14:textId="4FBD0D21" w:rsidR="00300850" w:rsidRDefault="00300850" w:rsidP="00EB5A85">
            <w:pPr>
              <w:ind w:left="28"/>
              <w:jc w:val="center"/>
              <w:rPr>
                <w:rFonts w:ascii="Times New Roman" w:hAnsi="Times New Roman"/>
                <w:bCs/>
                <w:iCs/>
                <w:color w:val="000000"/>
                <w:sz w:val="20"/>
              </w:rPr>
            </w:pPr>
            <w:r>
              <w:rPr>
                <w:rFonts w:ascii="Times New Roman" w:hAnsi="Times New Roman"/>
                <w:bCs/>
                <w:iCs/>
                <w:color w:val="000000"/>
                <w:sz w:val="20"/>
              </w:rPr>
              <w:t>Normal Bayes</w:t>
            </w:r>
          </w:p>
        </w:tc>
        <w:tc>
          <w:tcPr>
            <w:tcW w:w="8049" w:type="dxa"/>
            <w:gridSpan w:val="5"/>
            <w:tcBorders>
              <w:top w:val="single" w:sz="4" w:space="0" w:color="auto"/>
            </w:tcBorders>
            <w:noWrap/>
            <w:vAlign w:val="center"/>
          </w:tcPr>
          <w:p w14:paraId="2A94FFE1" w14:textId="5F142953" w:rsidR="00300850" w:rsidRDefault="00300850" w:rsidP="00300850">
            <w:pPr>
              <w:jc w:val="center"/>
              <w:rPr>
                <w:rFonts w:ascii="Times New Roman" w:hAnsi="Times New Roman"/>
                <w:iCs/>
                <w:color w:val="000000"/>
                <w:sz w:val="20"/>
              </w:rPr>
            </w:pPr>
            <w:r>
              <w:rPr>
                <w:rFonts w:ascii="Times New Roman" w:hAnsi="Times New Roman"/>
                <w:iCs/>
                <w:color w:val="000000"/>
                <w:sz w:val="20"/>
              </w:rPr>
              <w:t>64,25%</w:t>
            </w:r>
          </w:p>
        </w:tc>
      </w:tr>
      <w:tr w:rsidR="00E563FD" w:rsidRPr="002363C2" w14:paraId="0D610616" w14:textId="77777777" w:rsidTr="00EB5A85">
        <w:trPr>
          <w:trHeight w:val="475"/>
          <w:jc w:val="center"/>
        </w:trPr>
        <w:tc>
          <w:tcPr>
            <w:tcW w:w="1843" w:type="dxa"/>
            <w:tcBorders>
              <w:top w:val="single" w:sz="4" w:space="0" w:color="auto"/>
            </w:tcBorders>
            <w:noWrap/>
            <w:vAlign w:val="center"/>
          </w:tcPr>
          <w:p w14:paraId="1268DF3F" w14:textId="276B4FA4" w:rsidR="00E563FD" w:rsidRDefault="00300850" w:rsidP="00EB5A85">
            <w:pPr>
              <w:ind w:left="28"/>
              <w:jc w:val="center"/>
              <w:rPr>
                <w:rFonts w:ascii="Times New Roman" w:hAnsi="Times New Roman"/>
                <w:bCs/>
                <w:iCs/>
                <w:color w:val="000000"/>
                <w:sz w:val="20"/>
              </w:rPr>
            </w:pPr>
            <w:r>
              <w:rPr>
                <w:rFonts w:ascii="Times New Roman" w:hAnsi="Times New Roman"/>
                <w:bCs/>
                <w:iCs/>
                <w:color w:val="000000"/>
                <w:sz w:val="20"/>
              </w:rPr>
              <w:t>Random Forest</w:t>
            </w:r>
          </w:p>
        </w:tc>
        <w:tc>
          <w:tcPr>
            <w:tcW w:w="1587" w:type="dxa"/>
            <w:tcBorders>
              <w:top w:val="single" w:sz="4" w:space="0" w:color="auto"/>
            </w:tcBorders>
            <w:noWrap/>
            <w:vAlign w:val="center"/>
          </w:tcPr>
          <w:p w14:paraId="5C492A95" w14:textId="22ECC35C" w:rsidR="00E563FD" w:rsidRDefault="00300850" w:rsidP="00EB5A85">
            <w:pPr>
              <w:ind w:left="28"/>
              <w:jc w:val="center"/>
              <w:rPr>
                <w:rFonts w:ascii="Times New Roman" w:hAnsi="Times New Roman"/>
                <w:iCs/>
                <w:color w:val="000000"/>
                <w:sz w:val="20"/>
              </w:rPr>
            </w:pPr>
            <w:r>
              <w:rPr>
                <w:rFonts w:ascii="Times New Roman" w:hAnsi="Times New Roman"/>
                <w:iCs/>
                <w:color w:val="000000"/>
                <w:sz w:val="20"/>
              </w:rPr>
              <w:t>63,82%</w:t>
            </w:r>
          </w:p>
        </w:tc>
        <w:tc>
          <w:tcPr>
            <w:tcW w:w="1587" w:type="dxa"/>
            <w:tcBorders>
              <w:top w:val="single" w:sz="4" w:space="0" w:color="auto"/>
            </w:tcBorders>
            <w:vAlign w:val="center"/>
          </w:tcPr>
          <w:p w14:paraId="7DF386E4" w14:textId="781AB166" w:rsidR="00E563FD" w:rsidRDefault="00300850" w:rsidP="00EB5A85">
            <w:pPr>
              <w:ind w:left="28"/>
              <w:jc w:val="center"/>
              <w:rPr>
                <w:rFonts w:ascii="Times New Roman" w:hAnsi="Times New Roman"/>
                <w:iCs/>
                <w:color w:val="000000"/>
                <w:sz w:val="20"/>
              </w:rPr>
            </w:pPr>
            <w:r>
              <w:rPr>
                <w:rFonts w:ascii="Times New Roman" w:hAnsi="Times New Roman"/>
                <w:iCs/>
                <w:color w:val="000000"/>
                <w:sz w:val="20"/>
              </w:rPr>
              <w:t>72,65%</w:t>
            </w:r>
          </w:p>
        </w:tc>
        <w:tc>
          <w:tcPr>
            <w:tcW w:w="1587" w:type="dxa"/>
            <w:tcBorders>
              <w:top w:val="single" w:sz="4" w:space="0" w:color="auto"/>
            </w:tcBorders>
            <w:vAlign w:val="center"/>
          </w:tcPr>
          <w:p w14:paraId="028AE732" w14:textId="0555AA23" w:rsidR="00E563FD" w:rsidRDefault="00300850" w:rsidP="00EB5A85">
            <w:pPr>
              <w:ind w:left="28"/>
              <w:jc w:val="center"/>
              <w:rPr>
                <w:rFonts w:ascii="Times New Roman" w:hAnsi="Times New Roman"/>
                <w:iCs/>
                <w:color w:val="000000"/>
                <w:sz w:val="20"/>
              </w:rPr>
            </w:pPr>
            <w:r>
              <w:rPr>
                <w:rFonts w:ascii="Times New Roman" w:hAnsi="Times New Roman"/>
                <w:iCs/>
                <w:color w:val="000000"/>
                <w:sz w:val="20"/>
              </w:rPr>
              <w:t>77,02%</w:t>
            </w:r>
          </w:p>
        </w:tc>
        <w:tc>
          <w:tcPr>
            <w:tcW w:w="1587" w:type="dxa"/>
            <w:tcBorders>
              <w:top w:val="single" w:sz="4" w:space="0" w:color="auto"/>
            </w:tcBorders>
            <w:vAlign w:val="center"/>
          </w:tcPr>
          <w:p w14:paraId="25D42123" w14:textId="4B54E3BF" w:rsidR="00E563FD" w:rsidRDefault="00300850" w:rsidP="00EB5A85">
            <w:pPr>
              <w:ind w:left="28"/>
              <w:jc w:val="center"/>
              <w:rPr>
                <w:rFonts w:ascii="Times New Roman" w:hAnsi="Times New Roman"/>
                <w:iCs/>
                <w:color w:val="000000"/>
                <w:sz w:val="20"/>
              </w:rPr>
            </w:pPr>
            <w:r>
              <w:rPr>
                <w:rFonts w:ascii="Times New Roman" w:hAnsi="Times New Roman"/>
                <w:iCs/>
                <w:color w:val="000000"/>
                <w:sz w:val="20"/>
              </w:rPr>
              <w:t>77,87%</w:t>
            </w:r>
          </w:p>
        </w:tc>
        <w:tc>
          <w:tcPr>
            <w:tcW w:w="1701" w:type="dxa"/>
            <w:tcBorders>
              <w:top w:val="single" w:sz="4" w:space="0" w:color="auto"/>
            </w:tcBorders>
            <w:noWrap/>
            <w:vAlign w:val="center"/>
          </w:tcPr>
          <w:p w14:paraId="5608097E" w14:textId="4F60F865" w:rsidR="00E563FD" w:rsidRDefault="00300850" w:rsidP="00EB5A85">
            <w:pPr>
              <w:ind w:left="28"/>
              <w:jc w:val="center"/>
              <w:rPr>
                <w:rFonts w:ascii="Times New Roman" w:hAnsi="Times New Roman"/>
                <w:iCs/>
                <w:color w:val="000000"/>
                <w:sz w:val="20"/>
              </w:rPr>
            </w:pPr>
            <w:r>
              <w:rPr>
                <w:rFonts w:ascii="Times New Roman" w:hAnsi="Times New Roman"/>
                <w:iCs/>
                <w:color w:val="000000"/>
                <w:sz w:val="20"/>
              </w:rPr>
              <w:t>78,36%</w:t>
            </w:r>
          </w:p>
        </w:tc>
      </w:tr>
    </w:tbl>
    <w:p w14:paraId="43E5ED44" w14:textId="157477EE" w:rsidR="00300850" w:rsidRPr="002363C2" w:rsidRDefault="00300850" w:rsidP="00300850">
      <w:pPr>
        <w:pStyle w:val="TableCaptionCentred"/>
        <w:ind w:left="28"/>
        <w:rPr>
          <w:rFonts w:ascii="Times New Roman" w:hAnsi="Times New Roman"/>
        </w:rPr>
      </w:pPr>
      <w:r w:rsidRPr="002363C2">
        <w:rPr>
          <w:rFonts w:ascii="Times New Roman" w:hAnsi="Times New Roman"/>
          <w:b/>
        </w:rPr>
        <w:t xml:space="preserve">Table </w:t>
      </w:r>
      <w:r>
        <w:rPr>
          <w:rFonts w:ascii="Times New Roman" w:hAnsi="Times New Roman"/>
          <w:b/>
        </w:rPr>
        <w:t>6</w:t>
      </w:r>
      <w:r w:rsidRPr="002363C2">
        <w:rPr>
          <w:rFonts w:ascii="Times New Roman" w:hAnsi="Times New Roman"/>
          <w:b/>
        </w:rPr>
        <w:t>.</w:t>
      </w:r>
      <w:r>
        <w:rPr>
          <w:rFonts w:ascii="Times New Roman" w:hAnsi="Times New Roman"/>
          <w:bCs/>
        </w:rPr>
        <w:t xml:space="preserve"> Classification accuracy for city of Osijek</w:t>
      </w:r>
      <w:r w:rsidRPr="002363C2">
        <w:rPr>
          <w:rFonts w:ascii="Times New Roman" w:hAnsi="Times New Roman"/>
        </w:rPr>
        <w:t>.</w:t>
      </w:r>
    </w:p>
    <w:tbl>
      <w:tblPr>
        <w:tblW w:w="9892" w:type="dxa"/>
        <w:jc w:val="center"/>
        <w:tblLayout w:type="fixed"/>
        <w:tblCellMar>
          <w:left w:w="0" w:type="dxa"/>
          <w:right w:w="0" w:type="dxa"/>
        </w:tblCellMar>
        <w:tblLook w:val="0000" w:firstRow="0" w:lastRow="0" w:firstColumn="0" w:lastColumn="0" w:noHBand="0" w:noVBand="0"/>
      </w:tblPr>
      <w:tblGrid>
        <w:gridCol w:w="1843"/>
        <w:gridCol w:w="1587"/>
        <w:gridCol w:w="1587"/>
        <w:gridCol w:w="1587"/>
        <w:gridCol w:w="1587"/>
        <w:gridCol w:w="1701"/>
      </w:tblGrid>
      <w:tr w:rsidR="00300850" w:rsidRPr="00D27C5C" w14:paraId="6C559409" w14:textId="77777777" w:rsidTr="00EB5A85">
        <w:trPr>
          <w:trHeight w:val="475"/>
          <w:jc w:val="center"/>
        </w:trPr>
        <w:tc>
          <w:tcPr>
            <w:tcW w:w="1843" w:type="dxa"/>
            <w:tcBorders>
              <w:top w:val="single" w:sz="6" w:space="0" w:color="auto"/>
              <w:bottom w:val="single" w:sz="4" w:space="0" w:color="auto"/>
            </w:tcBorders>
            <w:noWrap/>
            <w:vAlign w:val="center"/>
          </w:tcPr>
          <w:p w14:paraId="66CC34A0" w14:textId="77777777" w:rsidR="00300850" w:rsidRPr="00D27C5C" w:rsidRDefault="00300850" w:rsidP="00EB5A85">
            <w:pPr>
              <w:ind w:left="28"/>
              <w:jc w:val="center"/>
              <w:rPr>
                <w:rFonts w:ascii="Times New Roman" w:hAnsi="Times New Roman"/>
                <w:b/>
                <w:sz w:val="20"/>
                <w:u w:val="single"/>
              </w:rPr>
            </w:pPr>
          </w:p>
        </w:tc>
        <w:tc>
          <w:tcPr>
            <w:tcW w:w="1587" w:type="dxa"/>
            <w:tcBorders>
              <w:top w:val="single" w:sz="6" w:space="0" w:color="auto"/>
              <w:bottom w:val="single" w:sz="4" w:space="0" w:color="auto"/>
            </w:tcBorders>
            <w:noWrap/>
            <w:vAlign w:val="center"/>
          </w:tcPr>
          <w:p w14:paraId="430BBFAF" w14:textId="77777777" w:rsidR="00300850" w:rsidRPr="00D27C5C" w:rsidRDefault="00300850"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#1</w:t>
            </w:r>
          </w:p>
        </w:tc>
        <w:tc>
          <w:tcPr>
            <w:tcW w:w="1587" w:type="dxa"/>
            <w:tcBorders>
              <w:top w:val="single" w:sz="6" w:space="0" w:color="auto"/>
              <w:bottom w:val="single" w:sz="4" w:space="0" w:color="auto"/>
            </w:tcBorders>
            <w:vAlign w:val="center"/>
          </w:tcPr>
          <w:p w14:paraId="34C56315" w14:textId="77777777" w:rsidR="00300850" w:rsidRPr="00D27C5C" w:rsidRDefault="00300850"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#2</w:t>
            </w:r>
          </w:p>
        </w:tc>
        <w:tc>
          <w:tcPr>
            <w:tcW w:w="1587" w:type="dxa"/>
            <w:tcBorders>
              <w:top w:val="single" w:sz="6" w:space="0" w:color="auto"/>
              <w:bottom w:val="single" w:sz="4" w:space="0" w:color="auto"/>
            </w:tcBorders>
            <w:vAlign w:val="center"/>
          </w:tcPr>
          <w:p w14:paraId="1376F38C" w14:textId="77777777" w:rsidR="00300850" w:rsidRPr="00D27C5C" w:rsidRDefault="00300850"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#3</w:t>
            </w:r>
          </w:p>
        </w:tc>
        <w:tc>
          <w:tcPr>
            <w:tcW w:w="1587" w:type="dxa"/>
            <w:tcBorders>
              <w:top w:val="single" w:sz="6" w:space="0" w:color="auto"/>
              <w:bottom w:val="single" w:sz="4" w:space="0" w:color="auto"/>
            </w:tcBorders>
            <w:vAlign w:val="center"/>
          </w:tcPr>
          <w:p w14:paraId="556A104F" w14:textId="77777777" w:rsidR="00300850" w:rsidRPr="00D27C5C" w:rsidRDefault="00300850"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#4</w:t>
            </w:r>
          </w:p>
        </w:tc>
        <w:tc>
          <w:tcPr>
            <w:tcW w:w="1701" w:type="dxa"/>
            <w:tcBorders>
              <w:top w:val="single" w:sz="6" w:space="0" w:color="auto"/>
              <w:bottom w:val="single" w:sz="4" w:space="0" w:color="auto"/>
            </w:tcBorders>
            <w:noWrap/>
            <w:vAlign w:val="center"/>
          </w:tcPr>
          <w:p w14:paraId="6100875B" w14:textId="77777777" w:rsidR="00300850" w:rsidRPr="00D27C5C" w:rsidRDefault="00300850" w:rsidP="00EB5A85">
            <w:pPr>
              <w:ind w:left="28"/>
              <w:jc w:val="center"/>
              <w:rPr>
                <w:rFonts w:ascii="Times New Roman" w:hAnsi="Times New Roman"/>
                <w:b/>
                <w:iCs/>
                <w:color w:val="000000"/>
                <w:sz w:val="20"/>
                <w:lang w:val="it-IT"/>
              </w:rPr>
            </w:pPr>
            <w:r w:rsidRPr="00D27C5C">
              <w:rPr>
                <w:rFonts w:ascii="Times New Roman" w:hAnsi="Times New Roman"/>
                <w:b/>
                <w:iCs/>
                <w:color w:val="000000"/>
                <w:sz w:val="20"/>
                <w:lang w:val="it-IT"/>
              </w:rPr>
              <w:t>#5</w:t>
            </w:r>
          </w:p>
        </w:tc>
      </w:tr>
      <w:tr w:rsidR="00300850" w:rsidRPr="002363C2" w14:paraId="6ACFBAD0" w14:textId="77777777" w:rsidTr="00EB5A85">
        <w:trPr>
          <w:trHeight w:val="475"/>
          <w:jc w:val="center"/>
        </w:trPr>
        <w:tc>
          <w:tcPr>
            <w:tcW w:w="1843" w:type="dxa"/>
            <w:tcBorders>
              <w:top w:val="single" w:sz="4" w:space="0" w:color="auto"/>
            </w:tcBorders>
            <w:noWrap/>
            <w:vAlign w:val="center"/>
          </w:tcPr>
          <w:p w14:paraId="2A1CFF47" w14:textId="77777777" w:rsidR="00300850" w:rsidRPr="003D6701" w:rsidRDefault="00300850" w:rsidP="00EB5A85">
            <w:pPr>
              <w:ind w:left="28"/>
              <w:jc w:val="center"/>
              <w:rPr>
                <w:rFonts w:ascii="Times New Roman" w:hAnsi="Times New Roman"/>
                <w:bCs/>
                <w:iCs/>
                <w:color w:val="000000"/>
                <w:sz w:val="20"/>
              </w:rPr>
            </w:pPr>
            <w:r>
              <w:rPr>
                <w:rFonts w:ascii="Times New Roman" w:hAnsi="Times New Roman"/>
                <w:bCs/>
                <w:iCs/>
                <w:color w:val="000000"/>
                <w:sz w:val="20"/>
              </w:rPr>
              <w:t>Artificial Neural Network</w:t>
            </w:r>
          </w:p>
        </w:tc>
        <w:tc>
          <w:tcPr>
            <w:tcW w:w="1587" w:type="dxa"/>
            <w:tcBorders>
              <w:top w:val="single" w:sz="4" w:space="0" w:color="auto"/>
            </w:tcBorders>
            <w:noWrap/>
            <w:vAlign w:val="center"/>
          </w:tcPr>
          <w:p w14:paraId="357A10C0" w14:textId="0EA9CA52" w:rsidR="00300850"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29,05%</w:t>
            </w:r>
          </w:p>
        </w:tc>
        <w:tc>
          <w:tcPr>
            <w:tcW w:w="1587" w:type="dxa"/>
            <w:tcBorders>
              <w:top w:val="single" w:sz="4" w:space="0" w:color="auto"/>
            </w:tcBorders>
            <w:vAlign w:val="center"/>
          </w:tcPr>
          <w:p w14:paraId="26E153F1" w14:textId="0ED0E946" w:rsidR="00300850"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67,61%</w:t>
            </w:r>
          </w:p>
        </w:tc>
        <w:tc>
          <w:tcPr>
            <w:tcW w:w="1587" w:type="dxa"/>
            <w:tcBorders>
              <w:top w:val="single" w:sz="4" w:space="0" w:color="auto"/>
            </w:tcBorders>
            <w:vAlign w:val="center"/>
          </w:tcPr>
          <w:p w14:paraId="2D5E1540" w14:textId="52EF35A3" w:rsidR="00300850"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46,06%</w:t>
            </w:r>
          </w:p>
        </w:tc>
        <w:tc>
          <w:tcPr>
            <w:tcW w:w="1587" w:type="dxa"/>
            <w:tcBorders>
              <w:top w:val="single" w:sz="4" w:space="0" w:color="auto"/>
            </w:tcBorders>
            <w:vAlign w:val="center"/>
          </w:tcPr>
          <w:p w14:paraId="0D6203C8" w14:textId="565879D1" w:rsidR="00300850"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36,21%</w:t>
            </w:r>
          </w:p>
        </w:tc>
        <w:tc>
          <w:tcPr>
            <w:tcW w:w="1701" w:type="dxa"/>
            <w:tcBorders>
              <w:top w:val="single" w:sz="4" w:space="0" w:color="auto"/>
            </w:tcBorders>
            <w:noWrap/>
            <w:vAlign w:val="center"/>
          </w:tcPr>
          <w:p w14:paraId="0437C6BC" w14:textId="0A6F166B" w:rsidR="00300850" w:rsidRPr="002363C2" w:rsidRDefault="00300850" w:rsidP="00EB5A85">
            <w:pPr>
              <w:ind w:left="28"/>
              <w:jc w:val="center"/>
              <w:rPr>
                <w:rFonts w:ascii="Times New Roman" w:hAnsi="Times New Roman"/>
                <w:iCs/>
                <w:color w:val="000000"/>
                <w:sz w:val="20"/>
              </w:rPr>
            </w:pPr>
            <w:r>
              <w:rPr>
                <w:rFonts w:ascii="Times New Roman" w:hAnsi="Times New Roman"/>
                <w:iCs/>
                <w:color w:val="000000"/>
                <w:sz w:val="20"/>
              </w:rPr>
              <w:t>36,76%</w:t>
            </w:r>
          </w:p>
        </w:tc>
      </w:tr>
      <w:tr w:rsidR="00300850" w:rsidRPr="002363C2" w14:paraId="64C88D09" w14:textId="77777777" w:rsidTr="00EB5A85">
        <w:trPr>
          <w:trHeight w:val="475"/>
          <w:jc w:val="center"/>
        </w:trPr>
        <w:tc>
          <w:tcPr>
            <w:tcW w:w="1843" w:type="dxa"/>
            <w:tcBorders>
              <w:top w:val="single" w:sz="4" w:space="0" w:color="auto"/>
            </w:tcBorders>
            <w:noWrap/>
            <w:vAlign w:val="center"/>
          </w:tcPr>
          <w:p w14:paraId="3E3EB752" w14:textId="77777777" w:rsidR="00300850" w:rsidRDefault="00300850" w:rsidP="00EB5A85">
            <w:pPr>
              <w:ind w:left="28"/>
              <w:jc w:val="center"/>
              <w:rPr>
                <w:rFonts w:ascii="Times New Roman" w:hAnsi="Times New Roman"/>
                <w:bCs/>
                <w:iCs/>
                <w:color w:val="000000"/>
                <w:sz w:val="20"/>
              </w:rPr>
            </w:pPr>
            <w:r>
              <w:rPr>
                <w:rFonts w:ascii="Times New Roman" w:hAnsi="Times New Roman"/>
                <w:bCs/>
                <w:iCs/>
                <w:color w:val="000000"/>
                <w:sz w:val="20"/>
              </w:rPr>
              <w:t>Normal Bayes</w:t>
            </w:r>
          </w:p>
        </w:tc>
        <w:tc>
          <w:tcPr>
            <w:tcW w:w="8049" w:type="dxa"/>
            <w:gridSpan w:val="5"/>
            <w:tcBorders>
              <w:top w:val="single" w:sz="4" w:space="0" w:color="auto"/>
            </w:tcBorders>
            <w:noWrap/>
            <w:vAlign w:val="center"/>
          </w:tcPr>
          <w:p w14:paraId="070BA513" w14:textId="19A56A09" w:rsidR="00300850" w:rsidRDefault="00300850" w:rsidP="00EB5A85">
            <w:pPr>
              <w:jc w:val="center"/>
              <w:rPr>
                <w:rFonts w:ascii="Times New Roman" w:hAnsi="Times New Roman"/>
                <w:iCs/>
                <w:color w:val="000000"/>
                <w:sz w:val="20"/>
              </w:rPr>
            </w:pPr>
            <w:r>
              <w:rPr>
                <w:rFonts w:ascii="Times New Roman" w:hAnsi="Times New Roman"/>
                <w:iCs/>
                <w:color w:val="000000"/>
                <w:sz w:val="20"/>
              </w:rPr>
              <w:t>66,30%</w:t>
            </w:r>
          </w:p>
        </w:tc>
      </w:tr>
      <w:tr w:rsidR="00300850" w:rsidRPr="002363C2" w14:paraId="0EF350FA" w14:textId="77777777" w:rsidTr="00EB5A85">
        <w:trPr>
          <w:trHeight w:val="475"/>
          <w:jc w:val="center"/>
        </w:trPr>
        <w:tc>
          <w:tcPr>
            <w:tcW w:w="1843" w:type="dxa"/>
            <w:tcBorders>
              <w:top w:val="single" w:sz="4" w:space="0" w:color="auto"/>
            </w:tcBorders>
            <w:noWrap/>
            <w:vAlign w:val="center"/>
          </w:tcPr>
          <w:p w14:paraId="7CD788E1" w14:textId="77777777" w:rsidR="00300850" w:rsidRDefault="00300850" w:rsidP="00EB5A85">
            <w:pPr>
              <w:ind w:left="28"/>
              <w:jc w:val="center"/>
              <w:rPr>
                <w:rFonts w:ascii="Times New Roman" w:hAnsi="Times New Roman"/>
                <w:bCs/>
                <w:iCs/>
                <w:color w:val="000000"/>
                <w:sz w:val="20"/>
              </w:rPr>
            </w:pPr>
            <w:r>
              <w:rPr>
                <w:rFonts w:ascii="Times New Roman" w:hAnsi="Times New Roman"/>
                <w:bCs/>
                <w:iCs/>
                <w:color w:val="000000"/>
                <w:sz w:val="20"/>
              </w:rPr>
              <w:t>Random Forest</w:t>
            </w:r>
          </w:p>
        </w:tc>
        <w:tc>
          <w:tcPr>
            <w:tcW w:w="1587" w:type="dxa"/>
            <w:tcBorders>
              <w:top w:val="single" w:sz="4" w:space="0" w:color="auto"/>
            </w:tcBorders>
            <w:noWrap/>
            <w:vAlign w:val="center"/>
          </w:tcPr>
          <w:p w14:paraId="73AB0E2E" w14:textId="356DE625" w:rsidR="00300850" w:rsidRDefault="00300850" w:rsidP="00EB5A85">
            <w:pPr>
              <w:ind w:left="28"/>
              <w:jc w:val="center"/>
              <w:rPr>
                <w:rFonts w:ascii="Times New Roman" w:hAnsi="Times New Roman"/>
                <w:iCs/>
                <w:color w:val="000000"/>
                <w:sz w:val="20"/>
              </w:rPr>
            </w:pPr>
            <w:r>
              <w:rPr>
                <w:rFonts w:ascii="Times New Roman" w:hAnsi="Times New Roman"/>
                <w:iCs/>
                <w:color w:val="000000"/>
                <w:sz w:val="20"/>
              </w:rPr>
              <w:t>73,34%</w:t>
            </w:r>
          </w:p>
        </w:tc>
        <w:tc>
          <w:tcPr>
            <w:tcW w:w="1587" w:type="dxa"/>
            <w:tcBorders>
              <w:top w:val="single" w:sz="4" w:space="0" w:color="auto"/>
            </w:tcBorders>
            <w:vAlign w:val="center"/>
          </w:tcPr>
          <w:p w14:paraId="044BF107" w14:textId="1DFCDE2E" w:rsidR="00300850" w:rsidRDefault="00300850" w:rsidP="00EB5A85">
            <w:pPr>
              <w:ind w:left="28"/>
              <w:jc w:val="center"/>
              <w:rPr>
                <w:rFonts w:ascii="Times New Roman" w:hAnsi="Times New Roman"/>
                <w:iCs/>
                <w:color w:val="000000"/>
                <w:sz w:val="20"/>
              </w:rPr>
            </w:pPr>
            <w:r>
              <w:rPr>
                <w:rFonts w:ascii="Times New Roman" w:hAnsi="Times New Roman"/>
                <w:iCs/>
                <w:color w:val="000000"/>
                <w:sz w:val="20"/>
              </w:rPr>
              <w:t>78,84%</w:t>
            </w:r>
          </w:p>
        </w:tc>
        <w:tc>
          <w:tcPr>
            <w:tcW w:w="1587" w:type="dxa"/>
            <w:tcBorders>
              <w:top w:val="single" w:sz="4" w:space="0" w:color="auto"/>
            </w:tcBorders>
            <w:vAlign w:val="center"/>
          </w:tcPr>
          <w:p w14:paraId="706A45D3" w14:textId="257B5B15" w:rsidR="00300850" w:rsidRDefault="00300850" w:rsidP="00EB5A85">
            <w:pPr>
              <w:ind w:left="28"/>
              <w:jc w:val="center"/>
              <w:rPr>
                <w:rFonts w:ascii="Times New Roman" w:hAnsi="Times New Roman"/>
                <w:iCs/>
                <w:color w:val="000000"/>
                <w:sz w:val="20"/>
              </w:rPr>
            </w:pPr>
            <w:r>
              <w:rPr>
                <w:rFonts w:ascii="Times New Roman" w:hAnsi="Times New Roman"/>
                <w:iCs/>
                <w:color w:val="000000"/>
                <w:sz w:val="20"/>
              </w:rPr>
              <w:t>89,29%</w:t>
            </w:r>
          </w:p>
        </w:tc>
        <w:tc>
          <w:tcPr>
            <w:tcW w:w="1587" w:type="dxa"/>
            <w:tcBorders>
              <w:top w:val="single" w:sz="4" w:space="0" w:color="auto"/>
            </w:tcBorders>
            <w:vAlign w:val="center"/>
          </w:tcPr>
          <w:p w14:paraId="380596E8" w14:textId="3BED0FFA" w:rsidR="00300850" w:rsidRDefault="00300850" w:rsidP="00EB5A85">
            <w:pPr>
              <w:ind w:left="28"/>
              <w:jc w:val="center"/>
              <w:rPr>
                <w:rFonts w:ascii="Times New Roman" w:hAnsi="Times New Roman"/>
                <w:iCs/>
                <w:color w:val="000000"/>
                <w:sz w:val="20"/>
              </w:rPr>
            </w:pPr>
            <w:r>
              <w:rPr>
                <w:rFonts w:ascii="Times New Roman" w:hAnsi="Times New Roman"/>
                <w:iCs/>
                <w:color w:val="000000"/>
                <w:sz w:val="20"/>
              </w:rPr>
              <w:t>89,57%</w:t>
            </w:r>
          </w:p>
        </w:tc>
        <w:tc>
          <w:tcPr>
            <w:tcW w:w="1701" w:type="dxa"/>
            <w:tcBorders>
              <w:top w:val="single" w:sz="4" w:space="0" w:color="auto"/>
            </w:tcBorders>
            <w:noWrap/>
            <w:vAlign w:val="center"/>
          </w:tcPr>
          <w:p w14:paraId="497B0172" w14:textId="72ED60CD" w:rsidR="00300850" w:rsidRDefault="00300850" w:rsidP="00EB5A85">
            <w:pPr>
              <w:ind w:left="28"/>
              <w:jc w:val="center"/>
              <w:rPr>
                <w:rFonts w:ascii="Times New Roman" w:hAnsi="Times New Roman"/>
                <w:iCs/>
                <w:color w:val="000000"/>
                <w:sz w:val="20"/>
              </w:rPr>
            </w:pPr>
            <w:r>
              <w:rPr>
                <w:rFonts w:ascii="Times New Roman" w:hAnsi="Times New Roman"/>
                <w:iCs/>
                <w:color w:val="000000"/>
                <w:sz w:val="20"/>
              </w:rPr>
              <w:t>89,18%</w:t>
            </w:r>
          </w:p>
        </w:tc>
      </w:tr>
    </w:tbl>
    <w:p w14:paraId="613E912F" w14:textId="3848EC07" w:rsidR="00E563FD" w:rsidRDefault="005A4271" w:rsidP="00E563FD">
      <w:pPr>
        <w:pStyle w:val="BodytextIndented"/>
        <w:rPr>
          <w:lang w:val="en-GB"/>
        </w:rPr>
      </w:pPr>
      <w:r>
        <w:rPr>
          <w:lang w:val="en-GB"/>
        </w:rPr>
        <w:t xml:space="preserve">Since it is mentioned in introduction that the support vector machine method has been tested by </w:t>
      </w:r>
      <w:r>
        <w:rPr>
          <w:lang w:val="en-GB"/>
        </w:rPr>
        <w:fldChar w:fldCharType="begin" w:fldLock="1"/>
      </w:r>
      <w:r w:rsidR="00781BE6">
        <w:rPr>
          <w:lang w:val="en-GB"/>
        </w:rPr>
        <w:instrText>ADDIN CSL_CITATION {"citationItems":[{"id":"ITEM-1","itemData":{"DOI":"10.3390/rs11060655","abstract":"The most commonly used model for analyzing satellite imagery is the Support Vector Machine (SVM). Since there are a large number of possible variables for use in SVM, this paper will provide a combination of parameters that fit best for extracting green urban areas from Copernicus mission satellite images. This paper aims to provide a combination of parameters to extract green urban areas with the highest degree of accuracy, in order to speed up urban planning and ultimately improve town environments. Two different towns in Croatia were investigated, and the results provide an optimal combination of parameters for green urban areas extraction with an overall kappa index of 0.87 and 0.89, which demonstrates a very high classification accuracy.","author":[{"dropping-particle":"","family":"Kranjčić","given":"Nikola","non-dropping-particle":"","parse-names":false,"suffix":""},{"dropping-particle":"","family":"Medak","given":"Damir","non-dropping-particle":"","parse-names":false,"suffix":""},{"dropping-particle":"","family":"Župan","given":"Robert","non-dropping-particle":"","parse-names":false,"suffix":""},{"dropping-particle":"","family":"Rezo","given":"Milan","non-dropping-particle":"","parse-names":false,"suffix":""}],"container-title":"Remote Sensing","id":"ITEM-1","issue":"6","issued":{"date-parts":[["2019"]]},"page":"655","title":"Support Vector Machine Accuracy Assessment for Extracting Green Urban Areas in Towns","type":"article-journal","volume":"11"},"uris":["http://www.mendeley.com/documents/?uuid=4cc131d0-0982-4860-86be-139128f41a4f"]}],"mendeley":{"formattedCitation":"[7]","plainTextFormattedCitation":"[7]","previouslyFormattedCitation":"[7]"},"properties":{"noteIndex":0},"schema":"https://github.com/citation-style-language/schema/raw/master/csl-citation.json"}</w:instrText>
      </w:r>
      <w:r>
        <w:rPr>
          <w:lang w:val="en-GB"/>
        </w:rPr>
        <w:fldChar w:fldCharType="separate"/>
      </w:r>
      <w:r w:rsidRPr="005A4271">
        <w:rPr>
          <w:noProof/>
          <w:lang w:val="en-GB"/>
        </w:rPr>
        <w:t>[7]</w:t>
      </w:r>
      <w:r>
        <w:rPr>
          <w:lang w:val="en-GB"/>
        </w:rPr>
        <w:fldChar w:fldCharType="end"/>
      </w:r>
      <w:r>
        <w:rPr>
          <w:lang w:val="en-GB"/>
        </w:rPr>
        <w:t xml:space="preserve"> their results will be also shown. On Figure 2 and Figure 3 there are shown results that are provided with the best classification accuracy in each method. Form Table 1, Table 5 and Table 6 it can be seen that the support vector machine results in highest overall accuracy compared to artificial neural networks, normal Bayes and random forest. Second highest accuracy has random forest. Random forest method also uses less memory and it is less time consuming than artificial neural networks. </w:t>
      </w:r>
      <w:r w:rsidR="00377A3F">
        <w:rPr>
          <w:lang w:val="en-GB"/>
        </w:rPr>
        <w:t xml:space="preserve">Normal Bayes provides high accuracy, but there are not many parameters that could affect the results of classification. Artificial neural networks provide the less </w:t>
      </w:r>
      <w:r w:rsidR="00781BE6">
        <w:rPr>
          <w:lang w:val="en-GB"/>
        </w:rPr>
        <w:t xml:space="preserve">accurate classification </w:t>
      </w:r>
      <w:r w:rsidR="00377A3F">
        <w:rPr>
          <w:lang w:val="en-GB"/>
        </w:rPr>
        <w:t>quality and it is most time consuming.</w:t>
      </w:r>
    </w:p>
    <w:p w14:paraId="418943E6" w14:textId="5D55E3F1" w:rsidR="00251335" w:rsidRDefault="00251335" w:rsidP="00E563FD">
      <w:pPr>
        <w:pStyle w:val="BodytextIndented"/>
        <w:rPr>
          <w:lang w:val="en-GB"/>
        </w:rPr>
      </w:pPr>
      <w:r>
        <w:rPr>
          <w:noProof/>
          <w:lang w:val="en-GB"/>
        </w:rPr>
        <w:lastRenderedPageBreak/>
        <w:drawing>
          <wp:inline distT="0" distB="0" distL="0" distR="0" wp14:anchorId="10B43A51" wp14:editId="7464B9FD">
            <wp:extent cx="5328366" cy="755969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razd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366" cy="7559695"/>
                    </a:xfrm>
                    <a:prstGeom prst="rect">
                      <a:avLst/>
                    </a:prstGeom>
                  </pic:spPr>
                </pic:pic>
              </a:graphicData>
            </a:graphic>
          </wp:inline>
        </w:drawing>
      </w:r>
    </w:p>
    <w:p w14:paraId="53304EFA" w14:textId="7B4EA21A" w:rsidR="00941947" w:rsidRPr="00B46DA6" w:rsidRDefault="00941947" w:rsidP="00941947">
      <w:pPr>
        <w:pStyle w:val="BodytextIndented"/>
        <w:spacing w:after="240"/>
        <w:jc w:val="center"/>
        <w:rPr>
          <w:rFonts w:ascii="Times New Roman" w:hAnsi="Times New Roman"/>
          <w:bCs/>
          <w:lang w:val="en-GB"/>
        </w:rPr>
      </w:pPr>
      <w:r>
        <w:rPr>
          <w:rFonts w:ascii="Times New Roman" w:hAnsi="Times New Roman"/>
          <w:b/>
          <w:lang w:val="en-GB"/>
        </w:rPr>
        <w:t xml:space="preserve">Figure 2. </w:t>
      </w:r>
      <w:r>
        <w:rPr>
          <w:rFonts w:ascii="Times New Roman" w:hAnsi="Times New Roman"/>
          <w:bCs/>
          <w:lang w:val="en-GB"/>
        </w:rPr>
        <w:t>Results for city of Varaždin.</w:t>
      </w:r>
    </w:p>
    <w:p w14:paraId="43168D1C" w14:textId="77777777" w:rsidR="00941947" w:rsidRDefault="00941947" w:rsidP="00E563FD">
      <w:pPr>
        <w:pStyle w:val="BodytextIndented"/>
        <w:rPr>
          <w:lang w:val="en-GB"/>
        </w:rPr>
      </w:pPr>
    </w:p>
    <w:p w14:paraId="6B33F90A" w14:textId="63F69B7E" w:rsidR="00300850" w:rsidRDefault="00C55354" w:rsidP="00E563FD">
      <w:pPr>
        <w:pStyle w:val="BodytextIndented"/>
        <w:rPr>
          <w:lang w:val="en-GB"/>
        </w:rPr>
      </w:pPr>
      <w:r>
        <w:rPr>
          <w:noProof/>
          <w:lang w:val="en-GB"/>
        </w:rPr>
        <w:lastRenderedPageBreak/>
        <w:drawing>
          <wp:inline distT="0" distB="0" distL="0" distR="0" wp14:anchorId="06B8121C" wp14:editId="25466CF2">
            <wp:extent cx="5328366" cy="755969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ijek_ML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366" cy="7559695"/>
                    </a:xfrm>
                    <a:prstGeom prst="rect">
                      <a:avLst/>
                    </a:prstGeom>
                  </pic:spPr>
                </pic:pic>
              </a:graphicData>
            </a:graphic>
          </wp:inline>
        </w:drawing>
      </w:r>
    </w:p>
    <w:p w14:paraId="12ADBF80" w14:textId="2E4502F1" w:rsidR="00941947" w:rsidRPr="00B46DA6" w:rsidRDefault="00941947" w:rsidP="00941947">
      <w:pPr>
        <w:pStyle w:val="BodytextIndented"/>
        <w:spacing w:after="240"/>
        <w:jc w:val="center"/>
        <w:rPr>
          <w:rFonts w:ascii="Times New Roman" w:hAnsi="Times New Roman"/>
          <w:bCs/>
          <w:lang w:val="en-GB"/>
        </w:rPr>
      </w:pPr>
      <w:r>
        <w:rPr>
          <w:rFonts w:ascii="Times New Roman" w:hAnsi="Times New Roman"/>
          <w:b/>
          <w:lang w:val="en-GB"/>
        </w:rPr>
        <w:t xml:space="preserve">Figure 3. </w:t>
      </w:r>
      <w:r>
        <w:rPr>
          <w:rFonts w:ascii="Times New Roman" w:hAnsi="Times New Roman"/>
          <w:bCs/>
          <w:lang w:val="en-GB"/>
        </w:rPr>
        <w:t>Results for city of Osijek.</w:t>
      </w:r>
    </w:p>
    <w:p w14:paraId="3D032C0C" w14:textId="77777777" w:rsidR="00300850" w:rsidRPr="00E563FD" w:rsidRDefault="00300850" w:rsidP="00E563FD">
      <w:pPr>
        <w:pStyle w:val="BodytextIndented"/>
        <w:rPr>
          <w:lang w:val="en-GB"/>
        </w:rPr>
      </w:pPr>
    </w:p>
    <w:p w14:paraId="75C7054E" w14:textId="77777777" w:rsidR="00E563FD" w:rsidRPr="00E563FD" w:rsidRDefault="00E563FD" w:rsidP="00E563FD">
      <w:pPr>
        <w:pStyle w:val="BodytextIndented"/>
        <w:rPr>
          <w:lang w:val="en-GB"/>
        </w:rPr>
      </w:pPr>
    </w:p>
    <w:p w14:paraId="7400E954" w14:textId="50D65CF9" w:rsidR="009B7AF6" w:rsidRDefault="009B7AF6" w:rsidP="009B7AF6">
      <w:pPr>
        <w:pStyle w:val="Section"/>
        <w:rPr>
          <w:sz w:val="24"/>
          <w:szCs w:val="24"/>
        </w:rPr>
      </w:pPr>
      <w:r w:rsidRPr="002363C2">
        <w:rPr>
          <w:sz w:val="24"/>
          <w:szCs w:val="24"/>
        </w:rPr>
        <w:lastRenderedPageBreak/>
        <w:t>Conclusions</w:t>
      </w:r>
    </w:p>
    <w:p w14:paraId="4AB98E0E" w14:textId="705DEF9A" w:rsidR="00781BE6" w:rsidRPr="00781BE6" w:rsidRDefault="00E361FE" w:rsidP="00E361FE">
      <w:pPr>
        <w:pStyle w:val="Bodytext"/>
        <w:rPr>
          <w:lang w:val="en-GB"/>
        </w:rPr>
      </w:pPr>
      <w:r w:rsidRPr="00E361FE">
        <w:rPr>
          <w:lang w:val="en-GB"/>
        </w:rPr>
        <w:t>Urban planning for and increasing the amount of green urban infrastructure are crucial for</w:t>
      </w:r>
      <w:r>
        <w:rPr>
          <w:lang w:val="en-GB"/>
        </w:rPr>
        <w:t xml:space="preserve"> </w:t>
      </w:r>
      <w:r w:rsidRPr="00E361FE">
        <w:rPr>
          <w:lang w:val="en-GB"/>
        </w:rPr>
        <w:t>healthier living. To achieve this effectively, experts have combined machine learning modules with</w:t>
      </w:r>
      <w:r>
        <w:rPr>
          <w:lang w:val="en-GB"/>
        </w:rPr>
        <w:t xml:space="preserve"> </w:t>
      </w:r>
      <w:r w:rsidRPr="00E361FE">
        <w:rPr>
          <w:lang w:val="en-GB"/>
        </w:rPr>
        <w:t>satellite imagery. The development of the Copernicus satellite missions represents a huge advance</w:t>
      </w:r>
      <w:r>
        <w:rPr>
          <w:lang w:val="en-GB"/>
        </w:rPr>
        <w:t xml:space="preserve"> </w:t>
      </w:r>
      <w:r w:rsidRPr="00E361FE">
        <w:rPr>
          <w:lang w:val="en-GB"/>
        </w:rPr>
        <w:t>in land observation due to the increment in spatial resolution. Many analyses have been conducted</w:t>
      </w:r>
      <w:r>
        <w:rPr>
          <w:lang w:val="en-GB"/>
        </w:rPr>
        <w:t xml:space="preserve"> </w:t>
      </w:r>
      <w:r w:rsidRPr="00E361FE">
        <w:rPr>
          <w:lang w:val="en-GB"/>
        </w:rPr>
        <w:t>to determine which of the parameters is most suitable for green urban areas extraction in satellite</w:t>
      </w:r>
      <w:r>
        <w:rPr>
          <w:lang w:val="en-GB"/>
        </w:rPr>
        <w:t xml:space="preserve"> </w:t>
      </w:r>
      <w:r w:rsidRPr="00E361FE">
        <w:rPr>
          <w:lang w:val="en-GB"/>
        </w:rPr>
        <w:t>images. SVM is one of the most commonly used machine learning modules in image classification, and,</w:t>
      </w:r>
      <w:r>
        <w:rPr>
          <w:lang w:val="en-GB"/>
        </w:rPr>
        <w:t xml:space="preserve"> </w:t>
      </w:r>
      <w:r w:rsidRPr="00E361FE">
        <w:rPr>
          <w:lang w:val="en-GB"/>
        </w:rPr>
        <w:t>according to different authors, the most common kernel is the radial basis function. The radial basis</w:t>
      </w:r>
      <w:r>
        <w:rPr>
          <w:lang w:val="en-GB"/>
        </w:rPr>
        <w:t xml:space="preserve"> </w:t>
      </w:r>
      <w:r w:rsidRPr="00E361FE">
        <w:rPr>
          <w:lang w:val="en-GB"/>
        </w:rPr>
        <w:t>function is one of the kernels that produces classifications of the highest quality.</w:t>
      </w:r>
      <w:r>
        <w:rPr>
          <w:lang w:val="en-GB"/>
        </w:rPr>
        <w:t xml:space="preserve"> In </w:t>
      </w:r>
      <w:bookmarkStart w:id="0" w:name="_GoBack"/>
      <w:bookmarkEnd w:id="0"/>
      <w:r>
        <w:rPr>
          <w:lang w:val="en-GB"/>
        </w:rPr>
        <w:t>th</w:t>
      </w:r>
      <w:r w:rsidR="00781BE6">
        <w:rPr>
          <w:lang w:val="en-GB"/>
        </w:rPr>
        <w:t xml:space="preserve">is paper presented four different machine learning methods and preliminary results. Test have shown that support vector machines provides highest accuracy among three other methods. However, there are still test necessary in order to fully understand and evaluate which machine learning method generate the best results. </w:t>
      </w:r>
    </w:p>
    <w:p w14:paraId="4CEA48B6" w14:textId="77777777" w:rsidR="009A0487" w:rsidRPr="002363C2" w:rsidRDefault="009A0487">
      <w:pPr>
        <w:pStyle w:val="Sectionnonumber"/>
        <w:rPr>
          <w:lang w:val="en-GB"/>
        </w:rPr>
      </w:pPr>
      <w:r w:rsidRPr="002363C2">
        <w:rPr>
          <w:lang w:val="en-GB"/>
        </w:rPr>
        <w:t>References</w:t>
      </w:r>
    </w:p>
    <w:p w14:paraId="693D15DF" w14:textId="252C8D50" w:rsidR="00781BE6" w:rsidRPr="00781BE6" w:rsidRDefault="00781BE6" w:rsidP="00781BE6">
      <w:pPr>
        <w:widowControl w:val="0"/>
        <w:autoSpaceDE w:val="0"/>
        <w:autoSpaceDN w:val="0"/>
        <w:adjustRightInd w:val="0"/>
        <w:ind w:left="640" w:hanging="640"/>
        <w:rPr>
          <w:rFonts w:cs="Times"/>
          <w:noProof/>
          <w:szCs w:val="24"/>
        </w:rPr>
      </w:pPr>
      <w:r>
        <w:fldChar w:fldCharType="begin" w:fldLock="1"/>
      </w:r>
      <w:r>
        <w:instrText xml:space="preserve">ADDIN Mendeley Bibliography CSL_BIBLIOGRAPHY </w:instrText>
      </w:r>
      <w:r>
        <w:fldChar w:fldCharType="separate"/>
      </w:r>
      <w:r w:rsidRPr="00781BE6">
        <w:rPr>
          <w:rFonts w:cs="Times"/>
          <w:noProof/>
          <w:szCs w:val="24"/>
        </w:rPr>
        <w:t xml:space="preserve">1. </w:t>
      </w:r>
      <w:r w:rsidRPr="00781BE6">
        <w:rPr>
          <w:rFonts w:cs="Times"/>
          <w:noProof/>
          <w:szCs w:val="24"/>
        </w:rPr>
        <w:tab/>
        <w:t xml:space="preserve">Sandström, U.G. Green infrastructure planning in urban Sweden. </w:t>
      </w:r>
      <w:r w:rsidRPr="00781BE6">
        <w:rPr>
          <w:rFonts w:cs="Times"/>
          <w:i/>
          <w:iCs/>
          <w:noProof/>
          <w:szCs w:val="24"/>
        </w:rPr>
        <w:t>Plan. Pract. Res.</w:t>
      </w:r>
      <w:r w:rsidRPr="00781BE6">
        <w:rPr>
          <w:rFonts w:cs="Times"/>
          <w:noProof/>
          <w:szCs w:val="24"/>
        </w:rPr>
        <w:t xml:space="preserve"> </w:t>
      </w:r>
      <w:r w:rsidRPr="00781BE6">
        <w:rPr>
          <w:rFonts w:cs="Times"/>
          <w:b/>
          <w:bCs/>
          <w:noProof/>
          <w:szCs w:val="24"/>
        </w:rPr>
        <w:t>2002</w:t>
      </w:r>
      <w:r w:rsidRPr="00781BE6">
        <w:rPr>
          <w:rFonts w:cs="Times"/>
          <w:noProof/>
          <w:szCs w:val="24"/>
        </w:rPr>
        <w:t xml:space="preserve">, </w:t>
      </w:r>
      <w:r w:rsidRPr="00781BE6">
        <w:rPr>
          <w:rFonts w:cs="Times"/>
          <w:i/>
          <w:iCs/>
          <w:noProof/>
          <w:szCs w:val="24"/>
        </w:rPr>
        <w:t>17</w:t>
      </w:r>
      <w:r w:rsidRPr="00781BE6">
        <w:rPr>
          <w:rFonts w:cs="Times"/>
          <w:noProof/>
          <w:szCs w:val="24"/>
        </w:rPr>
        <w:t>, 373–385, doi:10.1080/02697450216356.</w:t>
      </w:r>
    </w:p>
    <w:p w14:paraId="677CEA6B"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2. </w:t>
      </w:r>
      <w:r w:rsidRPr="00781BE6">
        <w:rPr>
          <w:rFonts w:cs="Times"/>
          <w:noProof/>
          <w:szCs w:val="24"/>
        </w:rPr>
        <w:tab/>
        <w:t xml:space="preserve">Botkin, D.B.; Beveridge, C.E. Cities as environments. </w:t>
      </w:r>
      <w:r w:rsidRPr="00781BE6">
        <w:rPr>
          <w:rFonts w:cs="Times"/>
          <w:i/>
          <w:iCs/>
          <w:noProof/>
          <w:szCs w:val="24"/>
        </w:rPr>
        <w:t>Urban Ecosyst.</w:t>
      </w:r>
      <w:r w:rsidRPr="00781BE6">
        <w:rPr>
          <w:rFonts w:cs="Times"/>
          <w:noProof/>
          <w:szCs w:val="24"/>
        </w:rPr>
        <w:t xml:space="preserve"> </w:t>
      </w:r>
      <w:r w:rsidRPr="00781BE6">
        <w:rPr>
          <w:rFonts w:cs="Times"/>
          <w:b/>
          <w:bCs/>
          <w:noProof/>
          <w:szCs w:val="24"/>
        </w:rPr>
        <w:t>1997</w:t>
      </w:r>
      <w:r w:rsidRPr="00781BE6">
        <w:rPr>
          <w:rFonts w:cs="Times"/>
          <w:noProof/>
          <w:szCs w:val="24"/>
        </w:rPr>
        <w:t xml:space="preserve">, </w:t>
      </w:r>
      <w:r w:rsidRPr="00781BE6">
        <w:rPr>
          <w:rFonts w:cs="Times"/>
          <w:i/>
          <w:iCs/>
          <w:noProof/>
          <w:szCs w:val="24"/>
        </w:rPr>
        <w:t>1</w:t>
      </w:r>
      <w:r w:rsidRPr="00781BE6">
        <w:rPr>
          <w:rFonts w:cs="Times"/>
          <w:noProof/>
          <w:szCs w:val="24"/>
        </w:rPr>
        <w:t>, 3–19, doi:10.1023/a:1014354923367.</w:t>
      </w:r>
    </w:p>
    <w:p w14:paraId="3E3A05FB"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3. </w:t>
      </w:r>
      <w:r w:rsidRPr="00781BE6">
        <w:rPr>
          <w:rFonts w:cs="Times"/>
          <w:noProof/>
          <w:szCs w:val="24"/>
        </w:rPr>
        <w:tab/>
        <w:t xml:space="preserve">Gómez, F.; Tamarit, N.; Jabaloyes, J. Green Zones in Urban Planning.Pdf. </w:t>
      </w:r>
      <w:r w:rsidRPr="00781BE6">
        <w:rPr>
          <w:rFonts w:cs="Times"/>
          <w:i/>
          <w:iCs/>
          <w:noProof/>
          <w:szCs w:val="24"/>
        </w:rPr>
        <w:t>Landsc. Urban Plan.</w:t>
      </w:r>
      <w:r w:rsidRPr="00781BE6">
        <w:rPr>
          <w:rFonts w:cs="Times"/>
          <w:noProof/>
          <w:szCs w:val="24"/>
        </w:rPr>
        <w:t xml:space="preserve"> </w:t>
      </w:r>
      <w:r w:rsidRPr="00781BE6">
        <w:rPr>
          <w:rFonts w:cs="Times"/>
          <w:b/>
          <w:bCs/>
          <w:noProof/>
          <w:szCs w:val="24"/>
        </w:rPr>
        <w:t>2001</w:t>
      </w:r>
      <w:r w:rsidRPr="00781BE6">
        <w:rPr>
          <w:rFonts w:cs="Times"/>
          <w:noProof/>
          <w:szCs w:val="24"/>
        </w:rPr>
        <w:t xml:space="preserve">, </w:t>
      </w:r>
      <w:r w:rsidRPr="00781BE6">
        <w:rPr>
          <w:rFonts w:cs="Times"/>
          <w:i/>
          <w:iCs/>
          <w:noProof/>
          <w:szCs w:val="24"/>
        </w:rPr>
        <w:t>55</w:t>
      </w:r>
      <w:r w:rsidRPr="00781BE6">
        <w:rPr>
          <w:rFonts w:cs="Times"/>
          <w:noProof/>
          <w:szCs w:val="24"/>
        </w:rPr>
        <w:t>, 151–161.</w:t>
      </w:r>
    </w:p>
    <w:p w14:paraId="5304325E"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4. </w:t>
      </w:r>
      <w:r w:rsidRPr="00781BE6">
        <w:rPr>
          <w:rFonts w:cs="Times"/>
          <w:noProof/>
          <w:szCs w:val="24"/>
        </w:rPr>
        <w:tab/>
        <w:t xml:space="preserve">Zheng, B.; Bedra, K.B.; Zheng, J.; Wang, G. Combination of tree configuration with street configuration for thermal comfort optimization under extreme summer conditions in the urban center of Shantou City, China. </w:t>
      </w:r>
      <w:r w:rsidRPr="00781BE6">
        <w:rPr>
          <w:rFonts w:cs="Times"/>
          <w:i/>
          <w:iCs/>
          <w:noProof/>
          <w:szCs w:val="24"/>
        </w:rPr>
        <w:t>Sustainability</w:t>
      </w:r>
      <w:r w:rsidRPr="00781BE6">
        <w:rPr>
          <w:rFonts w:cs="Times"/>
          <w:noProof/>
          <w:szCs w:val="24"/>
        </w:rPr>
        <w:t xml:space="preserve"> </w:t>
      </w:r>
      <w:r w:rsidRPr="00781BE6">
        <w:rPr>
          <w:rFonts w:cs="Times"/>
          <w:b/>
          <w:bCs/>
          <w:noProof/>
          <w:szCs w:val="24"/>
        </w:rPr>
        <w:t>2018</w:t>
      </w:r>
      <w:r w:rsidRPr="00781BE6">
        <w:rPr>
          <w:rFonts w:cs="Times"/>
          <w:noProof/>
          <w:szCs w:val="24"/>
        </w:rPr>
        <w:t xml:space="preserve">, </w:t>
      </w:r>
      <w:r w:rsidRPr="00781BE6">
        <w:rPr>
          <w:rFonts w:cs="Times"/>
          <w:i/>
          <w:iCs/>
          <w:noProof/>
          <w:szCs w:val="24"/>
        </w:rPr>
        <w:t>10</w:t>
      </w:r>
      <w:r w:rsidRPr="00781BE6">
        <w:rPr>
          <w:rFonts w:cs="Times"/>
          <w:noProof/>
          <w:szCs w:val="24"/>
        </w:rPr>
        <w:t>, doi:10.3390/su10114192.</w:t>
      </w:r>
    </w:p>
    <w:p w14:paraId="630D253A"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5. </w:t>
      </w:r>
      <w:r w:rsidRPr="00781BE6">
        <w:rPr>
          <w:rFonts w:cs="Times"/>
          <w:noProof/>
          <w:szCs w:val="24"/>
        </w:rPr>
        <w:tab/>
        <w:t xml:space="preserve">Mell, I.C. Can green infrastructure promote urban sustainability? </w:t>
      </w:r>
      <w:r w:rsidRPr="00781BE6">
        <w:rPr>
          <w:rFonts w:cs="Times"/>
          <w:i/>
          <w:iCs/>
          <w:noProof/>
          <w:szCs w:val="24"/>
        </w:rPr>
        <w:t>Eng. Sustain.</w:t>
      </w:r>
      <w:r w:rsidRPr="00781BE6">
        <w:rPr>
          <w:rFonts w:cs="Times"/>
          <w:noProof/>
          <w:szCs w:val="24"/>
        </w:rPr>
        <w:t xml:space="preserve"> </w:t>
      </w:r>
      <w:r w:rsidRPr="00781BE6">
        <w:rPr>
          <w:rFonts w:cs="Times"/>
          <w:b/>
          <w:bCs/>
          <w:noProof/>
          <w:szCs w:val="24"/>
        </w:rPr>
        <w:t>2009</w:t>
      </w:r>
      <w:r w:rsidRPr="00781BE6">
        <w:rPr>
          <w:rFonts w:cs="Times"/>
          <w:noProof/>
          <w:szCs w:val="24"/>
        </w:rPr>
        <w:t xml:space="preserve">, </w:t>
      </w:r>
      <w:r w:rsidRPr="00781BE6">
        <w:rPr>
          <w:rFonts w:cs="Times"/>
          <w:i/>
          <w:iCs/>
          <w:noProof/>
          <w:szCs w:val="24"/>
        </w:rPr>
        <w:t>162</w:t>
      </w:r>
      <w:r w:rsidRPr="00781BE6">
        <w:rPr>
          <w:rFonts w:cs="Times"/>
          <w:noProof/>
          <w:szCs w:val="24"/>
        </w:rPr>
        <w:t>, 23–34, doi:10.1680/ensu.2009.162.1.23.</w:t>
      </w:r>
    </w:p>
    <w:p w14:paraId="0A59FD30"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6. </w:t>
      </w:r>
      <w:r w:rsidRPr="00781BE6">
        <w:rPr>
          <w:rFonts w:cs="Times"/>
          <w:noProof/>
          <w:szCs w:val="24"/>
        </w:rPr>
        <w:tab/>
        <w:t xml:space="preserve">Dennis, M.; Barlow, D.; Cavan, G.; Cook, P.; Gilchrist, A.; Handley, J.; James, P.; Thompson, J.; Tzoulas, K.; Wheater, C.P.; Lindley, S. Mapping Urban Green Infrastructure: A Novel Landscape-Based Approach to Incorporating Land Use and Land Cover in the Mapping of Human-Dominated Systems. </w:t>
      </w:r>
      <w:r w:rsidRPr="00781BE6">
        <w:rPr>
          <w:rFonts w:cs="Times"/>
          <w:i/>
          <w:iCs/>
          <w:noProof/>
          <w:szCs w:val="24"/>
        </w:rPr>
        <w:t>Land</w:t>
      </w:r>
      <w:r w:rsidRPr="00781BE6">
        <w:rPr>
          <w:rFonts w:cs="Times"/>
          <w:noProof/>
          <w:szCs w:val="24"/>
        </w:rPr>
        <w:t xml:space="preserve"> </w:t>
      </w:r>
      <w:r w:rsidRPr="00781BE6">
        <w:rPr>
          <w:rFonts w:cs="Times"/>
          <w:b/>
          <w:bCs/>
          <w:noProof/>
          <w:szCs w:val="24"/>
        </w:rPr>
        <w:t>2018</w:t>
      </w:r>
      <w:r w:rsidRPr="00781BE6">
        <w:rPr>
          <w:rFonts w:cs="Times"/>
          <w:noProof/>
          <w:szCs w:val="24"/>
        </w:rPr>
        <w:t xml:space="preserve">, </w:t>
      </w:r>
      <w:r w:rsidRPr="00781BE6">
        <w:rPr>
          <w:rFonts w:cs="Times"/>
          <w:i/>
          <w:iCs/>
          <w:noProof/>
          <w:szCs w:val="24"/>
        </w:rPr>
        <w:t>7</w:t>
      </w:r>
      <w:r w:rsidRPr="00781BE6">
        <w:rPr>
          <w:rFonts w:cs="Times"/>
          <w:noProof/>
          <w:szCs w:val="24"/>
        </w:rPr>
        <w:t>, 17, doi:10.3390/land7010017.</w:t>
      </w:r>
    </w:p>
    <w:p w14:paraId="3952C91E"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7. </w:t>
      </w:r>
      <w:r w:rsidRPr="00781BE6">
        <w:rPr>
          <w:rFonts w:cs="Times"/>
          <w:noProof/>
          <w:szCs w:val="24"/>
        </w:rPr>
        <w:tab/>
        <w:t xml:space="preserve">Kranjčić, N.; Medak, D.; Župan, R.; Rezo, M. Support Vector Machine Accuracy Assessment for Extracting Green Urban Areas in Towns. </w:t>
      </w:r>
      <w:r w:rsidRPr="00781BE6">
        <w:rPr>
          <w:rFonts w:cs="Times"/>
          <w:i/>
          <w:iCs/>
          <w:noProof/>
          <w:szCs w:val="24"/>
        </w:rPr>
        <w:t>Remote Sens.</w:t>
      </w:r>
      <w:r w:rsidRPr="00781BE6">
        <w:rPr>
          <w:rFonts w:cs="Times"/>
          <w:noProof/>
          <w:szCs w:val="24"/>
        </w:rPr>
        <w:t xml:space="preserve"> </w:t>
      </w:r>
      <w:r w:rsidRPr="00781BE6">
        <w:rPr>
          <w:rFonts w:cs="Times"/>
          <w:b/>
          <w:bCs/>
          <w:noProof/>
          <w:szCs w:val="24"/>
        </w:rPr>
        <w:t>2019</w:t>
      </w:r>
      <w:r w:rsidRPr="00781BE6">
        <w:rPr>
          <w:rFonts w:cs="Times"/>
          <w:noProof/>
          <w:szCs w:val="24"/>
        </w:rPr>
        <w:t xml:space="preserve">, </w:t>
      </w:r>
      <w:r w:rsidRPr="00781BE6">
        <w:rPr>
          <w:rFonts w:cs="Times"/>
          <w:i/>
          <w:iCs/>
          <w:noProof/>
          <w:szCs w:val="24"/>
        </w:rPr>
        <w:t>11</w:t>
      </w:r>
      <w:r w:rsidRPr="00781BE6">
        <w:rPr>
          <w:rFonts w:cs="Times"/>
          <w:noProof/>
          <w:szCs w:val="24"/>
        </w:rPr>
        <w:t>, 655, doi:10.3390/rs11060655.</w:t>
      </w:r>
    </w:p>
    <w:p w14:paraId="37FA63F5"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8. </w:t>
      </w:r>
      <w:r w:rsidRPr="00781BE6">
        <w:rPr>
          <w:rFonts w:cs="Times"/>
          <w:noProof/>
          <w:szCs w:val="24"/>
        </w:rPr>
        <w:tab/>
        <w:t xml:space="preserve">Vapnik, V.N. </w:t>
      </w:r>
      <w:r w:rsidRPr="00781BE6">
        <w:rPr>
          <w:rFonts w:cs="Times"/>
          <w:i/>
          <w:iCs/>
          <w:noProof/>
          <w:szCs w:val="24"/>
        </w:rPr>
        <w:t>The Nature of Statistical Learning Theory</w:t>
      </w:r>
      <w:r w:rsidRPr="00781BE6">
        <w:rPr>
          <w:rFonts w:cs="Times"/>
          <w:noProof/>
          <w:szCs w:val="24"/>
        </w:rPr>
        <w:t>; 1995; ISBN 0387987800.</w:t>
      </w:r>
    </w:p>
    <w:p w14:paraId="1BD9829A"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9. </w:t>
      </w:r>
      <w:r w:rsidRPr="00781BE6">
        <w:rPr>
          <w:rFonts w:cs="Times"/>
          <w:noProof/>
          <w:szCs w:val="24"/>
        </w:rPr>
        <w:tab/>
        <w:t xml:space="preserve">Sun, S.; Chen, W.; Wang, L.; Liu, X.; Liu, T.-Y. On the Depth of Deep Neural Networks: A Theoretical View. In </w:t>
      </w:r>
      <w:r w:rsidRPr="00781BE6">
        <w:rPr>
          <w:rFonts w:cs="Times"/>
          <w:i/>
          <w:iCs/>
          <w:noProof/>
          <w:szCs w:val="24"/>
        </w:rPr>
        <w:t>Proceedings of the Thirtieth AAAI Conference on Artificial Intelligence (AAAI-16)</w:t>
      </w:r>
      <w:r w:rsidRPr="00781BE6">
        <w:rPr>
          <w:rFonts w:cs="Times"/>
          <w:noProof/>
          <w:szCs w:val="24"/>
        </w:rPr>
        <w:t>; 2015; pp. 2066–2072.</w:t>
      </w:r>
    </w:p>
    <w:p w14:paraId="02740433"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10. </w:t>
      </w:r>
      <w:r w:rsidRPr="00781BE6">
        <w:rPr>
          <w:rFonts w:cs="Times"/>
          <w:noProof/>
          <w:szCs w:val="24"/>
        </w:rPr>
        <w:tab/>
        <w:t xml:space="preserve">Mokhtarzade, M.; Zoej, M.J.V. Road detection from high-resolution satellite images using artificial neural networks. </w:t>
      </w:r>
      <w:r w:rsidRPr="00781BE6">
        <w:rPr>
          <w:rFonts w:cs="Times"/>
          <w:i/>
          <w:iCs/>
          <w:noProof/>
          <w:szCs w:val="24"/>
        </w:rPr>
        <w:t>Int. J. Appl. Earth Obs. Geoinf.</w:t>
      </w:r>
      <w:r w:rsidRPr="00781BE6">
        <w:rPr>
          <w:rFonts w:cs="Times"/>
          <w:noProof/>
          <w:szCs w:val="24"/>
        </w:rPr>
        <w:t xml:space="preserve"> </w:t>
      </w:r>
      <w:r w:rsidRPr="00781BE6">
        <w:rPr>
          <w:rFonts w:cs="Times"/>
          <w:b/>
          <w:bCs/>
          <w:noProof/>
          <w:szCs w:val="24"/>
        </w:rPr>
        <w:t>2007</w:t>
      </w:r>
      <w:r w:rsidRPr="00781BE6">
        <w:rPr>
          <w:rFonts w:cs="Times"/>
          <w:noProof/>
          <w:szCs w:val="24"/>
        </w:rPr>
        <w:t xml:space="preserve">, </w:t>
      </w:r>
      <w:r w:rsidRPr="00781BE6">
        <w:rPr>
          <w:rFonts w:cs="Times"/>
          <w:i/>
          <w:iCs/>
          <w:noProof/>
          <w:szCs w:val="24"/>
        </w:rPr>
        <w:t>9</w:t>
      </w:r>
      <w:r w:rsidRPr="00781BE6">
        <w:rPr>
          <w:rFonts w:cs="Times"/>
          <w:noProof/>
          <w:szCs w:val="24"/>
        </w:rPr>
        <w:t>, 32–40, doi:10.1016/j.jag.2006.05.001.</w:t>
      </w:r>
    </w:p>
    <w:p w14:paraId="37D1B91F"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11. </w:t>
      </w:r>
      <w:r w:rsidRPr="00781BE6">
        <w:rPr>
          <w:rFonts w:cs="Times"/>
          <w:noProof/>
          <w:szCs w:val="24"/>
        </w:rPr>
        <w:tab/>
        <w:t xml:space="preserve">Pearl, J. </w:t>
      </w:r>
      <w:r w:rsidRPr="00781BE6">
        <w:rPr>
          <w:rFonts w:cs="Times"/>
          <w:i/>
          <w:iCs/>
          <w:noProof/>
          <w:szCs w:val="24"/>
        </w:rPr>
        <w:t>Probabilistic reasoning in intelligent systems: networks of plausible inference</w:t>
      </w:r>
      <w:r w:rsidRPr="00781BE6">
        <w:rPr>
          <w:rFonts w:cs="Times"/>
          <w:noProof/>
          <w:szCs w:val="24"/>
        </w:rPr>
        <w:t>; Morgan Kaufmann Publishers Inc., 1998; ISBN 0-934613-73-7.</w:t>
      </w:r>
    </w:p>
    <w:p w14:paraId="03B7B4A2"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12. </w:t>
      </w:r>
      <w:r w:rsidRPr="00781BE6">
        <w:rPr>
          <w:rFonts w:cs="Times"/>
          <w:noProof/>
          <w:szCs w:val="24"/>
        </w:rPr>
        <w:tab/>
        <w:t xml:space="preserve">Neapolitan, R.E. </w:t>
      </w:r>
      <w:r w:rsidRPr="00781BE6">
        <w:rPr>
          <w:rFonts w:cs="Times"/>
          <w:i/>
          <w:iCs/>
          <w:noProof/>
          <w:szCs w:val="24"/>
        </w:rPr>
        <w:t>Probabilistic reasoning in expert systems: theory and algorithms</w:t>
      </w:r>
      <w:r w:rsidRPr="00781BE6">
        <w:rPr>
          <w:rFonts w:cs="Times"/>
          <w:noProof/>
          <w:szCs w:val="24"/>
        </w:rPr>
        <w:t>; John Wiley &amp; Sons, Inc. Hoboken, New Jersey, 1990; ISBN 0-471-61840-3.</w:t>
      </w:r>
    </w:p>
    <w:p w14:paraId="39995137"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13. </w:t>
      </w:r>
      <w:r w:rsidRPr="00781BE6">
        <w:rPr>
          <w:rFonts w:cs="Times"/>
          <w:noProof/>
          <w:szCs w:val="24"/>
        </w:rPr>
        <w:tab/>
        <w:t xml:space="preserve">Mitchell, T.M. </w:t>
      </w:r>
      <w:r w:rsidRPr="00781BE6">
        <w:rPr>
          <w:rFonts w:cs="Times"/>
          <w:i/>
          <w:iCs/>
          <w:noProof/>
          <w:szCs w:val="24"/>
        </w:rPr>
        <w:t>Machine Learning</w:t>
      </w:r>
      <w:r w:rsidRPr="00781BE6">
        <w:rPr>
          <w:rFonts w:cs="Times"/>
          <w:noProof/>
          <w:szCs w:val="24"/>
        </w:rPr>
        <w:t>; McGraw-Hill Science/Engineering/Math, 1997;</w:t>
      </w:r>
    </w:p>
    <w:p w14:paraId="49CD84D2"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14. </w:t>
      </w:r>
      <w:r w:rsidRPr="00781BE6">
        <w:rPr>
          <w:rFonts w:cs="Times"/>
          <w:noProof/>
          <w:szCs w:val="24"/>
        </w:rPr>
        <w:tab/>
        <w:t xml:space="preserve">Park, M.H.; Stenstrom, M.K. Using satellite imagery for stormwater pollution management with Bayesian networks. </w:t>
      </w:r>
      <w:r w:rsidRPr="00781BE6">
        <w:rPr>
          <w:rFonts w:cs="Times"/>
          <w:i/>
          <w:iCs/>
          <w:noProof/>
          <w:szCs w:val="24"/>
        </w:rPr>
        <w:t>Water Res.</w:t>
      </w:r>
      <w:r w:rsidRPr="00781BE6">
        <w:rPr>
          <w:rFonts w:cs="Times"/>
          <w:noProof/>
          <w:szCs w:val="24"/>
        </w:rPr>
        <w:t xml:space="preserve"> </w:t>
      </w:r>
      <w:r w:rsidRPr="00781BE6">
        <w:rPr>
          <w:rFonts w:cs="Times"/>
          <w:b/>
          <w:bCs/>
          <w:noProof/>
          <w:szCs w:val="24"/>
        </w:rPr>
        <w:t>2006</w:t>
      </w:r>
      <w:r w:rsidRPr="00781BE6">
        <w:rPr>
          <w:rFonts w:cs="Times"/>
          <w:noProof/>
          <w:szCs w:val="24"/>
        </w:rPr>
        <w:t xml:space="preserve">, </w:t>
      </w:r>
      <w:r w:rsidRPr="00781BE6">
        <w:rPr>
          <w:rFonts w:cs="Times"/>
          <w:i/>
          <w:iCs/>
          <w:noProof/>
          <w:szCs w:val="24"/>
        </w:rPr>
        <w:t>40</w:t>
      </w:r>
      <w:r w:rsidRPr="00781BE6">
        <w:rPr>
          <w:rFonts w:cs="Times"/>
          <w:noProof/>
          <w:szCs w:val="24"/>
        </w:rPr>
        <w:t>, 3429–3438, doi:10.1016/j.watres.2006.06.041.</w:t>
      </w:r>
    </w:p>
    <w:p w14:paraId="6C6D3DF5" w14:textId="77777777" w:rsidR="00781BE6" w:rsidRPr="00781BE6" w:rsidRDefault="00781BE6" w:rsidP="00781BE6">
      <w:pPr>
        <w:widowControl w:val="0"/>
        <w:autoSpaceDE w:val="0"/>
        <w:autoSpaceDN w:val="0"/>
        <w:adjustRightInd w:val="0"/>
        <w:ind w:left="640" w:hanging="640"/>
        <w:rPr>
          <w:rFonts w:cs="Times"/>
          <w:noProof/>
          <w:szCs w:val="24"/>
        </w:rPr>
      </w:pPr>
      <w:r w:rsidRPr="00781BE6">
        <w:rPr>
          <w:rFonts w:cs="Times"/>
          <w:noProof/>
          <w:szCs w:val="24"/>
        </w:rPr>
        <w:t xml:space="preserve">15. </w:t>
      </w:r>
      <w:r w:rsidRPr="00781BE6">
        <w:rPr>
          <w:rFonts w:cs="Times"/>
          <w:noProof/>
          <w:szCs w:val="24"/>
        </w:rPr>
        <w:tab/>
        <w:t xml:space="preserve">Breiman, L. Random Forests. </w:t>
      </w:r>
      <w:r w:rsidRPr="00781BE6">
        <w:rPr>
          <w:rFonts w:cs="Times"/>
          <w:i/>
          <w:iCs/>
          <w:noProof/>
          <w:szCs w:val="24"/>
        </w:rPr>
        <w:t>Mach. Learn.</w:t>
      </w:r>
      <w:r w:rsidRPr="00781BE6">
        <w:rPr>
          <w:rFonts w:cs="Times"/>
          <w:noProof/>
          <w:szCs w:val="24"/>
        </w:rPr>
        <w:t xml:space="preserve"> </w:t>
      </w:r>
      <w:r w:rsidRPr="00781BE6">
        <w:rPr>
          <w:rFonts w:cs="Times"/>
          <w:b/>
          <w:bCs/>
          <w:noProof/>
          <w:szCs w:val="24"/>
        </w:rPr>
        <w:t>2001</w:t>
      </w:r>
      <w:r w:rsidRPr="00781BE6">
        <w:rPr>
          <w:rFonts w:cs="Times"/>
          <w:noProof/>
          <w:szCs w:val="24"/>
        </w:rPr>
        <w:t xml:space="preserve">, </w:t>
      </w:r>
      <w:r w:rsidRPr="00781BE6">
        <w:rPr>
          <w:rFonts w:cs="Times"/>
          <w:i/>
          <w:iCs/>
          <w:noProof/>
          <w:szCs w:val="24"/>
        </w:rPr>
        <w:t>45</w:t>
      </w:r>
      <w:r w:rsidRPr="00781BE6">
        <w:rPr>
          <w:rFonts w:cs="Times"/>
          <w:noProof/>
          <w:szCs w:val="24"/>
        </w:rPr>
        <w:t>, 5–32, doi:10.1023/A:1010933404324.</w:t>
      </w:r>
    </w:p>
    <w:p w14:paraId="35EEDFC2" w14:textId="77777777" w:rsidR="00781BE6" w:rsidRPr="00781BE6" w:rsidRDefault="00781BE6" w:rsidP="00781BE6">
      <w:pPr>
        <w:widowControl w:val="0"/>
        <w:autoSpaceDE w:val="0"/>
        <w:autoSpaceDN w:val="0"/>
        <w:adjustRightInd w:val="0"/>
        <w:ind w:left="640" w:hanging="640"/>
        <w:rPr>
          <w:rFonts w:cs="Times"/>
          <w:noProof/>
        </w:rPr>
      </w:pPr>
      <w:r w:rsidRPr="00781BE6">
        <w:rPr>
          <w:rFonts w:cs="Times"/>
          <w:noProof/>
          <w:szCs w:val="24"/>
        </w:rPr>
        <w:t xml:space="preserve">16. </w:t>
      </w:r>
      <w:r w:rsidRPr="00781BE6">
        <w:rPr>
          <w:rFonts w:cs="Times"/>
          <w:noProof/>
          <w:szCs w:val="24"/>
        </w:rPr>
        <w:tab/>
        <w:t xml:space="preserve">Rodriguez-Galiano, V.; Sanchez-Castillo, M.; Chica-Olmo, M.; Chica-Rivas, M. Machine learning predictive models for mineral prospectivity: An evaluation of neural networks, random forest, regression trees and support vector machines. </w:t>
      </w:r>
      <w:r w:rsidRPr="00781BE6">
        <w:rPr>
          <w:rFonts w:cs="Times"/>
          <w:i/>
          <w:iCs/>
          <w:noProof/>
          <w:szCs w:val="24"/>
        </w:rPr>
        <w:t>Ore Geol. Rev.</w:t>
      </w:r>
      <w:r w:rsidRPr="00781BE6">
        <w:rPr>
          <w:rFonts w:cs="Times"/>
          <w:noProof/>
          <w:szCs w:val="24"/>
        </w:rPr>
        <w:t xml:space="preserve"> </w:t>
      </w:r>
      <w:r w:rsidRPr="00781BE6">
        <w:rPr>
          <w:rFonts w:cs="Times"/>
          <w:b/>
          <w:bCs/>
          <w:noProof/>
          <w:szCs w:val="24"/>
        </w:rPr>
        <w:t>2015</w:t>
      </w:r>
      <w:r w:rsidRPr="00781BE6">
        <w:rPr>
          <w:rFonts w:cs="Times"/>
          <w:noProof/>
          <w:szCs w:val="24"/>
        </w:rPr>
        <w:t xml:space="preserve">, </w:t>
      </w:r>
      <w:r w:rsidRPr="00781BE6">
        <w:rPr>
          <w:rFonts w:cs="Times"/>
          <w:i/>
          <w:iCs/>
          <w:noProof/>
          <w:szCs w:val="24"/>
        </w:rPr>
        <w:t>71</w:t>
      </w:r>
      <w:r w:rsidRPr="00781BE6">
        <w:rPr>
          <w:rFonts w:cs="Times"/>
          <w:noProof/>
          <w:szCs w:val="24"/>
        </w:rPr>
        <w:t xml:space="preserve">, 804–818, </w:t>
      </w:r>
      <w:r w:rsidRPr="00781BE6">
        <w:rPr>
          <w:rFonts w:cs="Times"/>
          <w:noProof/>
          <w:szCs w:val="24"/>
        </w:rPr>
        <w:lastRenderedPageBreak/>
        <w:t>doi:10.1016/j.oregeorev.2015.01.001.</w:t>
      </w:r>
    </w:p>
    <w:p w14:paraId="4F8A26ED" w14:textId="44D11C04" w:rsidR="009A0487" w:rsidRPr="002363C2" w:rsidRDefault="00781BE6">
      <w:r>
        <w:fldChar w:fldCharType="end"/>
      </w:r>
    </w:p>
    <w:p w14:paraId="02042CFD" w14:textId="77777777" w:rsidR="00D972C6" w:rsidRPr="002363C2" w:rsidRDefault="00D972C6" w:rsidP="00D972C6"/>
    <w:p w14:paraId="753EA60C" w14:textId="77777777" w:rsidR="00D972C6" w:rsidRPr="002363C2" w:rsidRDefault="00D972C6"/>
    <w:p w14:paraId="7F7506C8" w14:textId="77777777" w:rsidR="00D972C6" w:rsidRPr="002363C2" w:rsidRDefault="00D972C6"/>
    <w:p w14:paraId="47921121" w14:textId="77777777" w:rsidR="006F45A4" w:rsidRPr="002363C2" w:rsidRDefault="006F45A4"/>
    <w:sectPr w:rsidR="006F45A4" w:rsidRPr="002363C2">
      <w:headerReference w:type="default" r:id="rId1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E5DEB" w14:textId="77777777" w:rsidR="00CE5153" w:rsidRDefault="00CE5153">
      <w:r>
        <w:separator/>
      </w:r>
    </w:p>
  </w:endnote>
  <w:endnote w:type="continuationSeparator" w:id="0">
    <w:p w14:paraId="24451F6E" w14:textId="77777777" w:rsidR="00CE5153" w:rsidRDefault="00CE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Times New Roman"/>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21C2A" w14:textId="77777777" w:rsidR="00CE5153" w:rsidRPr="00043761" w:rsidRDefault="00CE5153">
      <w:pPr>
        <w:pStyle w:val="Bulleted"/>
        <w:numPr>
          <w:ilvl w:val="0"/>
          <w:numId w:val="0"/>
        </w:numPr>
        <w:rPr>
          <w:rFonts w:ascii="Sabon" w:hAnsi="Sabon"/>
          <w:color w:val="auto"/>
          <w:szCs w:val="20"/>
        </w:rPr>
      </w:pPr>
      <w:r>
        <w:separator/>
      </w:r>
    </w:p>
  </w:footnote>
  <w:footnote w:type="continuationSeparator" w:id="0">
    <w:p w14:paraId="3CD5CF16" w14:textId="77777777" w:rsidR="00CE5153" w:rsidRDefault="00CE5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E1CA" w14:textId="77777777" w:rsidR="009A0487" w:rsidRDefault="009A0487"/>
  <w:p w14:paraId="28C8F639" w14:textId="77777777" w:rsidR="009A0487" w:rsidRDefault="009A0487"/>
  <w:p w14:paraId="409ABB81" w14:textId="77777777" w:rsidR="009A0487" w:rsidRDefault="009A0487"/>
  <w:p w14:paraId="0B1812B1" w14:textId="77777777" w:rsidR="009A0487" w:rsidRDefault="009A0487"/>
  <w:p w14:paraId="3591C713" w14:textId="77777777" w:rsidR="009A0487" w:rsidRDefault="009A0487"/>
  <w:p w14:paraId="348EF547"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FF09B4"/>
    <w:multiLevelType w:val="multilevel"/>
    <w:tmpl w:val="3B6AAE3A"/>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BE4"/>
    <w:rsid w:val="00006EA6"/>
    <w:rsid w:val="00066D43"/>
    <w:rsid w:val="000B56DF"/>
    <w:rsid w:val="000B7608"/>
    <w:rsid w:val="000E019B"/>
    <w:rsid w:val="000F521D"/>
    <w:rsid w:val="00162650"/>
    <w:rsid w:val="00191700"/>
    <w:rsid w:val="001A2ECE"/>
    <w:rsid w:val="001B2C00"/>
    <w:rsid w:val="00217A99"/>
    <w:rsid w:val="002363C2"/>
    <w:rsid w:val="002457A3"/>
    <w:rsid w:val="00251335"/>
    <w:rsid w:val="002F3F56"/>
    <w:rsid w:val="00300850"/>
    <w:rsid w:val="0035117C"/>
    <w:rsid w:val="003567E4"/>
    <w:rsid w:val="00377A3F"/>
    <w:rsid w:val="00395CB1"/>
    <w:rsid w:val="003C3C7E"/>
    <w:rsid w:val="003D6701"/>
    <w:rsid w:val="004147C6"/>
    <w:rsid w:val="004515B0"/>
    <w:rsid w:val="004747AF"/>
    <w:rsid w:val="00475257"/>
    <w:rsid w:val="00483969"/>
    <w:rsid w:val="004842D2"/>
    <w:rsid w:val="00493BB6"/>
    <w:rsid w:val="004A2481"/>
    <w:rsid w:val="004E5E0F"/>
    <w:rsid w:val="005158FA"/>
    <w:rsid w:val="0055661E"/>
    <w:rsid w:val="00574C91"/>
    <w:rsid w:val="005A4271"/>
    <w:rsid w:val="006133A0"/>
    <w:rsid w:val="00624FC7"/>
    <w:rsid w:val="006C216B"/>
    <w:rsid w:val="006E1246"/>
    <w:rsid w:val="006F45A4"/>
    <w:rsid w:val="00710C62"/>
    <w:rsid w:val="00713685"/>
    <w:rsid w:val="00733CB3"/>
    <w:rsid w:val="007630CA"/>
    <w:rsid w:val="00781BE6"/>
    <w:rsid w:val="00783F67"/>
    <w:rsid w:val="0079382E"/>
    <w:rsid w:val="007A497A"/>
    <w:rsid w:val="007C30D0"/>
    <w:rsid w:val="007F77FC"/>
    <w:rsid w:val="00812556"/>
    <w:rsid w:val="008F204F"/>
    <w:rsid w:val="00941947"/>
    <w:rsid w:val="00961835"/>
    <w:rsid w:val="00976798"/>
    <w:rsid w:val="009A0487"/>
    <w:rsid w:val="009B7AF6"/>
    <w:rsid w:val="009C1DA3"/>
    <w:rsid w:val="00A22302"/>
    <w:rsid w:val="00A2570A"/>
    <w:rsid w:val="00A379D0"/>
    <w:rsid w:val="00A402F5"/>
    <w:rsid w:val="00A65DB6"/>
    <w:rsid w:val="00AB5A17"/>
    <w:rsid w:val="00B05982"/>
    <w:rsid w:val="00B46DA6"/>
    <w:rsid w:val="00B70F5C"/>
    <w:rsid w:val="00B83F45"/>
    <w:rsid w:val="00BC0C57"/>
    <w:rsid w:val="00BC1AB2"/>
    <w:rsid w:val="00BC2A73"/>
    <w:rsid w:val="00BC72AD"/>
    <w:rsid w:val="00C0311D"/>
    <w:rsid w:val="00C03D54"/>
    <w:rsid w:val="00C20F43"/>
    <w:rsid w:val="00C55354"/>
    <w:rsid w:val="00C85FDB"/>
    <w:rsid w:val="00CA596C"/>
    <w:rsid w:val="00CE5153"/>
    <w:rsid w:val="00CE70B1"/>
    <w:rsid w:val="00CF506F"/>
    <w:rsid w:val="00D27C5C"/>
    <w:rsid w:val="00D54537"/>
    <w:rsid w:val="00D972C6"/>
    <w:rsid w:val="00DB2B30"/>
    <w:rsid w:val="00E25109"/>
    <w:rsid w:val="00E361FE"/>
    <w:rsid w:val="00E563FD"/>
    <w:rsid w:val="00EA784B"/>
    <w:rsid w:val="00EF163B"/>
    <w:rsid w:val="00EF49F1"/>
    <w:rsid w:val="00EF6BE4"/>
    <w:rsid w:val="00F31C7A"/>
    <w:rsid w:val="00FA1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D81F"/>
  <w15:docId w15:val="{E4FA50F2-00DE-4128-ACF1-F082BD21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BalloonText">
    <w:name w:val="Balloon Text"/>
    <w:basedOn w:val="Normal"/>
    <w:link w:val="BalloonTextChar"/>
    <w:uiPriority w:val="99"/>
    <w:semiHidden/>
    <w:unhideWhenUsed/>
    <w:rsid w:val="000F5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21D"/>
    <w:rPr>
      <w:rFonts w:ascii="Segoe UI" w:hAnsi="Segoe UI" w:cs="Segoe UI"/>
      <w:sz w:val="18"/>
      <w:szCs w:val="18"/>
      <w:lang w:eastAsia="en-US"/>
    </w:rPr>
  </w:style>
  <w:style w:type="paragraph" w:customStyle="1" w:styleId="TableCaptionCentred">
    <w:name w:val="Table.Caption.Centred"/>
    <w:basedOn w:val="Normal"/>
    <w:autoRedefine/>
    <w:rsid w:val="000B56DF"/>
    <w:pPr>
      <w:spacing w:after="120"/>
      <w:jc w:val="center"/>
    </w:pPr>
    <w:rPr>
      <w:color w:val="000000"/>
      <w:szCs w:val="22"/>
    </w:rPr>
  </w:style>
  <w:style w:type="paragraph" w:styleId="BodyText2">
    <w:name w:val="Body Text 2"/>
    <w:basedOn w:val="Normal"/>
    <w:link w:val="BodyText2Char"/>
    <w:uiPriority w:val="99"/>
    <w:semiHidden/>
    <w:unhideWhenUsed/>
    <w:rsid w:val="004147C6"/>
    <w:pPr>
      <w:spacing w:after="120" w:line="480" w:lineRule="auto"/>
    </w:pPr>
  </w:style>
  <w:style w:type="character" w:customStyle="1" w:styleId="BodyText2Char">
    <w:name w:val="Body Text 2 Char"/>
    <w:basedOn w:val="DefaultParagraphFont"/>
    <w:link w:val="BodyText2"/>
    <w:uiPriority w:val="99"/>
    <w:semiHidden/>
    <w:rsid w:val="004147C6"/>
    <w:rPr>
      <w:rFonts w:ascii="Times" w:hAnsi="Times"/>
      <w:sz w:val="22"/>
      <w:lang w:eastAsia="en-US"/>
    </w:rPr>
  </w:style>
  <w:style w:type="paragraph" w:customStyle="1" w:styleId="subsection0">
    <w:name w:val="subsection"/>
    <w:rsid w:val="004147C6"/>
    <w:pPr>
      <w:numPr>
        <w:ilvl w:val="1"/>
        <w:numId w:val="5"/>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4147C6"/>
    <w:pPr>
      <w:numPr>
        <w:numId w:val="5"/>
      </w:numPr>
      <w:tabs>
        <w:tab w:val="left" w:pos="567"/>
      </w:tabs>
      <w:spacing w:before="240"/>
    </w:pPr>
    <w:rPr>
      <w:rFonts w:ascii="Times" w:hAnsi="Times"/>
      <w:b/>
      <w:color w:val="000000"/>
      <w:sz w:val="22"/>
      <w:szCs w:val="22"/>
      <w:lang w:eastAsia="en-US"/>
    </w:rPr>
  </w:style>
  <w:style w:type="paragraph" w:customStyle="1" w:styleId="subsubsection0">
    <w:name w:val="subsubsection"/>
    <w:link w:val="subsubsectionChar0"/>
    <w:autoRedefine/>
    <w:rsid w:val="004147C6"/>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Normal"/>
    <w:autoRedefine/>
    <w:rsid w:val="004147C6"/>
    <w:pPr>
      <w:tabs>
        <w:tab w:val="center" w:pos="4820"/>
        <w:tab w:val="right" w:pos="9072"/>
      </w:tabs>
      <w:spacing w:before="120" w:after="120"/>
      <w:jc w:val="center"/>
    </w:pPr>
    <w:rPr>
      <w:color w:val="000000"/>
      <w:szCs w:val="22"/>
      <w:lang w:val="en-US"/>
    </w:rPr>
  </w:style>
  <w:style w:type="character" w:customStyle="1" w:styleId="subsubsectionChar0">
    <w:name w:val="subsubsection Char"/>
    <w:link w:val="subsubsection0"/>
    <w:rsid w:val="004147C6"/>
    <w:rPr>
      <w:rFonts w:ascii="Times" w:hAnsi="Times"/>
      <w:i/>
      <w:iCs/>
      <w:color w:val="000000"/>
      <w:sz w:val="22"/>
      <w:szCs w:val="22"/>
      <w:lang w:val="en-US" w:eastAsia="en-US"/>
    </w:rPr>
  </w:style>
  <w:style w:type="paragraph" w:customStyle="1" w:styleId="wfxDate">
    <w:name w:val="wfxDate"/>
    <w:basedOn w:val="Normal"/>
    <w:semiHidden/>
    <w:rsid w:val="00624FC7"/>
    <w:rPr>
      <w:rFonts w:ascii="Sabon" w:hAnsi="Sabon"/>
    </w:rPr>
  </w:style>
  <w:style w:type="paragraph" w:customStyle="1" w:styleId="BodyChar">
    <w:name w:val="Body Char"/>
    <w:link w:val="BodyCharChar"/>
    <w:rsid w:val="00624FC7"/>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624FC7"/>
    <w:rPr>
      <w:rFonts w:ascii="Times" w:hAnsi="Times"/>
      <w:color w:val="000000"/>
      <w:sz w:val="22"/>
      <w:szCs w:val="22"/>
      <w:lang w:eastAsia="en-US"/>
    </w:rPr>
  </w:style>
  <w:style w:type="character" w:customStyle="1" w:styleId="sectionChar">
    <w:name w:val="section Char"/>
    <w:link w:val="section0"/>
    <w:rsid w:val="00624FC7"/>
    <w:rPr>
      <w:rFonts w:ascii="Times" w:hAnsi="Times"/>
      <w:b/>
      <w:color w:val="000000"/>
      <w:sz w:val="22"/>
      <w:szCs w:val="22"/>
      <w:lang w:eastAsia="en-US"/>
    </w:rPr>
  </w:style>
  <w:style w:type="character" w:styleId="Hyperlink">
    <w:name w:val="Hyperlink"/>
    <w:basedOn w:val="DefaultParagraphFont"/>
    <w:uiPriority w:val="99"/>
    <w:unhideWhenUsed/>
    <w:rsid w:val="00C85FDB"/>
    <w:rPr>
      <w:color w:val="0000FF" w:themeColor="hyperlink"/>
      <w:u w:val="single"/>
    </w:rPr>
  </w:style>
  <w:style w:type="character" w:styleId="UnresolvedMention">
    <w:name w:val="Unresolved Mention"/>
    <w:basedOn w:val="DefaultParagraphFont"/>
    <w:uiPriority w:val="99"/>
    <w:semiHidden/>
    <w:unhideWhenUsed/>
    <w:rsid w:val="00C85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kranjcic@gfv.h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DDCEC-6E4E-42FE-BF56-C8130F82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8260</TotalTime>
  <Pages>9</Pages>
  <Words>9062</Words>
  <Characters>51659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Nikola</cp:lastModifiedBy>
  <cp:revision>47</cp:revision>
  <cp:lastPrinted>2005-02-25T09:52:00Z</cp:lastPrinted>
  <dcterms:created xsi:type="dcterms:W3CDTF">2015-09-02T08:53:00Z</dcterms:created>
  <dcterms:modified xsi:type="dcterms:W3CDTF">2019-06-28T20:22:00Z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http://www.zotero.org/styles/remote-sensing</vt:lpwstr>
  </property>
  <property fmtid="{D5CDD505-2E9C-101B-9397-08002B2CF9AE}" pid="19" name="Mendeley Recent Style Name 8_1">
    <vt:lpwstr>Remote Sensing</vt:lpwstr>
  </property>
  <property fmtid="{D5CDD505-2E9C-101B-9397-08002B2CF9AE}" pid="20" name="Mendeley Recent Style Id 9_1">
    <vt:lpwstr>http://www.zotero.org/styles/remote-sensing-of-environment</vt:lpwstr>
  </property>
  <property fmtid="{D5CDD505-2E9C-101B-9397-08002B2CF9AE}" pid="21" name="Mendeley Recent Style Name 9_1">
    <vt:lpwstr>Remote Sensing of Environment</vt:lpwstr>
  </property>
  <property fmtid="{D5CDD505-2E9C-101B-9397-08002B2CF9AE}" pid="22" name="Mendeley Citation Style_1">
    <vt:lpwstr>http://www.zotero.org/styles/remote-sensing</vt:lpwstr>
  </property>
  <property fmtid="{D5CDD505-2E9C-101B-9397-08002B2CF9AE}" pid="23" name="Mendeley Document_1">
    <vt:lpwstr>True</vt:lpwstr>
  </property>
  <property fmtid="{D5CDD505-2E9C-101B-9397-08002B2CF9AE}" pid="24" name="Mendeley Unique User Id_1">
    <vt:lpwstr>34d8bf8d-c991-3ad9-9389-bab619b373ae</vt:lpwstr>
  </property>
</Properties>
</file>