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55F" w:rsidRDefault="00C140CE" w:rsidP="00983A00">
      <w:pPr>
        <w:jc w:val="center"/>
        <w:rPr>
          <w:rFonts w:ascii="Times New Roman" w:hAnsi="Times New Roman" w:cs="Times New Roman"/>
          <w:b/>
          <w:bCs/>
          <w:noProof/>
          <w:sz w:val="28"/>
          <w:szCs w:val="28"/>
        </w:rPr>
      </w:pPr>
      <w:r w:rsidRPr="00983A00">
        <w:rPr>
          <w:rFonts w:ascii="Times New Roman" w:hAnsi="Times New Roman" w:cs="Times New Roman"/>
          <w:b/>
          <w:bCs/>
          <w:noProof/>
          <w:sz w:val="28"/>
          <w:szCs w:val="28"/>
        </w:rPr>
        <w:t xml:space="preserve">Croatia's </w:t>
      </w:r>
      <w:r w:rsidR="00C15F10">
        <w:rPr>
          <w:rFonts w:ascii="Times New Roman" w:hAnsi="Times New Roman" w:cs="Times New Roman"/>
          <w:b/>
          <w:bCs/>
          <w:noProof/>
          <w:sz w:val="28"/>
          <w:szCs w:val="28"/>
        </w:rPr>
        <w:t>P</w:t>
      </w:r>
      <w:r w:rsidRPr="00983A00">
        <w:rPr>
          <w:rFonts w:ascii="Times New Roman" w:hAnsi="Times New Roman" w:cs="Times New Roman"/>
          <w:b/>
          <w:bCs/>
          <w:noProof/>
          <w:sz w:val="28"/>
          <w:szCs w:val="28"/>
        </w:rPr>
        <w:t xml:space="preserve">ath into the EMU and the </w:t>
      </w:r>
      <w:r w:rsidR="00C15F10">
        <w:rPr>
          <w:rFonts w:ascii="Times New Roman" w:hAnsi="Times New Roman" w:cs="Times New Roman"/>
          <w:b/>
          <w:bCs/>
          <w:noProof/>
          <w:sz w:val="28"/>
          <w:szCs w:val="28"/>
        </w:rPr>
        <w:t>R</w:t>
      </w:r>
      <w:r w:rsidRPr="00983A00">
        <w:rPr>
          <w:rFonts w:ascii="Times New Roman" w:hAnsi="Times New Roman" w:cs="Times New Roman"/>
          <w:b/>
          <w:bCs/>
          <w:noProof/>
          <w:sz w:val="28"/>
          <w:szCs w:val="28"/>
        </w:rPr>
        <w:t>ole of SOEs</w:t>
      </w:r>
      <w:r w:rsidR="00AE1F6B">
        <w:rPr>
          <w:rFonts w:ascii="Times New Roman" w:hAnsi="Times New Roman" w:cs="Times New Roman"/>
          <w:b/>
          <w:bCs/>
          <w:noProof/>
          <w:sz w:val="28"/>
          <w:szCs w:val="28"/>
        </w:rPr>
        <w:t xml:space="preserve"> in Achieving Real Economic Convergence</w:t>
      </w:r>
      <w:r w:rsidR="00C15F10">
        <w:rPr>
          <w:rFonts w:ascii="Times New Roman" w:hAnsi="Times New Roman" w:cs="Times New Roman"/>
          <w:b/>
          <w:bCs/>
          <w:noProof/>
          <w:sz w:val="28"/>
          <w:szCs w:val="28"/>
        </w:rPr>
        <w:t xml:space="preserve"> </w:t>
      </w:r>
    </w:p>
    <w:p w:rsidR="005677A7" w:rsidRDefault="005677A7" w:rsidP="008E05C6">
      <w:pPr>
        <w:spacing w:after="0" w:line="240" w:lineRule="auto"/>
        <w:jc w:val="center"/>
        <w:rPr>
          <w:rFonts w:ascii="Times New Roman" w:hAnsi="Times New Roman" w:cs="Times New Roman"/>
          <w:b/>
          <w:bCs/>
          <w:noProof/>
          <w:sz w:val="28"/>
          <w:szCs w:val="28"/>
        </w:rPr>
      </w:pPr>
    </w:p>
    <w:p w:rsidR="00983A00" w:rsidRDefault="00983A00" w:rsidP="008E05C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Kristijan Kotarski</w:t>
      </w:r>
    </w:p>
    <w:p w:rsidR="00983A00" w:rsidRDefault="00983A00" w:rsidP="008E05C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Assistant Professor</w:t>
      </w:r>
    </w:p>
    <w:p w:rsidR="00983A00" w:rsidRDefault="00983A00" w:rsidP="008E05C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Faculty of Political Science, University of Zagreb</w:t>
      </w:r>
    </w:p>
    <w:p w:rsidR="00983A00" w:rsidRPr="00983A00" w:rsidRDefault="00983A00" w:rsidP="008E05C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Zagreb, Croatia </w:t>
      </w:r>
    </w:p>
    <w:p w:rsidR="00983A00" w:rsidRDefault="00983A00" w:rsidP="006C797B">
      <w:pPr>
        <w:rPr>
          <w:rFonts w:ascii="Times New Roman" w:hAnsi="Times New Roman" w:cs="Times New Roman"/>
          <w:b/>
          <w:bCs/>
          <w:noProof/>
          <w:sz w:val="24"/>
          <w:szCs w:val="24"/>
        </w:rPr>
      </w:pPr>
    </w:p>
    <w:p w:rsidR="00983A00" w:rsidRDefault="00983A00" w:rsidP="00983A00">
      <w:pPr>
        <w:jc w:val="center"/>
        <w:rPr>
          <w:rFonts w:ascii="Times New Roman" w:hAnsi="Times New Roman" w:cs="Times New Roman"/>
          <w:noProof/>
          <w:sz w:val="24"/>
          <w:szCs w:val="24"/>
        </w:rPr>
      </w:pPr>
      <w:r w:rsidRPr="00983A00">
        <w:rPr>
          <w:rFonts w:ascii="Times New Roman" w:hAnsi="Times New Roman" w:cs="Times New Roman"/>
          <w:noProof/>
          <w:sz w:val="24"/>
          <w:szCs w:val="24"/>
        </w:rPr>
        <w:t>Document prepared for the EMERiCs Project</w:t>
      </w:r>
    </w:p>
    <w:p w:rsidR="006B052F" w:rsidRDefault="006B052F" w:rsidP="00983A00">
      <w:pPr>
        <w:jc w:val="center"/>
        <w:rPr>
          <w:rFonts w:ascii="Times New Roman" w:hAnsi="Times New Roman" w:cs="Times New Roman"/>
          <w:noProof/>
          <w:sz w:val="24"/>
          <w:szCs w:val="24"/>
        </w:rPr>
      </w:pPr>
    </w:p>
    <w:p w:rsidR="006B052F" w:rsidRPr="006B052F" w:rsidRDefault="006B052F" w:rsidP="006B052F">
      <w:pPr>
        <w:jc w:val="both"/>
        <w:rPr>
          <w:rFonts w:ascii="Times New Roman" w:hAnsi="Times New Roman" w:cs="Times New Roman"/>
          <w:b/>
          <w:bCs/>
          <w:noProof/>
          <w:sz w:val="24"/>
          <w:szCs w:val="24"/>
        </w:rPr>
      </w:pPr>
      <w:r w:rsidRPr="006B052F">
        <w:rPr>
          <w:rFonts w:ascii="Times New Roman" w:hAnsi="Times New Roman" w:cs="Times New Roman"/>
          <w:b/>
          <w:bCs/>
          <w:noProof/>
          <w:sz w:val="24"/>
          <w:szCs w:val="24"/>
        </w:rPr>
        <w:t>Introduction</w:t>
      </w:r>
    </w:p>
    <w:p w:rsidR="001D155F" w:rsidRDefault="001D155F" w:rsidP="006C797B"/>
    <w:p w:rsidR="00E33147" w:rsidRDefault="001D155F" w:rsidP="0005413C">
      <w:pPr>
        <w:jc w:val="both"/>
        <w:rPr>
          <w:rFonts w:ascii="Times New Roman" w:hAnsi="Times New Roman" w:cs="Times New Roman"/>
          <w:noProof/>
          <w:sz w:val="24"/>
          <w:szCs w:val="24"/>
        </w:rPr>
      </w:pPr>
      <w:r w:rsidRPr="00F46252">
        <w:rPr>
          <w:rFonts w:ascii="Times New Roman" w:hAnsi="Times New Roman" w:cs="Times New Roman"/>
          <w:noProof/>
          <w:sz w:val="24"/>
          <w:szCs w:val="24"/>
        </w:rPr>
        <w:t>Croatia constitutes the case of a country with vast and expansive sector of state-owned enterprises</w:t>
      </w:r>
      <w:r w:rsidR="00270A4D">
        <w:rPr>
          <w:rFonts w:ascii="Times New Roman" w:hAnsi="Times New Roman" w:cs="Times New Roman"/>
          <w:noProof/>
          <w:sz w:val="24"/>
          <w:szCs w:val="24"/>
        </w:rPr>
        <w:t xml:space="preserve"> (SOEs)</w:t>
      </w:r>
      <w:r w:rsidRPr="00F46252">
        <w:rPr>
          <w:rFonts w:ascii="Times New Roman" w:hAnsi="Times New Roman" w:cs="Times New Roman"/>
          <w:noProof/>
          <w:sz w:val="24"/>
          <w:szCs w:val="24"/>
        </w:rPr>
        <w:t xml:space="preserve">. A detailed comparison </w:t>
      </w:r>
      <w:r w:rsidR="00AE1F6B">
        <w:rPr>
          <w:rFonts w:ascii="Times New Roman" w:hAnsi="Times New Roman" w:cs="Times New Roman"/>
          <w:noProof/>
          <w:sz w:val="24"/>
          <w:szCs w:val="24"/>
        </w:rPr>
        <w:t>leads</w:t>
      </w:r>
      <w:r w:rsidR="0071437D">
        <w:rPr>
          <w:rFonts w:ascii="Times New Roman" w:hAnsi="Times New Roman" w:cs="Times New Roman"/>
          <w:noProof/>
          <w:sz w:val="24"/>
          <w:szCs w:val="24"/>
        </w:rPr>
        <w:t xml:space="preserve"> us</w:t>
      </w:r>
      <w:r w:rsidR="00AE1F6B">
        <w:rPr>
          <w:rFonts w:ascii="Times New Roman" w:hAnsi="Times New Roman" w:cs="Times New Roman"/>
          <w:noProof/>
          <w:sz w:val="24"/>
          <w:szCs w:val="24"/>
        </w:rPr>
        <w:t xml:space="preserve"> to this</w:t>
      </w:r>
      <w:r w:rsidRPr="00F46252">
        <w:rPr>
          <w:rFonts w:ascii="Times New Roman" w:hAnsi="Times New Roman" w:cs="Times New Roman"/>
          <w:noProof/>
          <w:sz w:val="24"/>
          <w:szCs w:val="24"/>
        </w:rPr>
        <w:t xml:space="preserve"> conclusion </w:t>
      </w:r>
      <w:r w:rsidR="00AE1F6B">
        <w:rPr>
          <w:rFonts w:ascii="Times New Roman" w:hAnsi="Times New Roman" w:cs="Times New Roman"/>
          <w:noProof/>
          <w:sz w:val="24"/>
          <w:szCs w:val="24"/>
        </w:rPr>
        <w:t>since</w:t>
      </w:r>
      <w:r w:rsidRPr="00F46252">
        <w:rPr>
          <w:rFonts w:ascii="Times New Roman" w:hAnsi="Times New Roman" w:cs="Times New Roman"/>
          <w:noProof/>
          <w:sz w:val="24"/>
          <w:szCs w:val="24"/>
        </w:rPr>
        <w:t xml:space="preserve"> Croatia has the lowest number of residents per one state-owned enterprise</w:t>
      </w:r>
      <w:r w:rsidR="00C140CE">
        <w:rPr>
          <w:rFonts w:ascii="Times New Roman" w:hAnsi="Times New Roman" w:cs="Times New Roman"/>
          <w:noProof/>
          <w:sz w:val="24"/>
          <w:szCs w:val="24"/>
        </w:rPr>
        <w:t xml:space="preserve"> among the sample of</w:t>
      </w:r>
      <w:r w:rsidR="00C140CE" w:rsidRPr="00C140CE">
        <w:rPr>
          <w:rFonts w:ascii="Times New Roman" w:hAnsi="Times New Roman" w:cs="Times New Roman"/>
          <w:noProof/>
          <w:sz w:val="24"/>
          <w:szCs w:val="24"/>
        </w:rPr>
        <w:t xml:space="preserve"> </w:t>
      </w:r>
      <w:r w:rsidR="00854802">
        <w:rPr>
          <w:rFonts w:ascii="Times New Roman" w:hAnsi="Times New Roman" w:cs="Times New Roman"/>
          <w:noProof/>
          <w:sz w:val="24"/>
          <w:szCs w:val="24"/>
        </w:rPr>
        <w:t xml:space="preserve">post-socialist </w:t>
      </w:r>
      <w:r w:rsidR="00C140CE" w:rsidRPr="00C140CE">
        <w:rPr>
          <w:rFonts w:ascii="Times New Roman" w:hAnsi="Times New Roman" w:cs="Times New Roman"/>
          <w:noProof/>
          <w:sz w:val="24"/>
          <w:szCs w:val="24"/>
        </w:rPr>
        <w:t>countries</w:t>
      </w:r>
      <w:r w:rsidRPr="00F46252">
        <w:rPr>
          <w:rFonts w:ascii="Times New Roman" w:hAnsi="Times New Roman" w:cs="Times New Roman"/>
          <w:noProof/>
          <w:sz w:val="24"/>
          <w:szCs w:val="24"/>
        </w:rPr>
        <w:t>. There are more than 1000 SOEs in Croatia and they employ</w:t>
      </w:r>
      <w:r w:rsidR="00854802">
        <w:rPr>
          <w:rFonts w:ascii="Times New Roman" w:hAnsi="Times New Roman" w:cs="Times New Roman"/>
          <w:noProof/>
          <w:sz w:val="24"/>
          <w:szCs w:val="24"/>
        </w:rPr>
        <w:t xml:space="preserve"> </w:t>
      </w:r>
      <w:r w:rsidRPr="00F46252">
        <w:rPr>
          <w:rFonts w:ascii="Times New Roman" w:hAnsi="Times New Roman" w:cs="Times New Roman"/>
          <w:noProof/>
          <w:sz w:val="24"/>
          <w:szCs w:val="24"/>
        </w:rPr>
        <w:t>comparatively</w:t>
      </w:r>
      <w:r w:rsidR="0071437D">
        <w:rPr>
          <w:rFonts w:ascii="Times New Roman" w:hAnsi="Times New Roman" w:cs="Times New Roman"/>
          <w:noProof/>
          <w:sz w:val="24"/>
          <w:szCs w:val="24"/>
        </w:rPr>
        <w:t xml:space="preserve"> very</w:t>
      </w:r>
      <w:r w:rsidRPr="00F46252">
        <w:rPr>
          <w:rFonts w:ascii="Times New Roman" w:hAnsi="Times New Roman" w:cs="Times New Roman"/>
          <w:noProof/>
          <w:sz w:val="24"/>
          <w:szCs w:val="24"/>
        </w:rPr>
        <w:t xml:space="preserve"> high percentage of employees </w:t>
      </w:r>
      <w:r w:rsidR="00854802">
        <w:rPr>
          <w:rFonts w:ascii="Times New Roman" w:hAnsi="Times New Roman" w:cs="Times New Roman"/>
          <w:noProof/>
          <w:sz w:val="24"/>
          <w:szCs w:val="24"/>
        </w:rPr>
        <w:t>as of total number of employed persons</w:t>
      </w:r>
      <w:r w:rsidR="00E33147">
        <w:rPr>
          <w:rFonts w:ascii="Times New Roman" w:hAnsi="Times New Roman" w:cs="Times New Roman"/>
          <w:noProof/>
          <w:sz w:val="24"/>
          <w:szCs w:val="24"/>
        </w:rPr>
        <w:t xml:space="preserve"> (</w:t>
      </w:r>
      <w:r w:rsidR="00E33147" w:rsidRPr="00E33147">
        <w:rPr>
          <w:rFonts w:ascii="Times New Roman" w:hAnsi="Times New Roman" w:cs="Times New Roman"/>
          <w:i/>
          <w:iCs/>
          <w:noProof/>
          <w:sz w:val="24"/>
          <w:szCs w:val="24"/>
        </w:rPr>
        <w:t>Figure 1</w:t>
      </w:r>
      <w:r w:rsidR="00E33147">
        <w:rPr>
          <w:rFonts w:ascii="Times New Roman" w:hAnsi="Times New Roman" w:cs="Times New Roman"/>
          <w:noProof/>
          <w:sz w:val="24"/>
          <w:szCs w:val="24"/>
        </w:rPr>
        <w:t xml:space="preserve"> and </w:t>
      </w:r>
      <w:r w:rsidR="00E33147" w:rsidRPr="00E33147">
        <w:rPr>
          <w:rFonts w:ascii="Times New Roman" w:hAnsi="Times New Roman" w:cs="Times New Roman"/>
          <w:i/>
          <w:iCs/>
          <w:noProof/>
          <w:sz w:val="24"/>
          <w:szCs w:val="24"/>
        </w:rPr>
        <w:t>Figure 2</w:t>
      </w:r>
      <w:r w:rsidR="00E33147">
        <w:rPr>
          <w:rFonts w:ascii="Times New Roman" w:hAnsi="Times New Roman" w:cs="Times New Roman"/>
          <w:noProof/>
          <w:sz w:val="24"/>
          <w:szCs w:val="24"/>
        </w:rPr>
        <w:t>)</w:t>
      </w:r>
      <w:r w:rsidRPr="00F46252">
        <w:rPr>
          <w:rFonts w:ascii="Times New Roman" w:hAnsi="Times New Roman" w:cs="Times New Roman"/>
          <w:noProof/>
          <w:sz w:val="24"/>
          <w:szCs w:val="24"/>
        </w:rPr>
        <w:t>.</w:t>
      </w:r>
      <w:r w:rsidR="00270A4D">
        <w:rPr>
          <w:rFonts w:ascii="Times New Roman" w:hAnsi="Times New Roman" w:cs="Times New Roman"/>
          <w:noProof/>
          <w:sz w:val="24"/>
          <w:szCs w:val="24"/>
        </w:rPr>
        <w:t xml:space="preserve"> </w:t>
      </w:r>
      <w:r w:rsidR="005B573D">
        <w:rPr>
          <w:rFonts w:ascii="Times New Roman" w:hAnsi="Times New Roman" w:cs="Times New Roman"/>
          <w:noProof/>
          <w:sz w:val="24"/>
          <w:szCs w:val="24"/>
        </w:rPr>
        <w:t>According to</w:t>
      </w:r>
      <w:r w:rsidR="0005413C">
        <w:rPr>
          <w:rFonts w:ascii="Times New Roman" w:hAnsi="Times New Roman" w:cs="Times New Roman"/>
          <w:noProof/>
          <w:sz w:val="24"/>
          <w:szCs w:val="24"/>
        </w:rPr>
        <w:t xml:space="preserve"> the</w:t>
      </w:r>
      <w:r w:rsidR="00270A4D">
        <w:rPr>
          <w:rFonts w:ascii="Times New Roman" w:hAnsi="Times New Roman" w:cs="Times New Roman"/>
          <w:noProof/>
          <w:sz w:val="24"/>
          <w:szCs w:val="24"/>
        </w:rPr>
        <w:t xml:space="preserve"> ILO dataset, only Greece has higher percentage of employees working for SOEs</w:t>
      </w:r>
      <w:r w:rsidR="005713BD">
        <w:rPr>
          <w:rFonts w:ascii="Times New Roman" w:hAnsi="Times New Roman" w:cs="Times New Roman"/>
          <w:noProof/>
          <w:sz w:val="24"/>
          <w:szCs w:val="24"/>
        </w:rPr>
        <w:t xml:space="preserve"> among the EU-27 sample</w:t>
      </w:r>
      <w:r w:rsidR="0071437D">
        <w:rPr>
          <w:rFonts w:ascii="Times New Roman" w:hAnsi="Times New Roman" w:cs="Times New Roman"/>
          <w:noProof/>
          <w:sz w:val="24"/>
          <w:szCs w:val="24"/>
        </w:rPr>
        <w:t xml:space="preserve"> (Vidačak and Kotarski, 2019)</w:t>
      </w:r>
      <w:r w:rsidR="00854802">
        <w:rPr>
          <w:rFonts w:ascii="Times New Roman" w:hAnsi="Times New Roman" w:cs="Times New Roman"/>
          <w:noProof/>
          <w:sz w:val="24"/>
          <w:szCs w:val="24"/>
        </w:rPr>
        <w:t>.</w:t>
      </w:r>
    </w:p>
    <w:p w:rsidR="00854802" w:rsidRPr="00F47C53" w:rsidRDefault="00854802" w:rsidP="00854802">
      <w:pPr>
        <w:jc w:val="both"/>
        <w:rPr>
          <w:rFonts w:ascii="Times New Roman" w:hAnsi="Times New Roman" w:cs="Times New Roman"/>
          <w:b/>
          <w:bCs/>
          <w:i/>
          <w:iCs/>
          <w:noProof/>
          <w:sz w:val="24"/>
          <w:szCs w:val="24"/>
        </w:rPr>
      </w:pPr>
      <w:r w:rsidRPr="00F47C53">
        <w:rPr>
          <w:rFonts w:ascii="Times New Roman" w:hAnsi="Times New Roman" w:cs="Times New Roman"/>
          <w:b/>
          <w:bCs/>
          <w:i/>
          <w:iCs/>
          <w:noProof/>
          <w:sz w:val="24"/>
          <w:szCs w:val="24"/>
        </w:rPr>
        <w:t>Figure 1</w:t>
      </w:r>
    </w:p>
    <w:p w:rsidR="00854802" w:rsidRDefault="00854802" w:rsidP="00854802">
      <w:pPr>
        <w:jc w:val="both"/>
        <w:rPr>
          <w:rFonts w:ascii="Times New Roman" w:hAnsi="Times New Roman" w:cs="Times New Roman"/>
          <w:noProof/>
          <w:sz w:val="24"/>
          <w:szCs w:val="24"/>
        </w:rPr>
      </w:pPr>
      <w:r>
        <w:rPr>
          <w:noProof/>
        </w:rPr>
        <w:drawing>
          <wp:inline distT="0" distB="0" distL="0" distR="0" wp14:anchorId="5E069B2B" wp14:editId="3E7BA7F3">
            <wp:extent cx="5731510" cy="3940810"/>
            <wp:effectExtent l="0" t="0" r="2540" b="2540"/>
            <wp:docPr id="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54802" w:rsidRDefault="00854802" w:rsidP="00854802">
      <w:pPr>
        <w:jc w:val="both"/>
        <w:rPr>
          <w:rFonts w:ascii="Times New Roman" w:hAnsi="Times New Roman" w:cs="Times New Roman"/>
          <w:noProof/>
          <w:sz w:val="20"/>
          <w:szCs w:val="20"/>
        </w:rPr>
      </w:pPr>
      <w:r w:rsidRPr="00161338">
        <w:rPr>
          <w:rFonts w:ascii="Times New Roman" w:hAnsi="Times New Roman" w:cs="Times New Roman"/>
          <w:noProof/>
          <w:sz w:val="20"/>
          <w:szCs w:val="20"/>
        </w:rPr>
        <w:t>Source: IMF (2019) and World Development Indicators (author's calculation)</w:t>
      </w:r>
    </w:p>
    <w:p w:rsidR="00854802" w:rsidRPr="004C711D" w:rsidRDefault="00854802" w:rsidP="0005413C">
      <w:pPr>
        <w:jc w:val="both"/>
        <w:rPr>
          <w:rFonts w:ascii="Times New Roman" w:hAnsi="Times New Roman" w:cs="Times New Roman"/>
          <w:b/>
          <w:bCs/>
          <w:i/>
          <w:iCs/>
          <w:noProof/>
          <w:sz w:val="24"/>
          <w:szCs w:val="24"/>
        </w:rPr>
      </w:pPr>
      <w:r w:rsidRPr="004C711D">
        <w:rPr>
          <w:rFonts w:ascii="Times New Roman" w:hAnsi="Times New Roman" w:cs="Times New Roman"/>
          <w:b/>
          <w:bCs/>
          <w:i/>
          <w:iCs/>
          <w:noProof/>
          <w:sz w:val="24"/>
          <w:szCs w:val="24"/>
        </w:rPr>
        <w:lastRenderedPageBreak/>
        <w:t>Figure 2</w:t>
      </w:r>
    </w:p>
    <w:p w:rsidR="00854802" w:rsidRDefault="00854802" w:rsidP="0005413C">
      <w:pPr>
        <w:jc w:val="both"/>
        <w:rPr>
          <w:rFonts w:ascii="Times New Roman" w:hAnsi="Times New Roman" w:cs="Times New Roman"/>
          <w:noProof/>
          <w:sz w:val="24"/>
          <w:szCs w:val="24"/>
        </w:rPr>
      </w:pPr>
      <w:r>
        <w:rPr>
          <w:noProof/>
        </w:rPr>
        <w:drawing>
          <wp:inline distT="0" distB="0" distL="0" distR="0" wp14:anchorId="1E3C3DDC" wp14:editId="547DAE12">
            <wp:extent cx="5731510" cy="3940810"/>
            <wp:effectExtent l="0" t="0" r="2540" b="2540"/>
            <wp:docPr id="5" name="Chart 5">
              <a:extLst xmlns:a="http://schemas.openxmlformats.org/drawingml/2006/main">
                <a:ext uri="{FF2B5EF4-FFF2-40B4-BE49-F238E27FC236}">
                  <a16:creationId xmlns:a16="http://schemas.microsoft.com/office/drawing/2014/main" id="{492E45D0-54DC-4E48-938F-781C530E7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711D" w:rsidRPr="00A4171A" w:rsidRDefault="004C711D" w:rsidP="0005413C">
      <w:pPr>
        <w:jc w:val="both"/>
        <w:rPr>
          <w:rFonts w:ascii="Times New Roman" w:hAnsi="Times New Roman" w:cs="Times New Roman"/>
          <w:noProof/>
          <w:sz w:val="20"/>
          <w:szCs w:val="20"/>
        </w:rPr>
      </w:pPr>
      <w:r w:rsidRPr="00A4171A">
        <w:rPr>
          <w:rFonts w:ascii="Times New Roman" w:hAnsi="Times New Roman" w:cs="Times New Roman"/>
          <w:noProof/>
          <w:sz w:val="20"/>
          <w:szCs w:val="20"/>
        </w:rPr>
        <w:t xml:space="preserve">Source: </w:t>
      </w:r>
      <w:r w:rsidR="00A4171A" w:rsidRPr="00A4171A">
        <w:rPr>
          <w:rFonts w:ascii="Times New Roman" w:hAnsi="Times New Roman" w:cs="Times New Roman"/>
          <w:noProof/>
          <w:sz w:val="20"/>
          <w:szCs w:val="20"/>
        </w:rPr>
        <w:t>Vidačak and Kotarski (2019)</w:t>
      </w:r>
    </w:p>
    <w:p w:rsidR="00E33147" w:rsidRDefault="00E33147" w:rsidP="0005413C">
      <w:pPr>
        <w:jc w:val="both"/>
        <w:rPr>
          <w:rFonts w:ascii="Times New Roman" w:hAnsi="Times New Roman" w:cs="Times New Roman"/>
          <w:noProof/>
          <w:sz w:val="24"/>
          <w:szCs w:val="24"/>
        </w:rPr>
      </w:pPr>
    </w:p>
    <w:p w:rsidR="0071437D" w:rsidRDefault="001D155F" w:rsidP="0005413C">
      <w:pPr>
        <w:jc w:val="both"/>
        <w:rPr>
          <w:rFonts w:ascii="Times New Roman" w:hAnsi="Times New Roman" w:cs="Times New Roman"/>
          <w:noProof/>
          <w:sz w:val="24"/>
          <w:szCs w:val="24"/>
        </w:rPr>
      </w:pPr>
      <w:r w:rsidRPr="00F46252">
        <w:rPr>
          <w:rFonts w:ascii="Times New Roman" w:hAnsi="Times New Roman" w:cs="Times New Roman"/>
          <w:noProof/>
          <w:sz w:val="24"/>
          <w:szCs w:val="24"/>
        </w:rPr>
        <w:t xml:space="preserve">Numerous international and domestic studies point out that SOEs act a major drag on </w:t>
      </w:r>
      <w:r w:rsidR="00F46252" w:rsidRPr="00F46252">
        <w:rPr>
          <w:rFonts w:ascii="Times New Roman" w:hAnsi="Times New Roman" w:cs="Times New Roman"/>
          <w:noProof/>
          <w:sz w:val="24"/>
          <w:szCs w:val="24"/>
        </w:rPr>
        <w:t>Croatia's economic performance</w:t>
      </w:r>
      <w:r w:rsidR="006945EB">
        <w:rPr>
          <w:rFonts w:ascii="Times New Roman" w:hAnsi="Times New Roman" w:cs="Times New Roman"/>
          <w:noProof/>
          <w:sz w:val="24"/>
          <w:szCs w:val="24"/>
        </w:rPr>
        <w:t xml:space="preserve"> (Šonje, 2019)</w:t>
      </w:r>
      <w:r w:rsidR="00F46252" w:rsidRPr="00F46252">
        <w:rPr>
          <w:rFonts w:ascii="Times New Roman" w:hAnsi="Times New Roman" w:cs="Times New Roman"/>
          <w:noProof/>
          <w:sz w:val="24"/>
          <w:szCs w:val="24"/>
        </w:rPr>
        <w:t>.</w:t>
      </w:r>
      <w:r w:rsidR="00C140CE">
        <w:rPr>
          <w:rFonts w:ascii="Times New Roman" w:hAnsi="Times New Roman" w:cs="Times New Roman"/>
          <w:noProof/>
          <w:sz w:val="24"/>
          <w:szCs w:val="24"/>
        </w:rPr>
        <w:t xml:space="preserve"> Croatian SOEs are generally inefficient and their resour</w:t>
      </w:r>
      <w:r w:rsidR="00CF5D03">
        <w:rPr>
          <w:rFonts w:ascii="Times New Roman" w:hAnsi="Times New Roman" w:cs="Times New Roman"/>
          <w:noProof/>
          <w:sz w:val="24"/>
          <w:szCs w:val="24"/>
        </w:rPr>
        <w:t>c</w:t>
      </w:r>
      <w:r w:rsidR="00C140CE">
        <w:rPr>
          <w:rFonts w:ascii="Times New Roman" w:hAnsi="Times New Roman" w:cs="Times New Roman"/>
          <w:noProof/>
          <w:sz w:val="24"/>
          <w:szCs w:val="24"/>
        </w:rPr>
        <w:t>e allocation is</w:t>
      </w:r>
      <w:r w:rsidR="006945EB">
        <w:rPr>
          <w:rFonts w:ascii="Times New Roman" w:hAnsi="Times New Roman" w:cs="Times New Roman"/>
          <w:noProof/>
          <w:sz w:val="24"/>
          <w:szCs w:val="24"/>
        </w:rPr>
        <w:t xml:space="preserve"> mostly</w:t>
      </w:r>
      <w:r w:rsidR="00C140CE">
        <w:rPr>
          <w:rFonts w:ascii="Times New Roman" w:hAnsi="Times New Roman" w:cs="Times New Roman"/>
          <w:noProof/>
          <w:sz w:val="24"/>
          <w:szCs w:val="24"/>
        </w:rPr>
        <w:t xml:space="preserve"> politically-driven.</w:t>
      </w:r>
      <w:r w:rsidR="00F46252" w:rsidRPr="00F46252">
        <w:rPr>
          <w:rFonts w:ascii="Times New Roman" w:hAnsi="Times New Roman" w:cs="Times New Roman"/>
          <w:noProof/>
          <w:sz w:val="24"/>
          <w:szCs w:val="24"/>
        </w:rPr>
        <w:t xml:space="preserve"> The main reason for this</w:t>
      </w:r>
      <w:r w:rsidR="00C140CE">
        <w:rPr>
          <w:rFonts w:ascii="Times New Roman" w:hAnsi="Times New Roman" w:cs="Times New Roman"/>
          <w:noProof/>
          <w:sz w:val="24"/>
          <w:szCs w:val="24"/>
        </w:rPr>
        <w:t xml:space="preserve"> specific</w:t>
      </w:r>
      <w:r w:rsidR="00F46252" w:rsidRPr="00F46252">
        <w:rPr>
          <w:rFonts w:ascii="Times New Roman" w:hAnsi="Times New Roman" w:cs="Times New Roman"/>
          <w:noProof/>
          <w:sz w:val="24"/>
          <w:szCs w:val="24"/>
        </w:rPr>
        <w:t xml:space="preserve"> outcome is to be found in the</w:t>
      </w:r>
      <w:r w:rsidR="00C140CE">
        <w:rPr>
          <w:rFonts w:ascii="Times New Roman" w:hAnsi="Times New Roman" w:cs="Times New Roman"/>
          <w:noProof/>
          <w:sz w:val="24"/>
          <w:szCs w:val="24"/>
        </w:rPr>
        <w:t xml:space="preserve"> very</w:t>
      </w:r>
      <w:r w:rsidR="00F46252" w:rsidRPr="00F46252">
        <w:rPr>
          <w:rFonts w:ascii="Times New Roman" w:hAnsi="Times New Roman" w:cs="Times New Roman"/>
          <w:noProof/>
          <w:sz w:val="24"/>
          <w:szCs w:val="24"/>
        </w:rPr>
        <w:t xml:space="preserve"> political equilibrium which has been reinforced over </w:t>
      </w:r>
      <w:r w:rsidR="00C140CE">
        <w:rPr>
          <w:rFonts w:ascii="Times New Roman" w:hAnsi="Times New Roman" w:cs="Times New Roman"/>
          <w:noProof/>
          <w:sz w:val="24"/>
          <w:szCs w:val="24"/>
        </w:rPr>
        <w:t>past three decades</w:t>
      </w:r>
      <w:r w:rsidR="00F46252" w:rsidRPr="00F46252">
        <w:rPr>
          <w:rFonts w:ascii="Times New Roman" w:hAnsi="Times New Roman" w:cs="Times New Roman"/>
          <w:noProof/>
          <w:sz w:val="24"/>
          <w:szCs w:val="24"/>
        </w:rPr>
        <w:t xml:space="preserve">. </w:t>
      </w:r>
      <w:r w:rsidR="00A0055D">
        <w:rPr>
          <w:rFonts w:ascii="Times New Roman" w:hAnsi="Times New Roman" w:cs="Times New Roman"/>
          <w:noProof/>
          <w:sz w:val="24"/>
          <w:szCs w:val="24"/>
        </w:rPr>
        <w:t>In the early days of transition from socialist into a market economy SOEs offered an umbrella of protection from the vicissitudes of the</w:t>
      </w:r>
      <w:r w:rsidR="006945EB">
        <w:rPr>
          <w:rFonts w:ascii="Times New Roman" w:hAnsi="Times New Roman" w:cs="Times New Roman"/>
          <w:noProof/>
          <w:sz w:val="24"/>
          <w:szCs w:val="24"/>
        </w:rPr>
        <w:t xml:space="preserve"> free</w:t>
      </w:r>
      <w:r w:rsidR="00A0055D">
        <w:rPr>
          <w:rFonts w:ascii="Times New Roman" w:hAnsi="Times New Roman" w:cs="Times New Roman"/>
          <w:noProof/>
          <w:sz w:val="24"/>
          <w:szCs w:val="24"/>
        </w:rPr>
        <w:t xml:space="preserve"> market.</w:t>
      </w:r>
      <w:r w:rsidR="00270A4D">
        <w:rPr>
          <w:rFonts w:ascii="Times New Roman" w:hAnsi="Times New Roman" w:cs="Times New Roman"/>
          <w:noProof/>
          <w:sz w:val="24"/>
          <w:szCs w:val="24"/>
        </w:rPr>
        <w:t xml:space="preserve"> This </w:t>
      </w:r>
      <w:r w:rsidR="006945EB">
        <w:rPr>
          <w:rFonts w:ascii="Times New Roman" w:hAnsi="Times New Roman" w:cs="Times New Roman"/>
          <w:noProof/>
          <w:sz w:val="24"/>
          <w:szCs w:val="24"/>
        </w:rPr>
        <w:t>kind of disposition closely dovetailed</w:t>
      </w:r>
      <w:r w:rsidR="0005413C">
        <w:rPr>
          <w:rFonts w:ascii="Times New Roman" w:hAnsi="Times New Roman" w:cs="Times New Roman"/>
          <w:noProof/>
          <w:sz w:val="24"/>
          <w:szCs w:val="24"/>
        </w:rPr>
        <w:t xml:space="preserve"> with the</w:t>
      </w:r>
      <w:r w:rsidR="00270A4D">
        <w:rPr>
          <w:rFonts w:ascii="Times New Roman" w:hAnsi="Times New Roman" w:cs="Times New Roman"/>
          <w:noProof/>
          <w:sz w:val="24"/>
          <w:szCs w:val="24"/>
        </w:rPr>
        <w:t xml:space="preserve"> widespread perception of </w:t>
      </w:r>
      <w:r w:rsidR="00670F60">
        <w:rPr>
          <w:rFonts w:ascii="Times New Roman" w:hAnsi="Times New Roman" w:cs="Times New Roman"/>
          <w:noProof/>
          <w:sz w:val="24"/>
          <w:szCs w:val="24"/>
        </w:rPr>
        <w:t>ubiquitous</w:t>
      </w:r>
      <w:r w:rsidR="00270A4D">
        <w:rPr>
          <w:rFonts w:ascii="Times New Roman" w:hAnsi="Times New Roman" w:cs="Times New Roman"/>
          <w:noProof/>
          <w:sz w:val="24"/>
          <w:szCs w:val="24"/>
        </w:rPr>
        <w:t xml:space="preserve"> insider privatization</w:t>
      </w:r>
      <w:r w:rsidR="00670F60">
        <w:rPr>
          <w:rFonts w:ascii="Times New Roman" w:hAnsi="Times New Roman" w:cs="Times New Roman"/>
          <w:noProof/>
          <w:sz w:val="24"/>
          <w:szCs w:val="24"/>
        </w:rPr>
        <w:t>s and</w:t>
      </w:r>
      <w:r w:rsidR="0030569E">
        <w:rPr>
          <w:rFonts w:ascii="Times New Roman" w:hAnsi="Times New Roman" w:cs="Times New Roman"/>
          <w:noProof/>
          <w:sz w:val="24"/>
          <w:szCs w:val="24"/>
        </w:rPr>
        <w:t xml:space="preserve"> crony capitalism structures emer</w:t>
      </w:r>
      <w:r w:rsidR="006945EB">
        <w:rPr>
          <w:rFonts w:ascii="Times New Roman" w:hAnsi="Times New Roman" w:cs="Times New Roman"/>
          <w:noProof/>
          <w:sz w:val="24"/>
          <w:szCs w:val="24"/>
        </w:rPr>
        <w:t>ging in the first decade of Croatia's independence</w:t>
      </w:r>
      <w:r w:rsidR="00270A4D">
        <w:rPr>
          <w:rFonts w:ascii="Times New Roman" w:hAnsi="Times New Roman" w:cs="Times New Roman"/>
          <w:noProof/>
          <w:sz w:val="24"/>
          <w:szCs w:val="24"/>
        </w:rPr>
        <w:t>.</w:t>
      </w:r>
      <w:r w:rsidR="0022216C">
        <w:rPr>
          <w:rFonts w:ascii="Times New Roman" w:hAnsi="Times New Roman" w:cs="Times New Roman"/>
          <w:noProof/>
          <w:sz w:val="24"/>
          <w:szCs w:val="24"/>
        </w:rPr>
        <w:t xml:space="preserve"> </w:t>
      </w:r>
      <w:r w:rsidR="0022216C" w:rsidRPr="0022216C">
        <w:rPr>
          <w:rFonts w:ascii="Times New Roman" w:hAnsi="Times New Roman" w:cs="Times New Roman"/>
          <w:noProof/>
          <w:sz w:val="24"/>
          <w:szCs w:val="24"/>
        </w:rPr>
        <w:t>The mounting challenge of extinguishing violence and establishing stable social order in the midst of a violent state-formation was primarily addressed by forging dominant coalition of organized interest groups.</w:t>
      </w:r>
      <w:r w:rsidR="0005413C">
        <w:rPr>
          <w:rFonts w:ascii="Times New Roman" w:hAnsi="Times New Roman" w:cs="Times New Roman"/>
          <w:noProof/>
          <w:sz w:val="24"/>
          <w:szCs w:val="24"/>
        </w:rPr>
        <w:t xml:space="preserve"> </w:t>
      </w:r>
    </w:p>
    <w:p w:rsidR="005B573D" w:rsidRDefault="005B573D" w:rsidP="0005413C">
      <w:pPr>
        <w:jc w:val="both"/>
        <w:rPr>
          <w:rFonts w:ascii="Times New Roman" w:hAnsi="Times New Roman" w:cs="Times New Roman"/>
          <w:noProof/>
          <w:sz w:val="24"/>
          <w:szCs w:val="24"/>
        </w:rPr>
      </w:pPr>
      <w:r>
        <w:rPr>
          <w:rFonts w:ascii="Times New Roman" w:hAnsi="Times New Roman" w:cs="Times New Roman"/>
          <w:noProof/>
          <w:sz w:val="24"/>
          <w:szCs w:val="24"/>
        </w:rPr>
        <w:t>Therefore, a</w:t>
      </w:r>
      <w:r w:rsidR="0005413C" w:rsidRPr="0005413C">
        <w:rPr>
          <w:rFonts w:ascii="Times New Roman" w:hAnsi="Times New Roman" w:cs="Times New Roman"/>
          <w:noProof/>
          <w:sz w:val="24"/>
          <w:szCs w:val="24"/>
        </w:rPr>
        <w:t>t the end of</w:t>
      </w:r>
      <w:r>
        <w:rPr>
          <w:rFonts w:ascii="Times New Roman" w:hAnsi="Times New Roman" w:cs="Times New Roman"/>
          <w:noProof/>
          <w:sz w:val="24"/>
          <w:szCs w:val="24"/>
        </w:rPr>
        <w:t xml:space="preserve"> </w:t>
      </w:r>
      <w:r w:rsidR="0005413C" w:rsidRPr="0005413C">
        <w:rPr>
          <w:rFonts w:ascii="Times New Roman" w:hAnsi="Times New Roman" w:cs="Times New Roman"/>
          <w:noProof/>
          <w:sz w:val="24"/>
          <w:szCs w:val="24"/>
        </w:rPr>
        <w:t>1990s Croatia belonged to a group of highly captured post-</w:t>
      </w:r>
      <w:r w:rsidR="0005413C">
        <w:rPr>
          <w:rFonts w:ascii="Times New Roman" w:hAnsi="Times New Roman" w:cs="Times New Roman"/>
          <w:noProof/>
          <w:sz w:val="24"/>
          <w:szCs w:val="24"/>
        </w:rPr>
        <w:t xml:space="preserve">socialist </w:t>
      </w:r>
      <w:r w:rsidR="0005413C" w:rsidRPr="0005413C">
        <w:rPr>
          <w:rFonts w:ascii="Times New Roman" w:hAnsi="Times New Roman" w:cs="Times New Roman"/>
          <w:noProof/>
          <w:sz w:val="24"/>
          <w:szCs w:val="24"/>
        </w:rPr>
        <w:t>states which relied on the collaboration of powerful enterprises with the political elite, the main</w:t>
      </w:r>
      <w:r w:rsidR="0005413C">
        <w:rPr>
          <w:rFonts w:ascii="Times New Roman" w:hAnsi="Times New Roman" w:cs="Times New Roman"/>
          <w:noProof/>
          <w:sz w:val="24"/>
          <w:szCs w:val="24"/>
        </w:rPr>
        <w:t xml:space="preserve"> </w:t>
      </w:r>
      <w:r w:rsidR="0005413C" w:rsidRPr="0005413C">
        <w:rPr>
          <w:rFonts w:ascii="Times New Roman" w:hAnsi="Times New Roman" w:cs="Times New Roman"/>
          <w:noProof/>
          <w:sz w:val="24"/>
          <w:szCs w:val="24"/>
        </w:rPr>
        <w:t>goal of which was to appropriate rents in an uncertain political environment</w:t>
      </w:r>
      <w:r w:rsidR="0005413C">
        <w:rPr>
          <w:rFonts w:ascii="Times New Roman" w:hAnsi="Times New Roman" w:cs="Times New Roman"/>
          <w:noProof/>
          <w:sz w:val="24"/>
          <w:szCs w:val="24"/>
        </w:rPr>
        <w:t xml:space="preserve"> (Kotarski and Petak 2020).</w:t>
      </w:r>
      <w:r w:rsidR="00A0055D">
        <w:rPr>
          <w:rFonts w:ascii="Times New Roman" w:hAnsi="Times New Roman" w:cs="Times New Roman"/>
          <w:noProof/>
          <w:sz w:val="24"/>
          <w:szCs w:val="24"/>
        </w:rPr>
        <w:t xml:space="preserve"> </w:t>
      </w:r>
      <w:r w:rsidR="007F5DF4">
        <w:rPr>
          <w:rFonts w:ascii="Times New Roman" w:hAnsi="Times New Roman" w:cs="Times New Roman"/>
          <w:noProof/>
          <w:sz w:val="24"/>
          <w:szCs w:val="24"/>
        </w:rPr>
        <w:t>A</w:t>
      </w:r>
      <w:r w:rsidR="00A0055D">
        <w:rPr>
          <w:rFonts w:ascii="Times New Roman" w:hAnsi="Times New Roman" w:cs="Times New Roman"/>
          <w:noProof/>
          <w:sz w:val="24"/>
          <w:szCs w:val="24"/>
        </w:rPr>
        <w:t xml:space="preserve">s the time progressed political parties, especially the </w:t>
      </w:r>
      <w:r w:rsidR="0005413C">
        <w:rPr>
          <w:rFonts w:ascii="Times New Roman" w:hAnsi="Times New Roman" w:cs="Times New Roman"/>
          <w:noProof/>
          <w:sz w:val="24"/>
          <w:szCs w:val="24"/>
        </w:rPr>
        <w:t xml:space="preserve">electorally </w:t>
      </w:r>
      <w:r w:rsidR="00A0055D">
        <w:rPr>
          <w:rFonts w:ascii="Times New Roman" w:hAnsi="Times New Roman" w:cs="Times New Roman"/>
          <w:noProof/>
          <w:sz w:val="24"/>
          <w:szCs w:val="24"/>
        </w:rPr>
        <w:t>dominant HDZ (Croatian Democratic Union), have increasingly started to use SOEs as a tool of accumulating</w:t>
      </w:r>
      <w:r>
        <w:rPr>
          <w:rFonts w:ascii="Times New Roman" w:hAnsi="Times New Roman" w:cs="Times New Roman"/>
          <w:noProof/>
          <w:sz w:val="24"/>
          <w:szCs w:val="24"/>
        </w:rPr>
        <w:t xml:space="preserve"> and retaining</w:t>
      </w:r>
      <w:r w:rsidR="00A0055D">
        <w:rPr>
          <w:rFonts w:ascii="Times New Roman" w:hAnsi="Times New Roman" w:cs="Times New Roman"/>
          <w:noProof/>
          <w:sz w:val="24"/>
          <w:szCs w:val="24"/>
        </w:rPr>
        <w:t xml:space="preserve"> political power, providing jobs</w:t>
      </w:r>
      <w:r>
        <w:rPr>
          <w:rFonts w:ascii="Times New Roman" w:hAnsi="Times New Roman" w:cs="Times New Roman"/>
          <w:noProof/>
          <w:sz w:val="24"/>
          <w:szCs w:val="24"/>
        </w:rPr>
        <w:t xml:space="preserve"> and securing </w:t>
      </w:r>
      <w:r w:rsidR="00A0055D">
        <w:rPr>
          <w:rFonts w:ascii="Times New Roman" w:hAnsi="Times New Roman" w:cs="Times New Roman"/>
          <w:noProof/>
          <w:sz w:val="24"/>
          <w:szCs w:val="24"/>
        </w:rPr>
        <w:t>contracts and investments to their</w:t>
      </w:r>
      <w:r>
        <w:rPr>
          <w:rFonts w:ascii="Times New Roman" w:hAnsi="Times New Roman" w:cs="Times New Roman"/>
          <w:noProof/>
          <w:sz w:val="24"/>
          <w:szCs w:val="24"/>
        </w:rPr>
        <w:t xml:space="preserve"> preferred</w:t>
      </w:r>
      <w:r w:rsidR="00A0055D">
        <w:rPr>
          <w:rFonts w:ascii="Times New Roman" w:hAnsi="Times New Roman" w:cs="Times New Roman"/>
          <w:noProof/>
          <w:sz w:val="24"/>
          <w:szCs w:val="24"/>
        </w:rPr>
        <w:t xml:space="preserve"> constituencies</w:t>
      </w:r>
      <w:r>
        <w:rPr>
          <w:rFonts w:ascii="Times New Roman" w:hAnsi="Times New Roman" w:cs="Times New Roman"/>
          <w:noProof/>
          <w:sz w:val="24"/>
          <w:szCs w:val="24"/>
        </w:rPr>
        <w:t>.</w:t>
      </w:r>
      <w:r w:rsidR="00492A3B">
        <w:rPr>
          <w:rFonts w:ascii="Times New Roman" w:hAnsi="Times New Roman" w:cs="Times New Roman"/>
          <w:noProof/>
          <w:sz w:val="24"/>
          <w:szCs w:val="24"/>
        </w:rPr>
        <w:t xml:space="preserve"> </w:t>
      </w:r>
      <w:r w:rsidR="0071437D">
        <w:rPr>
          <w:rFonts w:ascii="Times New Roman" w:hAnsi="Times New Roman" w:cs="Times New Roman"/>
          <w:noProof/>
          <w:sz w:val="24"/>
          <w:szCs w:val="24"/>
        </w:rPr>
        <w:t>Sometimes, part</w:t>
      </w:r>
      <w:r w:rsidR="00002AC5" w:rsidRPr="00002AC5">
        <w:rPr>
          <w:rFonts w:ascii="Times New Roman" w:hAnsi="Times New Roman" w:cs="Times New Roman"/>
          <w:noProof/>
          <w:sz w:val="24"/>
          <w:szCs w:val="24"/>
        </w:rPr>
        <w:t xml:space="preserve"> of that money</w:t>
      </w:r>
      <w:r w:rsidR="002A627C">
        <w:rPr>
          <w:rFonts w:ascii="Times New Roman" w:hAnsi="Times New Roman" w:cs="Times New Roman"/>
          <w:noProof/>
          <w:sz w:val="24"/>
          <w:szCs w:val="24"/>
        </w:rPr>
        <w:t xml:space="preserve"> even</w:t>
      </w:r>
      <w:r w:rsidR="00002AC5" w:rsidRPr="00002AC5">
        <w:rPr>
          <w:rFonts w:ascii="Times New Roman" w:hAnsi="Times New Roman" w:cs="Times New Roman"/>
          <w:noProof/>
          <w:sz w:val="24"/>
          <w:szCs w:val="24"/>
        </w:rPr>
        <w:t xml:space="preserve"> found its way back to the political parties via opaque and unregulated financing schemes.</w:t>
      </w:r>
    </w:p>
    <w:p w:rsidR="00CF5D03" w:rsidRDefault="0022216C" w:rsidP="0005413C">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Interestingly, all of this occured agains</w:t>
      </w:r>
      <w:r w:rsidR="005B573D">
        <w:rPr>
          <w:rFonts w:ascii="Times New Roman" w:hAnsi="Times New Roman" w:cs="Times New Roman"/>
          <w:noProof/>
          <w:sz w:val="24"/>
          <w:szCs w:val="24"/>
        </w:rPr>
        <w:t>t</w:t>
      </w:r>
      <w:r>
        <w:rPr>
          <w:rFonts w:ascii="Times New Roman" w:hAnsi="Times New Roman" w:cs="Times New Roman"/>
          <w:noProof/>
          <w:sz w:val="24"/>
          <w:szCs w:val="24"/>
        </w:rPr>
        <w:t xml:space="preserve"> the backdrop of EU</w:t>
      </w:r>
      <w:r w:rsidR="0071437D">
        <w:rPr>
          <w:rFonts w:ascii="Times New Roman" w:hAnsi="Times New Roman" w:cs="Times New Roman"/>
          <w:noProof/>
          <w:sz w:val="24"/>
          <w:szCs w:val="24"/>
        </w:rPr>
        <w:t xml:space="preserve"> accession</w:t>
      </w:r>
      <w:r>
        <w:rPr>
          <w:rFonts w:ascii="Times New Roman" w:hAnsi="Times New Roman" w:cs="Times New Roman"/>
          <w:noProof/>
          <w:sz w:val="24"/>
          <w:szCs w:val="24"/>
        </w:rPr>
        <w:t xml:space="preserve"> negotiations and since 2013</w:t>
      </w:r>
      <w:r w:rsidR="0071437D">
        <w:rPr>
          <w:rFonts w:ascii="Times New Roman" w:hAnsi="Times New Roman" w:cs="Times New Roman"/>
          <w:noProof/>
          <w:sz w:val="24"/>
          <w:szCs w:val="24"/>
        </w:rPr>
        <w:t>,</w:t>
      </w:r>
      <w:r>
        <w:rPr>
          <w:rFonts w:ascii="Times New Roman" w:hAnsi="Times New Roman" w:cs="Times New Roman"/>
          <w:noProof/>
          <w:sz w:val="24"/>
          <w:szCs w:val="24"/>
        </w:rPr>
        <w:t xml:space="preserve"> full EU membership.</w:t>
      </w:r>
      <w:r w:rsidR="00A0055D">
        <w:rPr>
          <w:rFonts w:ascii="Times New Roman" w:hAnsi="Times New Roman" w:cs="Times New Roman"/>
          <w:noProof/>
          <w:sz w:val="24"/>
          <w:szCs w:val="24"/>
        </w:rPr>
        <w:t xml:space="preserve"> </w:t>
      </w:r>
      <w:r w:rsidR="007F5DF4">
        <w:rPr>
          <w:rFonts w:ascii="Times New Roman" w:hAnsi="Times New Roman" w:cs="Times New Roman"/>
          <w:noProof/>
          <w:sz w:val="24"/>
          <w:szCs w:val="24"/>
        </w:rPr>
        <w:t xml:space="preserve">This kind of political equilibrium </w:t>
      </w:r>
      <w:r w:rsidR="00002AC5">
        <w:rPr>
          <w:rFonts w:ascii="Times New Roman" w:hAnsi="Times New Roman" w:cs="Times New Roman"/>
          <w:noProof/>
          <w:sz w:val="24"/>
          <w:szCs w:val="24"/>
        </w:rPr>
        <w:t>has been</w:t>
      </w:r>
      <w:r w:rsidR="007F5DF4">
        <w:rPr>
          <w:rFonts w:ascii="Times New Roman" w:hAnsi="Times New Roman" w:cs="Times New Roman"/>
          <w:noProof/>
          <w:sz w:val="24"/>
          <w:szCs w:val="24"/>
        </w:rPr>
        <w:t xml:space="preserve"> problematic in t</w:t>
      </w:r>
      <w:r w:rsidR="00CA0FC9">
        <w:rPr>
          <w:rFonts w:ascii="Times New Roman" w:hAnsi="Times New Roman" w:cs="Times New Roman"/>
          <w:noProof/>
          <w:sz w:val="24"/>
          <w:szCs w:val="24"/>
        </w:rPr>
        <w:t>hree</w:t>
      </w:r>
      <w:r w:rsidR="007F5DF4">
        <w:rPr>
          <w:rFonts w:ascii="Times New Roman" w:hAnsi="Times New Roman" w:cs="Times New Roman"/>
          <w:noProof/>
          <w:sz w:val="24"/>
          <w:szCs w:val="24"/>
        </w:rPr>
        <w:t xml:space="preserve"> important aspects. First, political parties </w:t>
      </w:r>
      <w:r w:rsidR="00002AC5">
        <w:rPr>
          <w:rFonts w:ascii="Times New Roman" w:hAnsi="Times New Roman" w:cs="Times New Roman"/>
          <w:noProof/>
          <w:sz w:val="24"/>
          <w:szCs w:val="24"/>
        </w:rPr>
        <w:t>have largely lost</w:t>
      </w:r>
      <w:r w:rsidR="007F5DF4">
        <w:rPr>
          <w:rFonts w:ascii="Times New Roman" w:hAnsi="Times New Roman" w:cs="Times New Roman"/>
          <w:noProof/>
          <w:sz w:val="24"/>
          <w:szCs w:val="24"/>
        </w:rPr>
        <w:t xml:space="preserve"> their role of articulating public interest, creating sound economic policies and creating a class of competent managers, while their prime focus </w:t>
      </w:r>
      <w:r w:rsidR="00002AC5">
        <w:rPr>
          <w:rFonts w:ascii="Times New Roman" w:hAnsi="Times New Roman" w:cs="Times New Roman"/>
          <w:noProof/>
          <w:sz w:val="24"/>
          <w:szCs w:val="24"/>
        </w:rPr>
        <w:t>has become</w:t>
      </w:r>
      <w:r w:rsidR="007F5DF4">
        <w:rPr>
          <w:rFonts w:ascii="Times New Roman" w:hAnsi="Times New Roman" w:cs="Times New Roman"/>
          <w:noProof/>
          <w:sz w:val="24"/>
          <w:szCs w:val="24"/>
        </w:rPr>
        <w:t xml:space="preserve"> claiming and distributing economic spoils. Second, managerial selection according to the criteria of political loyalty as compared to the criteria of business acumen </w:t>
      </w:r>
      <w:r w:rsidR="00002AC5">
        <w:rPr>
          <w:rFonts w:ascii="Times New Roman" w:hAnsi="Times New Roman" w:cs="Times New Roman"/>
          <w:noProof/>
          <w:sz w:val="24"/>
          <w:szCs w:val="24"/>
        </w:rPr>
        <w:t>has diverted</w:t>
      </w:r>
      <w:r w:rsidR="0071437D">
        <w:rPr>
          <w:rFonts w:ascii="Times New Roman" w:hAnsi="Times New Roman" w:cs="Times New Roman"/>
          <w:noProof/>
          <w:sz w:val="24"/>
          <w:szCs w:val="24"/>
        </w:rPr>
        <w:t xml:space="preserve"> the bulk of</w:t>
      </w:r>
      <w:r w:rsidR="007F5DF4">
        <w:rPr>
          <w:rFonts w:ascii="Times New Roman" w:hAnsi="Times New Roman" w:cs="Times New Roman"/>
          <w:noProof/>
          <w:sz w:val="24"/>
          <w:szCs w:val="24"/>
        </w:rPr>
        <w:t xml:space="preserve"> talented personnel and managers to private sector, leading to further rounds of deterioration in SOEs economic performance.</w:t>
      </w:r>
      <w:r w:rsidR="0005413C">
        <w:rPr>
          <w:rFonts w:ascii="Times New Roman" w:hAnsi="Times New Roman" w:cs="Times New Roman"/>
          <w:noProof/>
          <w:sz w:val="24"/>
          <w:szCs w:val="24"/>
        </w:rPr>
        <w:t xml:space="preserve"> Third, large swaths of population</w:t>
      </w:r>
      <w:r w:rsidR="00CA0FC9">
        <w:rPr>
          <w:rFonts w:ascii="Times New Roman" w:hAnsi="Times New Roman" w:cs="Times New Roman"/>
          <w:noProof/>
          <w:sz w:val="24"/>
          <w:szCs w:val="24"/>
        </w:rPr>
        <w:t xml:space="preserve"> </w:t>
      </w:r>
      <w:r w:rsidR="00002AC5">
        <w:rPr>
          <w:rFonts w:ascii="Times New Roman" w:hAnsi="Times New Roman" w:cs="Times New Roman"/>
          <w:noProof/>
          <w:sz w:val="24"/>
          <w:szCs w:val="24"/>
        </w:rPr>
        <w:t>have started</w:t>
      </w:r>
      <w:r w:rsidR="0005413C">
        <w:rPr>
          <w:rFonts w:ascii="Times New Roman" w:hAnsi="Times New Roman" w:cs="Times New Roman"/>
          <w:noProof/>
          <w:sz w:val="24"/>
          <w:szCs w:val="24"/>
        </w:rPr>
        <w:t xml:space="preserve"> to prefer SOE employment over other sources of employment </w:t>
      </w:r>
      <w:r w:rsidR="00CA0FC9">
        <w:rPr>
          <w:rFonts w:ascii="Times New Roman" w:hAnsi="Times New Roman" w:cs="Times New Roman"/>
          <w:noProof/>
          <w:sz w:val="24"/>
          <w:szCs w:val="24"/>
        </w:rPr>
        <w:t>and this</w:t>
      </w:r>
      <w:r w:rsidR="00002AC5">
        <w:rPr>
          <w:rFonts w:ascii="Times New Roman" w:hAnsi="Times New Roman" w:cs="Times New Roman"/>
          <w:noProof/>
          <w:sz w:val="24"/>
          <w:szCs w:val="24"/>
        </w:rPr>
        <w:t xml:space="preserve"> has</w:t>
      </w:r>
      <w:r w:rsidR="00CA0FC9">
        <w:rPr>
          <w:rFonts w:ascii="Times New Roman" w:hAnsi="Times New Roman" w:cs="Times New Roman"/>
          <w:noProof/>
          <w:sz w:val="24"/>
          <w:szCs w:val="24"/>
        </w:rPr>
        <w:t xml:space="preserve"> </w:t>
      </w:r>
      <w:r w:rsidR="00492A3B">
        <w:rPr>
          <w:rFonts w:ascii="Times New Roman" w:hAnsi="Times New Roman" w:cs="Times New Roman"/>
          <w:noProof/>
          <w:sz w:val="24"/>
          <w:szCs w:val="24"/>
        </w:rPr>
        <w:t>seriously raise</w:t>
      </w:r>
      <w:r w:rsidR="00002AC5">
        <w:rPr>
          <w:rFonts w:ascii="Times New Roman" w:hAnsi="Times New Roman" w:cs="Times New Roman"/>
          <w:noProof/>
          <w:sz w:val="24"/>
          <w:szCs w:val="24"/>
        </w:rPr>
        <w:t>d</w:t>
      </w:r>
      <w:r w:rsidR="00492A3B">
        <w:rPr>
          <w:rFonts w:ascii="Times New Roman" w:hAnsi="Times New Roman" w:cs="Times New Roman"/>
          <w:noProof/>
          <w:sz w:val="24"/>
          <w:szCs w:val="24"/>
        </w:rPr>
        <w:t xml:space="preserve"> hurdles to</w:t>
      </w:r>
      <w:r w:rsidR="00987E34">
        <w:rPr>
          <w:rFonts w:ascii="Times New Roman" w:hAnsi="Times New Roman" w:cs="Times New Roman"/>
          <w:noProof/>
          <w:sz w:val="24"/>
          <w:szCs w:val="24"/>
        </w:rPr>
        <w:t xml:space="preserve"> any</w:t>
      </w:r>
      <w:r w:rsidR="00492A3B">
        <w:rPr>
          <w:rFonts w:ascii="Times New Roman" w:hAnsi="Times New Roman" w:cs="Times New Roman"/>
          <w:noProof/>
          <w:sz w:val="24"/>
          <w:szCs w:val="24"/>
        </w:rPr>
        <w:t xml:space="preserve"> future reform efforts. In a </w:t>
      </w:r>
      <w:r w:rsidR="00002AC5">
        <w:rPr>
          <w:rFonts w:ascii="Times New Roman" w:hAnsi="Times New Roman" w:cs="Times New Roman"/>
          <w:noProof/>
          <w:sz w:val="24"/>
          <w:szCs w:val="24"/>
        </w:rPr>
        <w:t>nutshell</w:t>
      </w:r>
      <w:r w:rsidR="00492A3B">
        <w:rPr>
          <w:rFonts w:ascii="Times New Roman" w:hAnsi="Times New Roman" w:cs="Times New Roman"/>
          <w:noProof/>
          <w:sz w:val="24"/>
          <w:szCs w:val="24"/>
        </w:rPr>
        <w:t>, large sector of state-owned enterprise</w:t>
      </w:r>
      <w:r w:rsidR="00E85C05">
        <w:rPr>
          <w:rFonts w:ascii="Times New Roman" w:hAnsi="Times New Roman" w:cs="Times New Roman"/>
          <w:noProof/>
          <w:sz w:val="24"/>
          <w:szCs w:val="24"/>
        </w:rPr>
        <w:t>s</w:t>
      </w:r>
      <w:r w:rsidR="00492A3B">
        <w:rPr>
          <w:rFonts w:ascii="Times New Roman" w:hAnsi="Times New Roman" w:cs="Times New Roman"/>
          <w:noProof/>
          <w:sz w:val="24"/>
          <w:szCs w:val="24"/>
        </w:rPr>
        <w:t xml:space="preserve"> should be viewed as a specific</w:t>
      </w:r>
      <w:r w:rsidR="00002AC5">
        <w:rPr>
          <w:rFonts w:ascii="Times New Roman" w:hAnsi="Times New Roman" w:cs="Times New Roman"/>
          <w:noProof/>
          <w:sz w:val="24"/>
          <w:szCs w:val="24"/>
        </w:rPr>
        <w:t>, albeit negative,</w:t>
      </w:r>
      <w:r w:rsidR="00492A3B">
        <w:rPr>
          <w:rFonts w:ascii="Times New Roman" w:hAnsi="Times New Roman" w:cs="Times New Roman"/>
          <w:noProof/>
          <w:sz w:val="24"/>
          <w:szCs w:val="24"/>
        </w:rPr>
        <w:t xml:space="preserve"> democratic equilibrium</w:t>
      </w:r>
      <w:r w:rsidR="00002AC5">
        <w:rPr>
          <w:rFonts w:ascii="Times New Roman" w:hAnsi="Times New Roman" w:cs="Times New Roman"/>
          <w:noProof/>
          <w:sz w:val="24"/>
          <w:szCs w:val="24"/>
        </w:rPr>
        <w:t>.</w:t>
      </w:r>
    </w:p>
    <w:p w:rsidR="008E05C6" w:rsidRPr="008E05C6" w:rsidRDefault="008E05C6" w:rsidP="00F46252">
      <w:pPr>
        <w:jc w:val="both"/>
        <w:rPr>
          <w:rFonts w:ascii="Times New Roman" w:hAnsi="Times New Roman" w:cs="Times New Roman"/>
          <w:b/>
          <w:bCs/>
          <w:noProof/>
          <w:sz w:val="24"/>
          <w:szCs w:val="24"/>
        </w:rPr>
      </w:pPr>
    </w:p>
    <w:p w:rsidR="008E05C6" w:rsidRDefault="008E05C6" w:rsidP="00F46252">
      <w:pPr>
        <w:jc w:val="both"/>
        <w:rPr>
          <w:rFonts w:ascii="Times New Roman" w:hAnsi="Times New Roman" w:cs="Times New Roman"/>
          <w:b/>
          <w:bCs/>
          <w:noProof/>
          <w:sz w:val="24"/>
          <w:szCs w:val="24"/>
        </w:rPr>
      </w:pPr>
      <w:r w:rsidRPr="008E05C6">
        <w:rPr>
          <w:rFonts w:ascii="Times New Roman" w:hAnsi="Times New Roman" w:cs="Times New Roman"/>
          <w:b/>
          <w:bCs/>
          <w:noProof/>
          <w:sz w:val="24"/>
          <w:szCs w:val="24"/>
        </w:rPr>
        <w:t>State-owned Enterprises in Croatia: A Useful Policy-Lever for Growth Promotion or</w:t>
      </w:r>
      <w:r>
        <w:rPr>
          <w:rFonts w:ascii="Times New Roman" w:hAnsi="Times New Roman" w:cs="Times New Roman"/>
          <w:b/>
          <w:bCs/>
          <w:noProof/>
          <w:sz w:val="24"/>
          <w:szCs w:val="24"/>
        </w:rPr>
        <w:t xml:space="preserve"> An </w:t>
      </w:r>
      <w:r w:rsidR="00E10E72">
        <w:rPr>
          <w:rFonts w:ascii="Times New Roman" w:hAnsi="Times New Roman" w:cs="Times New Roman"/>
          <w:b/>
          <w:bCs/>
          <w:noProof/>
          <w:sz w:val="24"/>
          <w:szCs w:val="24"/>
        </w:rPr>
        <w:t xml:space="preserve">Almost </w:t>
      </w:r>
      <w:r>
        <w:rPr>
          <w:rFonts w:ascii="Times New Roman" w:hAnsi="Times New Roman" w:cs="Times New Roman"/>
          <w:b/>
          <w:bCs/>
          <w:noProof/>
          <w:sz w:val="24"/>
          <w:szCs w:val="24"/>
        </w:rPr>
        <w:t>Endless Source of</w:t>
      </w:r>
      <w:r w:rsidRPr="008E05C6">
        <w:rPr>
          <w:rFonts w:ascii="Times New Roman" w:hAnsi="Times New Roman" w:cs="Times New Roman"/>
          <w:b/>
          <w:bCs/>
          <w:noProof/>
          <w:sz w:val="24"/>
          <w:szCs w:val="24"/>
        </w:rPr>
        <w:t xml:space="preserve"> </w:t>
      </w:r>
      <w:r>
        <w:rPr>
          <w:rFonts w:ascii="Times New Roman" w:hAnsi="Times New Roman" w:cs="Times New Roman"/>
          <w:b/>
          <w:bCs/>
          <w:noProof/>
          <w:sz w:val="24"/>
          <w:szCs w:val="24"/>
        </w:rPr>
        <w:t>Cronyism and Inefficiency</w:t>
      </w:r>
      <w:r w:rsidRPr="008E05C6">
        <w:rPr>
          <w:rFonts w:ascii="Times New Roman" w:hAnsi="Times New Roman" w:cs="Times New Roman"/>
          <w:b/>
          <w:bCs/>
          <w:noProof/>
          <w:sz w:val="24"/>
          <w:szCs w:val="24"/>
        </w:rPr>
        <w:t>?</w:t>
      </w:r>
    </w:p>
    <w:p w:rsidR="008E05C6" w:rsidRDefault="008E05C6" w:rsidP="00F46252">
      <w:pPr>
        <w:jc w:val="both"/>
        <w:rPr>
          <w:rFonts w:ascii="Times New Roman" w:hAnsi="Times New Roman" w:cs="Times New Roman"/>
          <w:noProof/>
          <w:sz w:val="24"/>
          <w:szCs w:val="24"/>
        </w:rPr>
      </w:pPr>
    </w:p>
    <w:p w:rsidR="00002264" w:rsidRDefault="00006B3F" w:rsidP="00F46252">
      <w:pPr>
        <w:jc w:val="both"/>
        <w:rPr>
          <w:rFonts w:ascii="Times New Roman" w:hAnsi="Times New Roman" w:cs="Times New Roman"/>
          <w:noProof/>
          <w:sz w:val="24"/>
          <w:szCs w:val="24"/>
        </w:rPr>
      </w:pPr>
      <w:r>
        <w:rPr>
          <w:rFonts w:ascii="Times New Roman" w:hAnsi="Times New Roman" w:cs="Times New Roman"/>
          <w:noProof/>
          <w:sz w:val="24"/>
          <w:szCs w:val="24"/>
        </w:rPr>
        <w:t>There are at least five important arguments which validate the view that Croatian SOEs performance constitutes a major drag on country's growth prospects</w:t>
      </w:r>
      <w:r w:rsidR="00B1088D">
        <w:rPr>
          <w:rFonts w:ascii="Times New Roman" w:hAnsi="Times New Roman" w:cs="Times New Roman"/>
          <w:noProof/>
          <w:sz w:val="24"/>
          <w:szCs w:val="24"/>
        </w:rPr>
        <w:t xml:space="preserve"> (Šonje and Kotarski, 2020)</w:t>
      </w:r>
      <w:r>
        <w:rPr>
          <w:rFonts w:ascii="Times New Roman" w:hAnsi="Times New Roman" w:cs="Times New Roman"/>
          <w:noProof/>
          <w:sz w:val="24"/>
          <w:szCs w:val="24"/>
        </w:rPr>
        <w:t xml:space="preserve">. First, the portfolio of SOEs is extremely fragmented and those enterprises can be found across various sectors, regardless of the economic rationale behind </w:t>
      </w:r>
      <w:r w:rsidR="00270A4D">
        <w:rPr>
          <w:rFonts w:ascii="Times New Roman" w:hAnsi="Times New Roman" w:cs="Times New Roman"/>
          <w:noProof/>
          <w:sz w:val="24"/>
          <w:szCs w:val="24"/>
        </w:rPr>
        <w:t>it</w:t>
      </w:r>
      <w:r>
        <w:rPr>
          <w:rFonts w:ascii="Times New Roman" w:hAnsi="Times New Roman" w:cs="Times New Roman"/>
          <w:noProof/>
          <w:sz w:val="24"/>
          <w:szCs w:val="24"/>
        </w:rPr>
        <w:t xml:space="preserve">. That means that SOEs are equally present in sectors where natural monopolies normally arise, as well as in sectors where </w:t>
      </w:r>
      <w:r w:rsidR="00270A4D">
        <w:rPr>
          <w:rFonts w:ascii="Times New Roman" w:hAnsi="Times New Roman" w:cs="Times New Roman"/>
          <w:noProof/>
          <w:sz w:val="24"/>
          <w:szCs w:val="24"/>
        </w:rPr>
        <w:t>this is</w:t>
      </w:r>
      <w:r w:rsidR="00E10E72">
        <w:rPr>
          <w:rFonts w:ascii="Times New Roman" w:hAnsi="Times New Roman" w:cs="Times New Roman"/>
          <w:noProof/>
          <w:sz w:val="24"/>
          <w:szCs w:val="24"/>
        </w:rPr>
        <w:t xml:space="preserve"> definitely</w:t>
      </w:r>
      <w:r w:rsidR="00270A4D">
        <w:rPr>
          <w:rFonts w:ascii="Times New Roman" w:hAnsi="Times New Roman" w:cs="Times New Roman"/>
          <w:noProof/>
          <w:sz w:val="24"/>
          <w:szCs w:val="24"/>
        </w:rPr>
        <w:t xml:space="preserve"> not the case (retail, hotels, construction). This state of affairs reflects both the legacy of privatization </w:t>
      </w:r>
      <w:r w:rsidR="00B1088D">
        <w:rPr>
          <w:rFonts w:ascii="Times New Roman" w:hAnsi="Times New Roman" w:cs="Times New Roman"/>
          <w:noProof/>
          <w:sz w:val="24"/>
          <w:szCs w:val="24"/>
        </w:rPr>
        <w:t>'</w:t>
      </w:r>
      <w:r w:rsidR="00270A4D">
        <w:rPr>
          <w:rFonts w:ascii="Times New Roman" w:hAnsi="Times New Roman" w:cs="Times New Roman"/>
          <w:noProof/>
          <w:sz w:val="24"/>
          <w:szCs w:val="24"/>
        </w:rPr>
        <w:t>Croatian-style</w:t>
      </w:r>
      <w:r w:rsidR="00B1088D">
        <w:rPr>
          <w:rFonts w:ascii="Times New Roman" w:hAnsi="Times New Roman" w:cs="Times New Roman"/>
          <w:noProof/>
          <w:sz w:val="24"/>
          <w:szCs w:val="24"/>
        </w:rPr>
        <w:t>'</w:t>
      </w:r>
      <w:r w:rsidR="00270A4D">
        <w:rPr>
          <w:rFonts w:ascii="Times New Roman" w:hAnsi="Times New Roman" w:cs="Times New Roman"/>
          <w:noProof/>
          <w:sz w:val="24"/>
          <w:szCs w:val="24"/>
        </w:rPr>
        <w:t>, as well as the lack of coherent governance</w:t>
      </w:r>
      <w:r w:rsidR="00B1088D">
        <w:rPr>
          <w:rFonts w:ascii="Times New Roman" w:hAnsi="Times New Roman" w:cs="Times New Roman"/>
          <w:noProof/>
          <w:sz w:val="24"/>
          <w:szCs w:val="24"/>
        </w:rPr>
        <w:t xml:space="preserve"> strategy</w:t>
      </w:r>
      <w:r w:rsidR="00270A4D">
        <w:rPr>
          <w:rFonts w:ascii="Times New Roman" w:hAnsi="Times New Roman" w:cs="Times New Roman"/>
          <w:noProof/>
          <w:sz w:val="24"/>
          <w:szCs w:val="24"/>
        </w:rPr>
        <w:t xml:space="preserve"> that lists a set of justfiable criteria </w:t>
      </w:r>
      <w:r w:rsidR="00B1088D">
        <w:rPr>
          <w:rFonts w:ascii="Times New Roman" w:hAnsi="Times New Roman" w:cs="Times New Roman"/>
          <w:noProof/>
          <w:sz w:val="24"/>
          <w:szCs w:val="24"/>
        </w:rPr>
        <w:t>for when and why</w:t>
      </w:r>
      <w:r w:rsidR="00270A4D">
        <w:rPr>
          <w:rFonts w:ascii="Times New Roman" w:hAnsi="Times New Roman" w:cs="Times New Roman"/>
          <w:noProof/>
          <w:sz w:val="24"/>
          <w:szCs w:val="24"/>
        </w:rPr>
        <w:t xml:space="preserve"> state-ownership represents a necessary instrument of public policy</w:t>
      </w:r>
      <w:r w:rsidR="00002264">
        <w:rPr>
          <w:rFonts w:ascii="Times New Roman" w:hAnsi="Times New Roman" w:cs="Times New Roman"/>
          <w:noProof/>
          <w:sz w:val="24"/>
          <w:szCs w:val="24"/>
        </w:rPr>
        <w:t xml:space="preserve">. </w:t>
      </w:r>
    </w:p>
    <w:p w:rsidR="002B38FF" w:rsidRDefault="005713BD" w:rsidP="00F46252">
      <w:pPr>
        <w:jc w:val="both"/>
        <w:rPr>
          <w:rFonts w:ascii="Times New Roman" w:hAnsi="Times New Roman" w:cs="Times New Roman"/>
          <w:noProof/>
          <w:sz w:val="24"/>
          <w:szCs w:val="24"/>
        </w:rPr>
      </w:pPr>
      <w:r>
        <w:rPr>
          <w:rFonts w:ascii="Times New Roman" w:hAnsi="Times New Roman" w:cs="Times New Roman"/>
          <w:noProof/>
          <w:sz w:val="24"/>
          <w:szCs w:val="24"/>
        </w:rPr>
        <w:t>Second, over the last decade the</w:t>
      </w:r>
      <w:r w:rsidR="00B1088D">
        <w:rPr>
          <w:rFonts w:ascii="Times New Roman" w:hAnsi="Times New Roman" w:cs="Times New Roman"/>
          <w:noProof/>
          <w:sz w:val="24"/>
          <w:szCs w:val="24"/>
        </w:rPr>
        <w:t xml:space="preserve"> total</w:t>
      </w:r>
      <w:r>
        <w:rPr>
          <w:rFonts w:ascii="Times New Roman" w:hAnsi="Times New Roman" w:cs="Times New Roman"/>
          <w:noProof/>
          <w:sz w:val="24"/>
          <w:szCs w:val="24"/>
        </w:rPr>
        <w:t xml:space="preserve"> number of SOEs </w:t>
      </w:r>
      <w:r w:rsidR="00161338">
        <w:rPr>
          <w:rFonts w:ascii="Times New Roman" w:hAnsi="Times New Roman" w:cs="Times New Roman"/>
          <w:noProof/>
          <w:sz w:val="24"/>
          <w:szCs w:val="24"/>
        </w:rPr>
        <w:t>has been</w:t>
      </w:r>
      <w:r>
        <w:rPr>
          <w:rFonts w:ascii="Times New Roman" w:hAnsi="Times New Roman" w:cs="Times New Roman"/>
          <w:noProof/>
          <w:sz w:val="24"/>
          <w:szCs w:val="24"/>
        </w:rPr>
        <w:t xml:space="preserve"> </w:t>
      </w:r>
      <w:r w:rsidR="00002264">
        <w:rPr>
          <w:rFonts w:ascii="Times New Roman" w:hAnsi="Times New Roman" w:cs="Times New Roman"/>
          <w:noProof/>
          <w:sz w:val="24"/>
          <w:szCs w:val="24"/>
        </w:rPr>
        <w:t>on the rise</w:t>
      </w:r>
      <w:r>
        <w:rPr>
          <w:rFonts w:ascii="Times New Roman" w:hAnsi="Times New Roman" w:cs="Times New Roman"/>
          <w:noProof/>
          <w:sz w:val="24"/>
          <w:szCs w:val="24"/>
        </w:rPr>
        <w:t>.</w:t>
      </w:r>
      <w:r w:rsidR="00002264">
        <w:rPr>
          <w:rFonts w:ascii="Times New Roman" w:hAnsi="Times New Roman" w:cs="Times New Roman"/>
          <w:noProof/>
          <w:sz w:val="24"/>
          <w:szCs w:val="24"/>
        </w:rPr>
        <w:t xml:space="preserve"> </w:t>
      </w:r>
      <w:r w:rsidR="00161338">
        <w:rPr>
          <w:rFonts w:ascii="Times New Roman" w:hAnsi="Times New Roman" w:cs="Times New Roman"/>
          <w:noProof/>
          <w:sz w:val="24"/>
          <w:szCs w:val="24"/>
        </w:rPr>
        <w:t xml:space="preserve">The multitude of SOEs </w:t>
      </w:r>
      <w:r w:rsidR="00B1088D">
        <w:rPr>
          <w:rFonts w:ascii="Times New Roman" w:hAnsi="Times New Roman" w:cs="Times New Roman"/>
          <w:noProof/>
          <w:sz w:val="24"/>
          <w:szCs w:val="24"/>
        </w:rPr>
        <w:t>has complicated</w:t>
      </w:r>
      <w:r w:rsidR="00002264">
        <w:rPr>
          <w:rFonts w:ascii="Times New Roman" w:hAnsi="Times New Roman" w:cs="Times New Roman"/>
          <w:noProof/>
          <w:sz w:val="24"/>
          <w:szCs w:val="24"/>
        </w:rPr>
        <w:t xml:space="preserve"> a well-known</w:t>
      </w:r>
      <w:r w:rsidR="00161338">
        <w:rPr>
          <w:rFonts w:ascii="Times New Roman" w:hAnsi="Times New Roman" w:cs="Times New Roman"/>
          <w:noProof/>
          <w:sz w:val="24"/>
          <w:szCs w:val="24"/>
        </w:rPr>
        <w:t xml:space="preserve"> principal-agent problem</w:t>
      </w:r>
      <w:r w:rsidR="00002264">
        <w:rPr>
          <w:rFonts w:ascii="Times New Roman" w:hAnsi="Times New Roman" w:cs="Times New Roman"/>
          <w:noProof/>
          <w:sz w:val="24"/>
          <w:szCs w:val="24"/>
        </w:rPr>
        <w:t xml:space="preserve"> o</w:t>
      </w:r>
      <w:r w:rsidR="00B1088D">
        <w:rPr>
          <w:rFonts w:ascii="Times New Roman" w:hAnsi="Times New Roman" w:cs="Times New Roman"/>
          <w:noProof/>
          <w:sz w:val="24"/>
          <w:szCs w:val="24"/>
        </w:rPr>
        <w:t>f</w:t>
      </w:r>
      <w:r w:rsidR="00002264">
        <w:rPr>
          <w:rFonts w:ascii="Times New Roman" w:hAnsi="Times New Roman" w:cs="Times New Roman"/>
          <w:noProof/>
          <w:sz w:val="24"/>
          <w:szCs w:val="24"/>
        </w:rPr>
        <w:t xml:space="preserve"> how to ensure democratic oversight on behalf </w:t>
      </w:r>
      <w:r w:rsidR="00161338">
        <w:rPr>
          <w:rFonts w:ascii="Times New Roman" w:hAnsi="Times New Roman" w:cs="Times New Roman"/>
          <w:noProof/>
          <w:sz w:val="24"/>
          <w:szCs w:val="24"/>
        </w:rPr>
        <w:t>tax payers and citizens vs. political elite and state-appointed directors. In th</w:t>
      </w:r>
      <w:r w:rsidR="002B38FF">
        <w:rPr>
          <w:rFonts w:ascii="Times New Roman" w:hAnsi="Times New Roman" w:cs="Times New Roman"/>
          <w:noProof/>
          <w:sz w:val="24"/>
          <w:szCs w:val="24"/>
        </w:rPr>
        <w:t>e current</w:t>
      </w:r>
      <w:r w:rsidR="00161338">
        <w:rPr>
          <w:rFonts w:ascii="Times New Roman" w:hAnsi="Times New Roman" w:cs="Times New Roman"/>
          <w:noProof/>
          <w:sz w:val="24"/>
          <w:szCs w:val="24"/>
        </w:rPr>
        <w:t xml:space="preserve"> equilibrium the</w:t>
      </w:r>
      <w:r w:rsidR="002B38FF">
        <w:rPr>
          <w:rFonts w:ascii="Times New Roman" w:hAnsi="Times New Roman" w:cs="Times New Roman"/>
          <w:noProof/>
          <w:sz w:val="24"/>
          <w:szCs w:val="24"/>
        </w:rPr>
        <w:t xml:space="preserve"> interests of</w:t>
      </w:r>
      <w:r w:rsidR="00161338">
        <w:rPr>
          <w:rFonts w:ascii="Times New Roman" w:hAnsi="Times New Roman" w:cs="Times New Roman"/>
          <w:noProof/>
          <w:sz w:val="24"/>
          <w:szCs w:val="24"/>
        </w:rPr>
        <w:t xml:space="preserve"> true owners</w:t>
      </w:r>
      <w:r w:rsidR="002B38FF">
        <w:rPr>
          <w:rFonts w:ascii="Times New Roman" w:hAnsi="Times New Roman" w:cs="Times New Roman"/>
          <w:noProof/>
          <w:sz w:val="24"/>
          <w:szCs w:val="24"/>
        </w:rPr>
        <w:t xml:space="preserve"> of state assets</w:t>
      </w:r>
      <w:r w:rsidR="00161338">
        <w:rPr>
          <w:rFonts w:ascii="Times New Roman" w:hAnsi="Times New Roman" w:cs="Times New Roman"/>
          <w:noProof/>
          <w:sz w:val="24"/>
          <w:szCs w:val="24"/>
        </w:rPr>
        <w:t xml:space="preserve"> </w:t>
      </w:r>
      <w:r w:rsidR="002B38FF">
        <w:rPr>
          <w:rFonts w:ascii="Times New Roman" w:hAnsi="Times New Roman" w:cs="Times New Roman"/>
          <w:noProof/>
          <w:sz w:val="24"/>
          <w:szCs w:val="24"/>
        </w:rPr>
        <w:t>are impaired</w:t>
      </w:r>
      <w:r w:rsidR="00161338">
        <w:rPr>
          <w:rFonts w:ascii="Times New Roman" w:hAnsi="Times New Roman" w:cs="Times New Roman"/>
          <w:noProof/>
          <w:sz w:val="24"/>
          <w:szCs w:val="24"/>
        </w:rPr>
        <w:t xml:space="preserve"> due to missing or insufficient accountability and transparency. </w:t>
      </w:r>
      <w:r w:rsidR="004478D6">
        <w:rPr>
          <w:rFonts w:ascii="Times New Roman" w:hAnsi="Times New Roman" w:cs="Times New Roman"/>
          <w:noProof/>
          <w:sz w:val="24"/>
          <w:szCs w:val="24"/>
        </w:rPr>
        <w:t>As a consequence of this environment, corruption scandals and malinvestments ab</w:t>
      </w:r>
      <w:r w:rsidR="00B1088D">
        <w:rPr>
          <w:rFonts w:ascii="Times New Roman" w:hAnsi="Times New Roman" w:cs="Times New Roman"/>
          <w:noProof/>
          <w:sz w:val="24"/>
          <w:szCs w:val="24"/>
        </w:rPr>
        <w:t>ound</w:t>
      </w:r>
      <w:r w:rsidR="004478D6">
        <w:rPr>
          <w:rFonts w:ascii="Times New Roman" w:hAnsi="Times New Roman" w:cs="Times New Roman"/>
          <w:noProof/>
          <w:sz w:val="24"/>
          <w:szCs w:val="24"/>
        </w:rPr>
        <w:t xml:space="preserve">. </w:t>
      </w:r>
    </w:p>
    <w:p w:rsidR="000E1855" w:rsidRDefault="00161338" w:rsidP="00F46252">
      <w:pPr>
        <w:jc w:val="both"/>
        <w:rPr>
          <w:rFonts w:ascii="Times New Roman" w:hAnsi="Times New Roman" w:cs="Times New Roman"/>
          <w:noProof/>
          <w:sz w:val="24"/>
          <w:szCs w:val="24"/>
        </w:rPr>
      </w:pPr>
      <w:r>
        <w:rPr>
          <w:rFonts w:ascii="Times New Roman" w:hAnsi="Times New Roman" w:cs="Times New Roman"/>
          <w:noProof/>
          <w:sz w:val="24"/>
          <w:szCs w:val="24"/>
        </w:rPr>
        <w:t>Third,</w:t>
      </w:r>
      <w:r w:rsidR="00281E1B">
        <w:rPr>
          <w:rFonts w:ascii="Times New Roman" w:hAnsi="Times New Roman" w:cs="Times New Roman"/>
          <w:noProof/>
          <w:sz w:val="24"/>
          <w:szCs w:val="24"/>
        </w:rPr>
        <w:t xml:space="preserve"> </w:t>
      </w:r>
      <w:r w:rsidR="000E1855">
        <w:rPr>
          <w:rFonts w:ascii="Times New Roman" w:hAnsi="Times New Roman" w:cs="Times New Roman"/>
          <w:noProof/>
          <w:sz w:val="24"/>
          <w:szCs w:val="24"/>
        </w:rPr>
        <w:t xml:space="preserve">the </w:t>
      </w:r>
      <w:r w:rsidR="00281E1B">
        <w:rPr>
          <w:rFonts w:ascii="Times New Roman" w:hAnsi="Times New Roman" w:cs="Times New Roman"/>
          <w:noProof/>
          <w:sz w:val="24"/>
          <w:szCs w:val="24"/>
        </w:rPr>
        <w:t>production f</w:t>
      </w:r>
      <w:r w:rsidR="009133AC">
        <w:rPr>
          <w:rFonts w:ascii="Times New Roman" w:hAnsi="Times New Roman" w:cs="Times New Roman"/>
          <w:noProof/>
          <w:sz w:val="24"/>
          <w:szCs w:val="24"/>
        </w:rPr>
        <w:t>unction</w:t>
      </w:r>
      <w:r w:rsidR="00281E1B">
        <w:rPr>
          <w:rFonts w:ascii="Times New Roman" w:hAnsi="Times New Roman" w:cs="Times New Roman"/>
          <w:noProof/>
          <w:sz w:val="24"/>
          <w:szCs w:val="24"/>
        </w:rPr>
        <w:t xml:space="preserve"> analysis </w:t>
      </w:r>
      <w:r w:rsidR="000E1855">
        <w:rPr>
          <w:rFonts w:ascii="Times New Roman" w:hAnsi="Times New Roman" w:cs="Times New Roman"/>
          <w:noProof/>
          <w:sz w:val="24"/>
          <w:szCs w:val="24"/>
        </w:rPr>
        <w:t>spanning</w:t>
      </w:r>
      <w:r w:rsidR="009133AC">
        <w:rPr>
          <w:rFonts w:ascii="Times New Roman" w:hAnsi="Times New Roman" w:cs="Times New Roman"/>
          <w:noProof/>
          <w:sz w:val="24"/>
          <w:szCs w:val="24"/>
        </w:rPr>
        <w:t xml:space="preserve"> all kinds of</w:t>
      </w:r>
      <w:r w:rsidR="000E1855">
        <w:rPr>
          <w:rFonts w:ascii="Times New Roman" w:hAnsi="Times New Roman" w:cs="Times New Roman"/>
          <w:noProof/>
          <w:sz w:val="24"/>
          <w:szCs w:val="24"/>
        </w:rPr>
        <w:t xml:space="preserve"> Croatian</w:t>
      </w:r>
      <w:r w:rsidR="009133AC">
        <w:rPr>
          <w:rFonts w:ascii="Times New Roman" w:hAnsi="Times New Roman" w:cs="Times New Roman"/>
          <w:noProof/>
          <w:sz w:val="24"/>
          <w:szCs w:val="24"/>
        </w:rPr>
        <w:t xml:space="preserve"> enterprises showed that </w:t>
      </w:r>
      <w:r w:rsidR="00B1088D">
        <w:rPr>
          <w:rFonts w:ascii="Times New Roman" w:hAnsi="Times New Roman" w:cs="Times New Roman"/>
          <w:noProof/>
          <w:sz w:val="24"/>
          <w:szCs w:val="24"/>
        </w:rPr>
        <w:t xml:space="preserve">SOEs </w:t>
      </w:r>
      <w:r w:rsidR="009133AC">
        <w:rPr>
          <w:rFonts w:ascii="Times New Roman" w:hAnsi="Times New Roman" w:cs="Times New Roman"/>
          <w:noProof/>
          <w:sz w:val="24"/>
          <w:szCs w:val="24"/>
        </w:rPr>
        <w:t>total factor productivity (TFP) shrank</w:t>
      </w:r>
      <w:r w:rsidR="000E1855">
        <w:rPr>
          <w:rFonts w:ascii="Times New Roman" w:hAnsi="Times New Roman" w:cs="Times New Roman"/>
          <w:noProof/>
          <w:sz w:val="24"/>
          <w:szCs w:val="24"/>
        </w:rPr>
        <w:t xml:space="preserve"> by</w:t>
      </w:r>
      <w:r w:rsidR="009133AC">
        <w:rPr>
          <w:rFonts w:ascii="Times New Roman" w:hAnsi="Times New Roman" w:cs="Times New Roman"/>
          <w:noProof/>
          <w:sz w:val="24"/>
          <w:szCs w:val="24"/>
        </w:rPr>
        <w:t xml:space="preserve"> 40% in the period between 2006 and 2015. At the same time private sector TFP was reduced by 20% while the </w:t>
      </w:r>
      <w:r w:rsidR="000E1855">
        <w:rPr>
          <w:rFonts w:ascii="Times New Roman" w:hAnsi="Times New Roman" w:cs="Times New Roman"/>
          <w:noProof/>
          <w:sz w:val="24"/>
          <w:szCs w:val="24"/>
        </w:rPr>
        <w:t>total</w:t>
      </w:r>
      <w:r w:rsidR="009133AC">
        <w:rPr>
          <w:rFonts w:ascii="Times New Roman" w:hAnsi="Times New Roman" w:cs="Times New Roman"/>
          <w:noProof/>
          <w:sz w:val="24"/>
          <w:szCs w:val="24"/>
        </w:rPr>
        <w:t xml:space="preserve"> TFP was down by 15% (IMF</w:t>
      </w:r>
      <w:r w:rsidR="00B1088D">
        <w:rPr>
          <w:rFonts w:ascii="Times New Roman" w:hAnsi="Times New Roman" w:cs="Times New Roman"/>
          <w:noProof/>
          <w:sz w:val="24"/>
          <w:szCs w:val="24"/>
        </w:rPr>
        <w:t>,</w:t>
      </w:r>
      <w:r w:rsidR="009133AC">
        <w:rPr>
          <w:rFonts w:ascii="Times New Roman" w:hAnsi="Times New Roman" w:cs="Times New Roman"/>
          <w:noProof/>
          <w:sz w:val="24"/>
          <w:szCs w:val="24"/>
        </w:rPr>
        <w:t xml:space="preserve"> 2019).</w:t>
      </w:r>
      <w:r w:rsidR="009A199A">
        <w:rPr>
          <w:rFonts w:ascii="Times New Roman" w:hAnsi="Times New Roman" w:cs="Times New Roman"/>
          <w:noProof/>
          <w:sz w:val="24"/>
          <w:szCs w:val="24"/>
        </w:rPr>
        <w:t xml:space="preserve"> </w:t>
      </w:r>
    </w:p>
    <w:p w:rsidR="000E1855" w:rsidRDefault="009A199A" w:rsidP="00F46252">
      <w:pPr>
        <w:jc w:val="both"/>
        <w:rPr>
          <w:rFonts w:ascii="Times New Roman" w:hAnsi="Times New Roman" w:cs="Times New Roman"/>
          <w:noProof/>
          <w:sz w:val="24"/>
          <w:szCs w:val="24"/>
        </w:rPr>
      </w:pPr>
      <w:r>
        <w:rPr>
          <w:rFonts w:ascii="Times New Roman" w:hAnsi="Times New Roman" w:cs="Times New Roman"/>
          <w:noProof/>
          <w:sz w:val="24"/>
          <w:szCs w:val="24"/>
        </w:rPr>
        <w:t>Fourth, a recent report conducted by the EBRD show</w:t>
      </w:r>
      <w:r w:rsidR="00B1088D">
        <w:rPr>
          <w:rFonts w:ascii="Times New Roman" w:hAnsi="Times New Roman" w:cs="Times New Roman"/>
          <w:noProof/>
          <w:sz w:val="24"/>
          <w:szCs w:val="24"/>
        </w:rPr>
        <w:t>ed</w:t>
      </w:r>
      <w:r>
        <w:rPr>
          <w:rFonts w:ascii="Times New Roman" w:hAnsi="Times New Roman" w:cs="Times New Roman"/>
          <w:noProof/>
          <w:sz w:val="24"/>
          <w:szCs w:val="24"/>
        </w:rPr>
        <w:t xml:space="preserve"> that according to the RoA (return on assets) metric Croatian SOEs record a subpar performance in comparison to</w:t>
      </w:r>
      <w:r w:rsidR="003C5DAF">
        <w:rPr>
          <w:rFonts w:ascii="Times New Roman" w:hAnsi="Times New Roman" w:cs="Times New Roman"/>
          <w:noProof/>
          <w:sz w:val="24"/>
          <w:szCs w:val="24"/>
        </w:rPr>
        <w:t xml:space="preserve"> SOEs in</w:t>
      </w:r>
      <w:r>
        <w:rPr>
          <w:rFonts w:ascii="Times New Roman" w:hAnsi="Times New Roman" w:cs="Times New Roman"/>
          <w:noProof/>
          <w:sz w:val="24"/>
          <w:szCs w:val="24"/>
        </w:rPr>
        <w:t xml:space="preserve"> the Visegrad and Baltic group of countries (0.7% vs. 2.8%). At the same time, </w:t>
      </w:r>
      <w:r w:rsidR="00B1088D" w:rsidRPr="00B1088D">
        <w:rPr>
          <w:rFonts w:ascii="Times New Roman" w:hAnsi="Times New Roman" w:cs="Times New Roman"/>
          <w:noProof/>
          <w:sz w:val="24"/>
          <w:szCs w:val="24"/>
        </w:rPr>
        <w:t xml:space="preserve">in the period between 2006 and 2016 </w:t>
      </w:r>
      <w:r w:rsidR="003C5DAF">
        <w:rPr>
          <w:rFonts w:ascii="Times New Roman" w:hAnsi="Times New Roman" w:cs="Times New Roman"/>
          <w:noProof/>
          <w:sz w:val="24"/>
          <w:szCs w:val="24"/>
        </w:rPr>
        <w:t xml:space="preserve">average </w:t>
      </w:r>
      <w:r>
        <w:rPr>
          <w:rFonts w:ascii="Times New Roman" w:hAnsi="Times New Roman" w:cs="Times New Roman"/>
          <w:noProof/>
          <w:sz w:val="24"/>
          <w:szCs w:val="24"/>
        </w:rPr>
        <w:t>subsidies paid</w:t>
      </w:r>
      <w:r w:rsidR="003C5DAF">
        <w:rPr>
          <w:rFonts w:ascii="Times New Roman" w:hAnsi="Times New Roman" w:cs="Times New Roman"/>
          <w:noProof/>
          <w:sz w:val="24"/>
          <w:szCs w:val="24"/>
        </w:rPr>
        <w:t xml:space="preserve"> out to Croatian SOEs</w:t>
      </w:r>
      <w:r>
        <w:rPr>
          <w:rFonts w:ascii="Times New Roman" w:hAnsi="Times New Roman" w:cs="Times New Roman"/>
          <w:noProof/>
          <w:sz w:val="24"/>
          <w:szCs w:val="24"/>
        </w:rPr>
        <w:t xml:space="preserve"> </w:t>
      </w:r>
      <w:r w:rsidR="003C5DAF">
        <w:rPr>
          <w:rFonts w:ascii="Times New Roman" w:hAnsi="Times New Roman" w:cs="Times New Roman"/>
          <w:noProof/>
          <w:sz w:val="24"/>
          <w:szCs w:val="24"/>
        </w:rPr>
        <w:t xml:space="preserve">as a percentage of GDP </w:t>
      </w:r>
      <w:r w:rsidR="000E1855">
        <w:rPr>
          <w:rFonts w:ascii="Times New Roman" w:hAnsi="Times New Roman" w:cs="Times New Roman"/>
          <w:noProof/>
          <w:sz w:val="24"/>
          <w:szCs w:val="24"/>
        </w:rPr>
        <w:t>was</w:t>
      </w:r>
      <w:r w:rsidR="003C5DAF">
        <w:rPr>
          <w:rFonts w:ascii="Times New Roman" w:hAnsi="Times New Roman" w:cs="Times New Roman"/>
          <w:noProof/>
          <w:sz w:val="24"/>
          <w:szCs w:val="24"/>
        </w:rPr>
        <w:t xml:space="preserve"> twice the share of profits paid back into state budget. Furthermore, the aforementioned average share of subsidies as a percentage of GDP was almost double the share observed among the EU-28 sample</w:t>
      </w:r>
      <w:r w:rsidR="003540E2">
        <w:rPr>
          <w:rFonts w:ascii="Times New Roman" w:hAnsi="Times New Roman" w:cs="Times New Roman"/>
          <w:noProof/>
          <w:sz w:val="24"/>
          <w:szCs w:val="24"/>
        </w:rPr>
        <w:t xml:space="preserve"> (Tabak and Zildović 2018)</w:t>
      </w:r>
      <w:r w:rsidR="003C5DAF">
        <w:rPr>
          <w:rFonts w:ascii="Times New Roman" w:hAnsi="Times New Roman" w:cs="Times New Roman"/>
          <w:noProof/>
          <w:sz w:val="24"/>
          <w:szCs w:val="24"/>
        </w:rPr>
        <w:t xml:space="preserve">. </w:t>
      </w:r>
    </w:p>
    <w:p w:rsidR="00161338" w:rsidRDefault="003540E2" w:rsidP="00F4625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Finally, Šonje (2019) shows that SOEs</w:t>
      </w:r>
      <w:r w:rsidR="00590E5B">
        <w:rPr>
          <w:rFonts w:ascii="Times New Roman" w:hAnsi="Times New Roman" w:cs="Times New Roman"/>
          <w:noProof/>
          <w:sz w:val="24"/>
          <w:szCs w:val="24"/>
        </w:rPr>
        <w:t xml:space="preserve"> </w:t>
      </w:r>
      <w:r w:rsidR="00B1088D">
        <w:rPr>
          <w:rFonts w:ascii="Times New Roman" w:hAnsi="Times New Roman" w:cs="Times New Roman"/>
          <w:noProof/>
          <w:sz w:val="24"/>
          <w:szCs w:val="24"/>
        </w:rPr>
        <w:t xml:space="preserve">in cases </w:t>
      </w:r>
      <w:r w:rsidR="00590E5B">
        <w:rPr>
          <w:rFonts w:ascii="Times New Roman" w:hAnsi="Times New Roman" w:cs="Times New Roman"/>
          <w:noProof/>
          <w:sz w:val="24"/>
          <w:szCs w:val="24"/>
        </w:rPr>
        <w:t>where</w:t>
      </w:r>
      <w:r>
        <w:rPr>
          <w:rFonts w:ascii="Times New Roman" w:hAnsi="Times New Roman" w:cs="Times New Roman"/>
          <w:noProof/>
          <w:sz w:val="24"/>
          <w:szCs w:val="24"/>
        </w:rPr>
        <w:t xml:space="preserve"> state </w:t>
      </w:r>
      <w:r w:rsidR="00590E5B">
        <w:rPr>
          <w:rFonts w:ascii="Times New Roman" w:hAnsi="Times New Roman" w:cs="Times New Roman"/>
          <w:noProof/>
          <w:sz w:val="24"/>
          <w:szCs w:val="24"/>
        </w:rPr>
        <w:t>acts as a</w:t>
      </w:r>
      <w:r>
        <w:rPr>
          <w:rFonts w:ascii="Times New Roman" w:hAnsi="Times New Roman" w:cs="Times New Roman"/>
          <w:noProof/>
          <w:sz w:val="24"/>
          <w:szCs w:val="24"/>
        </w:rPr>
        <w:t xml:space="preserve"> 100% </w:t>
      </w:r>
      <w:r w:rsidR="00590E5B">
        <w:rPr>
          <w:rFonts w:ascii="Times New Roman" w:hAnsi="Times New Roman" w:cs="Times New Roman"/>
          <w:noProof/>
          <w:sz w:val="24"/>
          <w:szCs w:val="24"/>
        </w:rPr>
        <w:t>owner</w:t>
      </w:r>
      <w:r>
        <w:rPr>
          <w:rFonts w:ascii="Times New Roman" w:hAnsi="Times New Roman" w:cs="Times New Roman"/>
          <w:noProof/>
          <w:sz w:val="24"/>
          <w:szCs w:val="24"/>
        </w:rPr>
        <w:t xml:space="preserve"> are generally less efficient (producing less than the expected level of output given the disposable resources and as compared to private enterprises), even after capital-intensive sectors such as railways, energy production and highways</w:t>
      </w:r>
      <w:r w:rsidR="00EC2541">
        <w:rPr>
          <w:rFonts w:ascii="Times New Roman" w:hAnsi="Times New Roman" w:cs="Times New Roman"/>
          <w:noProof/>
          <w:sz w:val="24"/>
          <w:szCs w:val="24"/>
        </w:rPr>
        <w:t xml:space="preserve"> are excluded from the sample. SOEs generate far less in terms of revenue per employee</w:t>
      </w:r>
      <w:r w:rsidR="00B1088D">
        <w:rPr>
          <w:rFonts w:ascii="Times New Roman" w:hAnsi="Times New Roman" w:cs="Times New Roman"/>
          <w:noProof/>
          <w:sz w:val="24"/>
          <w:szCs w:val="24"/>
        </w:rPr>
        <w:t xml:space="preserve"> </w:t>
      </w:r>
      <w:r w:rsidR="00EC2541">
        <w:rPr>
          <w:rFonts w:ascii="Times New Roman" w:hAnsi="Times New Roman" w:cs="Times New Roman"/>
          <w:noProof/>
          <w:sz w:val="24"/>
          <w:szCs w:val="24"/>
        </w:rPr>
        <w:t xml:space="preserve">and the total sum of salaries makes up far larger share of </w:t>
      </w:r>
      <w:r w:rsidR="000E1855">
        <w:rPr>
          <w:rFonts w:ascii="Times New Roman" w:hAnsi="Times New Roman" w:cs="Times New Roman"/>
          <w:noProof/>
          <w:sz w:val="24"/>
          <w:szCs w:val="24"/>
        </w:rPr>
        <w:t xml:space="preserve">their </w:t>
      </w:r>
      <w:r w:rsidR="00EC2541">
        <w:rPr>
          <w:rFonts w:ascii="Times New Roman" w:hAnsi="Times New Roman" w:cs="Times New Roman"/>
          <w:noProof/>
          <w:sz w:val="24"/>
          <w:szCs w:val="24"/>
        </w:rPr>
        <w:t xml:space="preserve">operating revenues. </w:t>
      </w:r>
    </w:p>
    <w:p w:rsidR="00F61E69" w:rsidRDefault="00F61E69" w:rsidP="00F46252">
      <w:pPr>
        <w:jc w:val="both"/>
        <w:rPr>
          <w:rFonts w:ascii="Times New Roman" w:hAnsi="Times New Roman" w:cs="Times New Roman"/>
          <w:noProof/>
          <w:sz w:val="24"/>
          <w:szCs w:val="24"/>
        </w:rPr>
      </w:pPr>
    </w:p>
    <w:p w:rsidR="00F61E69" w:rsidRDefault="00F61E69" w:rsidP="00F61E69">
      <w:pPr>
        <w:jc w:val="both"/>
        <w:rPr>
          <w:rFonts w:ascii="Times New Roman" w:hAnsi="Times New Roman" w:cs="Times New Roman"/>
          <w:b/>
          <w:bCs/>
          <w:noProof/>
          <w:sz w:val="24"/>
          <w:szCs w:val="24"/>
        </w:rPr>
      </w:pPr>
      <w:r>
        <w:rPr>
          <w:rFonts w:ascii="Times New Roman" w:hAnsi="Times New Roman" w:cs="Times New Roman"/>
          <w:b/>
          <w:bCs/>
          <w:noProof/>
          <w:sz w:val="24"/>
          <w:szCs w:val="24"/>
        </w:rPr>
        <w:t>Euro Introduction to Croatia and the Role of Transforming SOEs in Achieving Real Economic Convergence</w:t>
      </w:r>
    </w:p>
    <w:p w:rsidR="000D55B4" w:rsidRDefault="000D55B4" w:rsidP="00F61E69">
      <w:pPr>
        <w:jc w:val="both"/>
        <w:rPr>
          <w:rFonts w:ascii="Times New Roman" w:hAnsi="Times New Roman" w:cs="Times New Roman"/>
          <w:b/>
          <w:bCs/>
          <w:noProof/>
          <w:sz w:val="24"/>
          <w:szCs w:val="24"/>
        </w:rPr>
      </w:pPr>
    </w:p>
    <w:p w:rsidR="00F61E69" w:rsidRDefault="000D55B4" w:rsidP="00F46252">
      <w:pPr>
        <w:jc w:val="both"/>
        <w:rPr>
          <w:rFonts w:ascii="Times New Roman" w:hAnsi="Times New Roman" w:cs="Times New Roman"/>
          <w:noProof/>
          <w:sz w:val="24"/>
          <w:szCs w:val="24"/>
        </w:rPr>
      </w:pPr>
      <w:r>
        <w:rPr>
          <w:rFonts w:ascii="Times New Roman" w:hAnsi="Times New Roman" w:cs="Times New Roman"/>
          <w:noProof/>
          <w:sz w:val="24"/>
          <w:szCs w:val="24"/>
        </w:rPr>
        <w:t>As already stated</w:t>
      </w:r>
      <w:r w:rsidR="00B1088D">
        <w:rPr>
          <w:rFonts w:ascii="Times New Roman" w:hAnsi="Times New Roman" w:cs="Times New Roman"/>
          <w:noProof/>
          <w:sz w:val="24"/>
          <w:szCs w:val="24"/>
        </w:rPr>
        <w:t xml:space="preserve"> above</w:t>
      </w:r>
      <w:r>
        <w:rPr>
          <w:rFonts w:ascii="Times New Roman" w:hAnsi="Times New Roman" w:cs="Times New Roman"/>
          <w:noProof/>
          <w:sz w:val="24"/>
          <w:szCs w:val="24"/>
        </w:rPr>
        <w:t>, the current system of corporate governance in the sector of SOEs is an offshoot of political forces. However, th</w:t>
      </w:r>
      <w:r w:rsidR="002601B7">
        <w:rPr>
          <w:rFonts w:ascii="Times New Roman" w:hAnsi="Times New Roman" w:cs="Times New Roman"/>
          <w:noProof/>
          <w:sz w:val="24"/>
          <w:szCs w:val="24"/>
        </w:rPr>
        <w:t>is system is</w:t>
      </w:r>
      <w:r>
        <w:rPr>
          <w:rFonts w:ascii="Times New Roman" w:hAnsi="Times New Roman" w:cs="Times New Roman"/>
          <w:noProof/>
          <w:sz w:val="24"/>
          <w:szCs w:val="24"/>
        </w:rPr>
        <w:t xml:space="preserve"> fundamentally incompatible with Croatia's ambition to adopt the euro and lever</w:t>
      </w:r>
      <w:r w:rsidR="00B1088D">
        <w:rPr>
          <w:rFonts w:ascii="Times New Roman" w:hAnsi="Times New Roman" w:cs="Times New Roman"/>
          <w:noProof/>
          <w:sz w:val="24"/>
          <w:szCs w:val="24"/>
        </w:rPr>
        <w:t>age</w:t>
      </w:r>
      <w:r>
        <w:rPr>
          <w:rFonts w:ascii="Times New Roman" w:hAnsi="Times New Roman" w:cs="Times New Roman"/>
          <w:noProof/>
          <w:sz w:val="24"/>
          <w:szCs w:val="24"/>
        </w:rPr>
        <w:t xml:space="preserve"> its </w:t>
      </w:r>
      <w:r w:rsidR="001C398A">
        <w:rPr>
          <w:rFonts w:ascii="Times New Roman" w:hAnsi="Times New Roman" w:cs="Times New Roman"/>
          <w:noProof/>
          <w:sz w:val="24"/>
          <w:szCs w:val="24"/>
        </w:rPr>
        <w:t>EMU</w:t>
      </w:r>
      <w:r>
        <w:rPr>
          <w:rFonts w:ascii="Times New Roman" w:hAnsi="Times New Roman" w:cs="Times New Roman"/>
          <w:noProof/>
          <w:sz w:val="24"/>
          <w:szCs w:val="24"/>
        </w:rPr>
        <w:t xml:space="preserve"> membership for</w:t>
      </w:r>
      <w:r w:rsidR="001C398A">
        <w:rPr>
          <w:rFonts w:ascii="Times New Roman" w:hAnsi="Times New Roman" w:cs="Times New Roman"/>
          <w:noProof/>
          <w:sz w:val="24"/>
          <w:szCs w:val="24"/>
        </w:rPr>
        <w:t xml:space="preserve"> significantly</w:t>
      </w:r>
      <w:r>
        <w:rPr>
          <w:rFonts w:ascii="Times New Roman" w:hAnsi="Times New Roman" w:cs="Times New Roman"/>
          <w:noProof/>
          <w:sz w:val="24"/>
          <w:szCs w:val="24"/>
        </w:rPr>
        <w:t xml:space="preserve"> lifting</w:t>
      </w:r>
      <w:r w:rsidR="002601B7">
        <w:rPr>
          <w:rFonts w:ascii="Times New Roman" w:hAnsi="Times New Roman" w:cs="Times New Roman"/>
          <w:noProof/>
          <w:sz w:val="24"/>
          <w:szCs w:val="24"/>
        </w:rPr>
        <w:t xml:space="preserve"> </w:t>
      </w:r>
      <w:r w:rsidR="00B1088D">
        <w:rPr>
          <w:rFonts w:ascii="Times New Roman" w:hAnsi="Times New Roman" w:cs="Times New Roman"/>
          <w:noProof/>
          <w:sz w:val="24"/>
          <w:szCs w:val="24"/>
        </w:rPr>
        <w:t xml:space="preserve">country's </w:t>
      </w:r>
      <w:r w:rsidR="002601B7">
        <w:rPr>
          <w:rFonts w:ascii="Times New Roman" w:hAnsi="Times New Roman" w:cs="Times New Roman"/>
          <w:noProof/>
          <w:sz w:val="24"/>
          <w:szCs w:val="24"/>
        </w:rPr>
        <w:t>long-term</w:t>
      </w:r>
      <w:r>
        <w:rPr>
          <w:rFonts w:ascii="Times New Roman" w:hAnsi="Times New Roman" w:cs="Times New Roman"/>
          <w:noProof/>
          <w:sz w:val="24"/>
          <w:szCs w:val="24"/>
        </w:rPr>
        <w:t xml:space="preserve"> growth prospects</w:t>
      </w:r>
      <w:r w:rsidR="001C398A">
        <w:rPr>
          <w:rFonts w:ascii="Times New Roman" w:hAnsi="Times New Roman" w:cs="Times New Roman"/>
          <w:noProof/>
          <w:sz w:val="24"/>
          <w:szCs w:val="24"/>
        </w:rPr>
        <w:t>, which are currently meager based on</w:t>
      </w:r>
      <w:r w:rsidR="002601B7">
        <w:rPr>
          <w:rFonts w:ascii="Times New Roman" w:hAnsi="Times New Roman" w:cs="Times New Roman"/>
          <w:noProof/>
          <w:sz w:val="24"/>
          <w:szCs w:val="24"/>
        </w:rPr>
        <w:t xml:space="preserve"> the</w:t>
      </w:r>
      <w:r w:rsidR="001C398A">
        <w:rPr>
          <w:rFonts w:ascii="Times New Roman" w:hAnsi="Times New Roman" w:cs="Times New Roman"/>
          <w:noProof/>
          <w:sz w:val="24"/>
          <w:szCs w:val="24"/>
        </w:rPr>
        <w:t xml:space="preserve"> European Commission</w:t>
      </w:r>
      <w:r w:rsidR="002878B2">
        <w:rPr>
          <w:rFonts w:ascii="Times New Roman" w:hAnsi="Times New Roman" w:cs="Times New Roman"/>
          <w:noProof/>
          <w:sz w:val="24"/>
          <w:szCs w:val="24"/>
        </w:rPr>
        <w:t>'s own estimate</w:t>
      </w:r>
      <w:r w:rsidR="00752DCF">
        <w:rPr>
          <w:rFonts w:ascii="Times New Roman" w:hAnsi="Times New Roman" w:cs="Times New Roman"/>
          <w:noProof/>
          <w:sz w:val="24"/>
          <w:szCs w:val="24"/>
        </w:rPr>
        <w:t>s</w:t>
      </w:r>
      <w:r w:rsidR="002878B2">
        <w:rPr>
          <w:rFonts w:ascii="Times New Roman" w:hAnsi="Times New Roman" w:cs="Times New Roman"/>
          <w:noProof/>
          <w:sz w:val="24"/>
          <w:szCs w:val="24"/>
        </w:rPr>
        <w:t>.</w:t>
      </w:r>
    </w:p>
    <w:p w:rsidR="00E33147" w:rsidRDefault="00590E5B" w:rsidP="00E33147">
      <w:pPr>
        <w:jc w:val="both"/>
        <w:rPr>
          <w:rFonts w:ascii="Times New Roman" w:hAnsi="Times New Roman" w:cs="Times New Roman"/>
          <w:noProof/>
          <w:sz w:val="24"/>
          <w:szCs w:val="24"/>
        </w:rPr>
      </w:pPr>
      <w:r>
        <w:rPr>
          <w:rFonts w:ascii="Times New Roman" w:hAnsi="Times New Roman" w:cs="Times New Roman"/>
          <w:noProof/>
          <w:sz w:val="24"/>
          <w:szCs w:val="24"/>
        </w:rPr>
        <w:t xml:space="preserve">On 10th of July 2020 Croatia was officially adopted into the ERM II, whose main role consists of representing a formal waiting room before the full introduction of the euro. At the earliest, Croatia could enter the eurozone in 2023, if it keeps fulfilling all criteria of nominal convergence (convergence in nominal variables like inflation, interest rates, budget deficit, public debt and exchange-rate stability). </w:t>
      </w:r>
      <w:r w:rsidR="005A0E12">
        <w:rPr>
          <w:rFonts w:ascii="Times New Roman" w:hAnsi="Times New Roman" w:cs="Times New Roman"/>
          <w:noProof/>
          <w:sz w:val="24"/>
          <w:szCs w:val="24"/>
        </w:rPr>
        <w:t>The e</w:t>
      </w:r>
      <w:r>
        <w:rPr>
          <w:rFonts w:ascii="Times New Roman" w:hAnsi="Times New Roman" w:cs="Times New Roman"/>
          <w:noProof/>
          <w:sz w:val="24"/>
          <w:szCs w:val="24"/>
        </w:rPr>
        <w:t xml:space="preserve">conomic impact of COVID-19 will </w:t>
      </w:r>
      <w:r w:rsidR="002878B2">
        <w:rPr>
          <w:rFonts w:ascii="Times New Roman" w:hAnsi="Times New Roman" w:cs="Times New Roman"/>
          <w:noProof/>
          <w:sz w:val="24"/>
          <w:szCs w:val="24"/>
        </w:rPr>
        <w:t>certainly</w:t>
      </w:r>
      <w:r>
        <w:rPr>
          <w:rFonts w:ascii="Times New Roman" w:hAnsi="Times New Roman" w:cs="Times New Roman"/>
          <w:noProof/>
          <w:sz w:val="24"/>
          <w:szCs w:val="24"/>
        </w:rPr>
        <w:t xml:space="preserve"> aggravate this goal since Croatia is predicted to be one of the most afflicted EU members states </w:t>
      </w:r>
      <w:r w:rsidR="005A0E12">
        <w:rPr>
          <w:rFonts w:ascii="Times New Roman" w:hAnsi="Times New Roman" w:cs="Times New Roman"/>
          <w:noProof/>
          <w:sz w:val="24"/>
          <w:szCs w:val="24"/>
        </w:rPr>
        <w:t>in terms of the projected output fall</w:t>
      </w:r>
      <w:r w:rsidR="002878B2">
        <w:rPr>
          <w:rFonts w:ascii="Times New Roman" w:hAnsi="Times New Roman" w:cs="Times New Roman"/>
          <w:noProof/>
          <w:sz w:val="24"/>
          <w:szCs w:val="24"/>
        </w:rPr>
        <w:t>. Hence, p</w:t>
      </w:r>
      <w:r w:rsidR="005A0E12">
        <w:rPr>
          <w:rFonts w:ascii="Times New Roman" w:hAnsi="Times New Roman" w:cs="Times New Roman"/>
          <w:noProof/>
          <w:sz w:val="24"/>
          <w:szCs w:val="24"/>
        </w:rPr>
        <w:t xml:space="preserve">ublic debt </w:t>
      </w:r>
      <w:r w:rsidR="002878B2">
        <w:rPr>
          <w:rFonts w:ascii="Times New Roman" w:hAnsi="Times New Roman" w:cs="Times New Roman"/>
          <w:noProof/>
          <w:sz w:val="24"/>
          <w:szCs w:val="24"/>
        </w:rPr>
        <w:t>will</w:t>
      </w:r>
      <w:r w:rsidR="005A0E12">
        <w:rPr>
          <w:rFonts w:ascii="Times New Roman" w:hAnsi="Times New Roman" w:cs="Times New Roman"/>
          <w:noProof/>
          <w:sz w:val="24"/>
          <w:szCs w:val="24"/>
        </w:rPr>
        <w:t xml:space="preserve"> significantly increase over </w:t>
      </w:r>
      <w:r w:rsidR="00670F60">
        <w:rPr>
          <w:rFonts w:ascii="Times New Roman" w:hAnsi="Times New Roman" w:cs="Times New Roman"/>
          <w:noProof/>
          <w:sz w:val="24"/>
          <w:szCs w:val="24"/>
        </w:rPr>
        <w:t>coming months</w:t>
      </w:r>
      <w:r w:rsidR="005A0E12">
        <w:rPr>
          <w:rFonts w:ascii="Times New Roman" w:hAnsi="Times New Roman" w:cs="Times New Roman"/>
          <w:noProof/>
          <w:sz w:val="24"/>
          <w:szCs w:val="24"/>
        </w:rPr>
        <w:t xml:space="preserve">. </w:t>
      </w:r>
      <w:r w:rsidR="00670F60">
        <w:rPr>
          <w:rFonts w:ascii="Times New Roman" w:hAnsi="Times New Roman" w:cs="Times New Roman"/>
          <w:noProof/>
          <w:sz w:val="24"/>
          <w:szCs w:val="24"/>
        </w:rPr>
        <w:t>However, an elevated public debt to GDP level won't represent a</w:t>
      </w:r>
      <w:r w:rsidR="00965647">
        <w:rPr>
          <w:rFonts w:ascii="Times New Roman" w:hAnsi="Times New Roman" w:cs="Times New Roman"/>
          <w:noProof/>
          <w:sz w:val="24"/>
          <w:szCs w:val="24"/>
        </w:rPr>
        <w:t xml:space="preserve"> key</w:t>
      </w:r>
      <w:r w:rsidR="00670F60">
        <w:rPr>
          <w:rFonts w:ascii="Times New Roman" w:hAnsi="Times New Roman" w:cs="Times New Roman"/>
          <w:noProof/>
          <w:sz w:val="24"/>
          <w:szCs w:val="24"/>
        </w:rPr>
        <w:t xml:space="preserve"> inhibiting factor</w:t>
      </w:r>
      <w:r w:rsidR="00965647">
        <w:rPr>
          <w:rFonts w:ascii="Times New Roman" w:hAnsi="Times New Roman" w:cs="Times New Roman"/>
          <w:noProof/>
          <w:sz w:val="24"/>
          <w:szCs w:val="24"/>
        </w:rPr>
        <w:t xml:space="preserve"> to</w:t>
      </w:r>
      <w:r w:rsidR="00752DCF">
        <w:rPr>
          <w:rFonts w:ascii="Times New Roman" w:hAnsi="Times New Roman" w:cs="Times New Roman"/>
          <w:noProof/>
          <w:sz w:val="24"/>
          <w:szCs w:val="24"/>
        </w:rPr>
        <w:t xml:space="preserve"> sustainable</w:t>
      </w:r>
      <w:r w:rsidR="00965647">
        <w:rPr>
          <w:rFonts w:ascii="Times New Roman" w:hAnsi="Times New Roman" w:cs="Times New Roman"/>
          <w:noProof/>
          <w:sz w:val="24"/>
          <w:szCs w:val="24"/>
        </w:rPr>
        <w:t xml:space="preserve"> real convergence</w:t>
      </w:r>
      <w:r w:rsidR="002878B2">
        <w:rPr>
          <w:rFonts w:ascii="Times New Roman" w:hAnsi="Times New Roman" w:cs="Times New Roman"/>
          <w:noProof/>
          <w:sz w:val="24"/>
          <w:szCs w:val="24"/>
        </w:rPr>
        <w:t xml:space="preserve"> in the long-term</w:t>
      </w:r>
      <w:r w:rsidR="00670F60">
        <w:rPr>
          <w:rFonts w:ascii="Times New Roman" w:hAnsi="Times New Roman" w:cs="Times New Roman"/>
          <w:noProof/>
          <w:sz w:val="24"/>
          <w:szCs w:val="24"/>
        </w:rPr>
        <w:t xml:space="preserve"> if Croatia embarks on a </w:t>
      </w:r>
      <w:r w:rsidR="00965647">
        <w:rPr>
          <w:rFonts w:ascii="Times New Roman" w:hAnsi="Times New Roman" w:cs="Times New Roman"/>
          <w:noProof/>
          <w:sz w:val="24"/>
          <w:szCs w:val="24"/>
        </w:rPr>
        <w:t>gradual</w:t>
      </w:r>
      <w:r w:rsidR="00670F60">
        <w:rPr>
          <w:rFonts w:ascii="Times New Roman" w:hAnsi="Times New Roman" w:cs="Times New Roman"/>
          <w:noProof/>
          <w:sz w:val="24"/>
          <w:szCs w:val="24"/>
        </w:rPr>
        <w:t xml:space="preserve"> trajectory</w:t>
      </w:r>
      <w:r w:rsidR="00965647">
        <w:rPr>
          <w:rFonts w:ascii="Times New Roman" w:hAnsi="Times New Roman" w:cs="Times New Roman"/>
          <w:noProof/>
          <w:sz w:val="24"/>
          <w:szCs w:val="24"/>
        </w:rPr>
        <w:t xml:space="preserve"> of public debt reduction, similar to </w:t>
      </w:r>
      <w:r w:rsidR="002878B2">
        <w:rPr>
          <w:rFonts w:ascii="Times New Roman" w:hAnsi="Times New Roman" w:cs="Times New Roman"/>
          <w:noProof/>
          <w:sz w:val="24"/>
          <w:szCs w:val="24"/>
        </w:rPr>
        <w:t>its</w:t>
      </w:r>
      <w:r w:rsidR="00965647">
        <w:rPr>
          <w:rFonts w:ascii="Times New Roman" w:hAnsi="Times New Roman" w:cs="Times New Roman"/>
          <w:noProof/>
          <w:sz w:val="24"/>
          <w:szCs w:val="24"/>
        </w:rPr>
        <w:t xml:space="preserve"> successful track record over the 2015-2019 period</w:t>
      </w:r>
      <w:r w:rsidR="00670F60">
        <w:rPr>
          <w:rFonts w:ascii="Times New Roman" w:hAnsi="Times New Roman" w:cs="Times New Roman"/>
          <w:noProof/>
          <w:sz w:val="24"/>
          <w:szCs w:val="24"/>
        </w:rPr>
        <w:t xml:space="preserve">. </w:t>
      </w:r>
      <w:r w:rsidR="002878B2">
        <w:rPr>
          <w:rFonts w:ascii="Times New Roman" w:hAnsi="Times New Roman" w:cs="Times New Roman"/>
          <w:noProof/>
          <w:sz w:val="24"/>
          <w:szCs w:val="24"/>
        </w:rPr>
        <w:t>On the other hand, a</w:t>
      </w:r>
      <w:r w:rsidR="00670F60">
        <w:rPr>
          <w:rFonts w:ascii="Times New Roman" w:hAnsi="Times New Roman" w:cs="Times New Roman"/>
          <w:noProof/>
          <w:sz w:val="24"/>
          <w:szCs w:val="24"/>
        </w:rPr>
        <w:t xml:space="preserve"> significantly more demanding task consists of achieving real convergence or β-convergence (convergence in per capita incomes that postulates faster growth for lower income countries as compared to their more developed peers). </w:t>
      </w:r>
      <w:r w:rsidR="003171F3">
        <w:rPr>
          <w:rFonts w:ascii="Times New Roman" w:hAnsi="Times New Roman" w:cs="Times New Roman"/>
          <w:noProof/>
          <w:sz w:val="24"/>
          <w:szCs w:val="24"/>
        </w:rPr>
        <w:t>For t</w:t>
      </w:r>
      <w:r w:rsidR="00670F60">
        <w:rPr>
          <w:rFonts w:ascii="Times New Roman" w:hAnsi="Times New Roman" w:cs="Times New Roman"/>
          <w:noProof/>
          <w:sz w:val="24"/>
          <w:szCs w:val="24"/>
        </w:rPr>
        <w:t>his type of convergence</w:t>
      </w:r>
      <w:r w:rsidR="003171F3">
        <w:rPr>
          <w:rFonts w:ascii="Times New Roman" w:hAnsi="Times New Roman" w:cs="Times New Roman"/>
          <w:noProof/>
          <w:sz w:val="24"/>
          <w:szCs w:val="24"/>
        </w:rPr>
        <w:t xml:space="preserve"> to be sustainable it needs to be firmly anchored in structural convergence</w:t>
      </w:r>
      <w:r w:rsidR="002878B2">
        <w:rPr>
          <w:rFonts w:ascii="Times New Roman" w:hAnsi="Times New Roman" w:cs="Times New Roman"/>
          <w:noProof/>
          <w:sz w:val="24"/>
          <w:szCs w:val="24"/>
        </w:rPr>
        <w:t xml:space="preserve">, a process </w:t>
      </w:r>
      <w:r w:rsidR="00752DCF">
        <w:rPr>
          <w:rFonts w:ascii="Times New Roman" w:hAnsi="Times New Roman" w:cs="Times New Roman"/>
          <w:noProof/>
          <w:sz w:val="24"/>
          <w:szCs w:val="24"/>
        </w:rPr>
        <w:t>that</w:t>
      </w:r>
      <w:r w:rsidR="002878B2">
        <w:rPr>
          <w:rFonts w:ascii="Times New Roman" w:hAnsi="Times New Roman" w:cs="Times New Roman"/>
          <w:noProof/>
          <w:sz w:val="24"/>
          <w:szCs w:val="24"/>
        </w:rPr>
        <w:t xml:space="preserve"> engenders structural reforms esstential for enhancing productivity and competitiveness (e.g. education</w:t>
      </w:r>
      <w:r w:rsidR="00752DCF">
        <w:rPr>
          <w:rFonts w:ascii="Times New Roman" w:hAnsi="Times New Roman" w:cs="Times New Roman"/>
          <w:noProof/>
          <w:sz w:val="24"/>
          <w:szCs w:val="24"/>
        </w:rPr>
        <w:t>al system reform or SOE privatization</w:t>
      </w:r>
      <w:r w:rsidR="002601B7">
        <w:rPr>
          <w:rFonts w:ascii="Times New Roman" w:hAnsi="Times New Roman" w:cs="Times New Roman"/>
          <w:noProof/>
          <w:sz w:val="24"/>
          <w:szCs w:val="24"/>
        </w:rPr>
        <w:t>).</w:t>
      </w:r>
    </w:p>
    <w:p w:rsidR="00422BD4" w:rsidRDefault="003171F3" w:rsidP="00E33147">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EU, there </w:t>
      </w:r>
      <w:r w:rsidR="00206931">
        <w:rPr>
          <w:rFonts w:ascii="Times New Roman" w:hAnsi="Times New Roman" w:cs="Times New Roman"/>
          <w:noProof/>
          <w:sz w:val="24"/>
          <w:szCs w:val="24"/>
        </w:rPr>
        <w:t xml:space="preserve">were </w:t>
      </w:r>
      <w:r>
        <w:rPr>
          <w:rFonts w:ascii="Times New Roman" w:hAnsi="Times New Roman" w:cs="Times New Roman"/>
          <w:noProof/>
          <w:sz w:val="24"/>
          <w:szCs w:val="24"/>
        </w:rPr>
        <w:t xml:space="preserve">several prominent </w:t>
      </w:r>
      <w:r w:rsidR="00965647">
        <w:rPr>
          <w:rFonts w:ascii="Times New Roman" w:hAnsi="Times New Roman" w:cs="Times New Roman"/>
          <w:noProof/>
          <w:sz w:val="24"/>
          <w:szCs w:val="24"/>
        </w:rPr>
        <w:t>episodes</w:t>
      </w:r>
      <w:r>
        <w:rPr>
          <w:rFonts w:ascii="Times New Roman" w:hAnsi="Times New Roman" w:cs="Times New Roman"/>
          <w:noProof/>
          <w:sz w:val="24"/>
          <w:szCs w:val="24"/>
        </w:rPr>
        <w:t xml:space="preserve"> of unsustainable nominal and real convergence such as</w:t>
      </w:r>
      <w:r w:rsidR="00965647">
        <w:rPr>
          <w:rFonts w:ascii="Times New Roman" w:hAnsi="Times New Roman" w:cs="Times New Roman"/>
          <w:noProof/>
          <w:sz w:val="24"/>
          <w:szCs w:val="24"/>
        </w:rPr>
        <w:t xml:space="preserve"> those </w:t>
      </w:r>
      <w:r w:rsidR="00E33147">
        <w:rPr>
          <w:rFonts w:ascii="Times New Roman" w:hAnsi="Times New Roman" w:cs="Times New Roman"/>
          <w:noProof/>
          <w:sz w:val="24"/>
          <w:szCs w:val="24"/>
        </w:rPr>
        <w:t>observable in</w:t>
      </w:r>
      <w:r>
        <w:rPr>
          <w:rFonts w:ascii="Times New Roman" w:hAnsi="Times New Roman" w:cs="Times New Roman"/>
          <w:noProof/>
          <w:sz w:val="24"/>
          <w:szCs w:val="24"/>
        </w:rPr>
        <w:t xml:space="preserve"> Greece and Italy</w:t>
      </w:r>
      <w:r w:rsidR="00206931">
        <w:rPr>
          <w:rFonts w:ascii="Times New Roman" w:hAnsi="Times New Roman" w:cs="Times New Roman"/>
          <w:noProof/>
          <w:sz w:val="24"/>
          <w:szCs w:val="24"/>
        </w:rPr>
        <w:t xml:space="preserve"> during the last eurozone crisis</w:t>
      </w:r>
      <w:r>
        <w:rPr>
          <w:rFonts w:ascii="Times New Roman" w:hAnsi="Times New Roman" w:cs="Times New Roman"/>
          <w:noProof/>
          <w:sz w:val="24"/>
          <w:szCs w:val="24"/>
        </w:rPr>
        <w:t xml:space="preserve">. More importantly, during the first few years of their EMU membership those countries enjoyed both real and nominal convergence </w:t>
      </w:r>
      <w:r w:rsidR="00E33147">
        <w:rPr>
          <w:rFonts w:ascii="Times New Roman" w:hAnsi="Times New Roman" w:cs="Times New Roman"/>
          <w:noProof/>
          <w:sz w:val="24"/>
          <w:szCs w:val="24"/>
        </w:rPr>
        <w:t>paired with pronounced</w:t>
      </w:r>
      <w:r>
        <w:rPr>
          <w:rFonts w:ascii="Times New Roman" w:hAnsi="Times New Roman" w:cs="Times New Roman"/>
          <w:noProof/>
          <w:sz w:val="24"/>
          <w:szCs w:val="24"/>
        </w:rPr>
        <w:t xml:space="preserve"> structural divergence. </w:t>
      </w:r>
      <w:r w:rsidR="006A0CF8">
        <w:rPr>
          <w:rFonts w:ascii="Times New Roman" w:hAnsi="Times New Roman" w:cs="Times New Roman"/>
          <w:noProof/>
          <w:sz w:val="24"/>
          <w:szCs w:val="24"/>
        </w:rPr>
        <w:t>This mainly referred to their sharp deterioration in productivity growth, diverging macroeconomic indicators such as foreign and domestic debt and</w:t>
      </w:r>
      <w:r w:rsidR="00752DCF">
        <w:rPr>
          <w:rFonts w:ascii="Times New Roman" w:hAnsi="Times New Roman" w:cs="Times New Roman"/>
          <w:noProof/>
          <w:sz w:val="24"/>
          <w:szCs w:val="24"/>
        </w:rPr>
        <w:t xml:space="preserve"> lingering</w:t>
      </w:r>
      <w:r w:rsidR="006A0CF8">
        <w:rPr>
          <w:rFonts w:ascii="Times New Roman" w:hAnsi="Times New Roman" w:cs="Times New Roman"/>
          <w:noProof/>
          <w:sz w:val="24"/>
          <w:szCs w:val="24"/>
        </w:rPr>
        <w:t xml:space="preserve"> institutional sclerosis (lack of judicial reforms and privatization</w:t>
      </w:r>
      <w:r w:rsidR="00752DCF">
        <w:rPr>
          <w:rFonts w:ascii="Times New Roman" w:hAnsi="Times New Roman" w:cs="Times New Roman"/>
          <w:noProof/>
          <w:sz w:val="24"/>
          <w:szCs w:val="24"/>
        </w:rPr>
        <w:t>s</w:t>
      </w:r>
      <w:r w:rsidR="006A0CF8">
        <w:rPr>
          <w:rFonts w:ascii="Times New Roman" w:hAnsi="Times New Roman" w:cs="Times New Roman"/>
          <w:noProof/>
          <w:sz w:val="24"/>
          <w:szCs w:val="24"/>
        </w:rPr>
        <w:t>, onerous</w:t>
      </w:r>
      <w:r w:rsidR="002601B7">
        <w:rPr>
          <w:rFonts w:ascii="Times New Roman" w:hAnsi="Times New Roman" w:cs="Times New Roman"/>
          <w:noProof/>
          <w:sz w:val="24"/>
          <w:szCs w:val="24"/>
        </w:rPr>
        <w:t xml:space="preserve"> business</w:t>
      </w:r>
      <w:r w:rsidR="006A0CF8">
        <w:rPr>
          <w:rFonts w:ascii="Times New Roman" w:hAnsi="Times New Roman" w:cs="Times New Roman"/>
          <w:noProof/>
          <w:sz w:val="24"/>
          <w:szCs w:val="24"/>
        </w:rPr>
        <w:t xml:space="preserve"> regulations and inefficient public administration</w:t>
      </w:r>
      <w:r w:rsidR="00B47EFE">
        <w:rPr>
          <w:rFonts w:ascii="Times New Roman" w:hAnsi="Times New Roman" w:cs="Times New Roman"/>
          <w:noProof/>
          <w:sz w:val="24"/>
          <w:szCs w:val="24"/>
        </w:rPr>
        <w:t>).</w:t>
      </w:r>
      <w:r w:rsidR="001E7179">
        <w:rPr>
          <w:rFonts w:ascii="Times New Roman" w:hAnsi="Times New Roman" w:cs="Times New Roman"/>
          <w:noProof/>
          <w:sz w:val="24"/>
          <w:szCs w:val="24"/>
        </w:rPr>
        <w:t xml:space="preserve"> </w:t>
      </w:r>
      <w:r w:rsidR="002601B7">
        <w:rPr>
          <w:rFonts w:ascii="Times New Roman" w:hAnsi="Times New Roman" w:cs="Times New Roman"/>
          <w:noProof/>
          <w:sz w:val="24"/>
          <w:szCs w:val="24"/>
        </w:rPr>
        <w:t xml:space="preserve">So far, Croatia has missed </w:t>
      </w:r>
      <w:r w:rsidR="00752DCF">
        <w:rPr>
          <w:rFonts w:ascii="Times New Roman" w:hAnsi="Times New Roman" w:cs="Times New Roman"/>
          <w:noProof/>
          <w:sz w:val="24"/>
          <w:szCs w:val="24"/>
        </w:rPr>
        <w:t>an opportunity</w:t>
      </w:r>
      <w:r w:rsidR="002601B7">
        <w:rPr>
          <w:rFonts w:ascii="Times New Roman" w:hAnsi="Times New Roman" w:cs="Times New Roman"/>
          <w:noProof/>
          <w:sz w:val="24"/>
          <w:szCs w:val="24"/>
        </w:rPr>
        <w:t xml:space="preserve"> for raising real convergence both in absolute and relative terms. </w:t>
      </w:r>
      <w:r w:rsidR="001E7179" w:rsidRPr="00090981">
        <w:rPr>
          <w:rFonts w:ascii="Times New Roman" w:hAnsi="Times New Roman" w:cs="Times New Roman"/>
          <w:i/>
          <w:iCs/>
          <w:noProof/>
          <w:sz w:val="24"/>
          <w:szCs w:val="24"/>
        </w:rPr>
        <w:t xml:space="preserve">Figure </w:t>
      </w:r>
      <w:r w:rsidR="00761983">
        <w:rPr>
          <w:rFonts w:ascii="Times New Roman" w:hAnsi="Times New Roman" w:cs="Times New Roman"/>
          <w:i/>
          <w:iCs/>
          <w:noProof/>
          <w:sz w:val="24"/>
          <w:szCs w:val="24"/>
        </w:rPr>
        <w:t>3</w:t>
      </w:r>
      <w:r w:rsidR="001E7179" w:rsidRPr="00090981">
        <w:rPr>
          <w:rFonts w:ascii="Times New Roman" w:hAnsi="Times New Roman" w:cs="Times New Roman"/>
          <w:i/>
          <w:iCs/>
          <w:noProof/>
          <w:sz w:val="24"/>
          <w:szCs w:val="24"/>
        </w:rPr>
        <w:t xml:space="preserve"> </w:t>
      </w:r>
      <w:r w:rsidR="001E7179">
        <w:rPr>
          <w:rFonts w:ascii="Times New Roman" w:hAnsi="Times New Roman" w:cs="Times New Roman"/>
          <w:noProof/>
          <w:sz w:val="24"/>
          <w:szCs w:val="24"/>
        </w:rPr>
        <w:t xml:space="preserve">shows that Croatia has fared significantly worser in terms of real convergence as compared to other </w:t>
      </w:r>
      <w:r w:rsidR="00090981">
        <w:rPr>
          <w:rFonts w:ascii="Times New Roman" w:hAnsi="Times New Roman" w:cs="Times New Roman"/>
          <w:noProof/>
          <w:sz w:val="24"/>
          <w:szCs w:val="24"/>
        </w:rPr>
        <w:t xml:space="preserve">post-socialist member states. </w:t>
      </w:r>
      <w:r w:rsidR="002601B7">
        <w:rPr>
          <w:rFonts w:ascii="Times New Roman" w:hAnsi="Times New Roman" w:cs="Times New Roman"/>
          <w:noProof/>
          <w:sz w:val="24"/>
          <w:szCs w:val="24"/>
        </w:rPr>
        <w:t xml:space="preserve">The main reason is to be found </w:t>
      </w:r>
      <w:r w:rsidR="00090981">
        <w:rPr>
          <w:rFonts w:ascii="Times New Roman" w:hAnsi="Times New Roman" w:cs="Times New Roman"/>
          <w:noProof/>
          <w:sz w:val="24"/>
          <w:szCs w:val="24"/>
        </w:rPr>
        <w:t>in the fact that institutional quality</w:t>
      </w:r>
      <w:r w:rsidR="00422BD4">
        <w:rPr>
          <w:rFonts w:ascii="Times New Roman" w:hAnsi="Times New Roman" w:cs="Times New Roman"/>
          <w:noProof/>
          <w:sz w:val="24"/>
          <w:szCs w:val="24"/>
        </w:rPr>
        <w:t xml:space="preserve"> </w:t>
      </w:r>
      <w:r w:rsidR="00752DCF">
        <w:rPr>
          <w:rFonts w:ascii="Times New Roman" w:hAnsi="Times New Roman" w:cs="Times New Roman"/>
          <w:noProof/>
          <w:sz w:val="24"/>
          <w:szCs w:val="24"/>
        </w:rPr>
        <w:t>that</w:t>
      </w:r>
      <w:r w:rsidR="00090981">
        <w:rPr>
          <w:rFonts w:ascii="Times New Roman" w:hAnsi="Times New Roman" w:cs="Times New Roman"/>
          <w:noProof/>
          <w:sz w:val="24"/>
          <w:szCs w:val="24"/>
        </w:rPr>
        <w:t xml:space="preserve"> is</w:t>
      </w:r>
      <w:r w:rsidR="00422BD4">
        <w:rPr>
          <w:rFonts w:ascii="Times New Roman" w:hAnsi="Times New Roman" w:cs="Times New Roman"/>
          <w:noProof/>
          <w:sz w:val="24"/>
          <w:szCs w:val="24"/>
        </w:rPr>
        <w:t xml:space="preserve"> so</w:t>
      </w:r>
      <w:r w:rsidR="00090981">
        <w:rPr>
          <w:rFonts w:ascii="Times New Roman" w:hAnsi="Times New Roman" w:cs="Times New Roman"/>
          <w:noProof/>
          <w:sz w:val="24"/>
          <w:szCs w:val="24"/>
        </w:rPr>
        <w:t xml:space="preserve"> decisive for economic prosperity</w:t>
      </w:r>
      <w:r w:rsidR="00422BD4">
        <w:rPr>
          <w:rFonts w:ascii="Times New Roman" w:hAnsi="Times New Roman" w:cs="Times New Roman"/>
          <w:noProof/>
          <w:sz w:val="24"/>
          <w:szCs w:val="24"/>
        </w:rPr>
        <w:t xml:space="preserve"> has been largely absent </w:t>
      </w:r>
      <w:r w:rsidR="00D05686">
        <w:rPr>
          <w:rFonts w:ascii="Times New Roman" w:hAnsi="Times New Roman" w:cs="Times New Roman"/>
          <w:noProof/>
          <w:sz w:val="24"/>
          <w:szCs w:val="24"/>
        </w:rPr>
        <w:t>during the last two decades</w:t>
      </w:r>
      <w:r w:rsidR="00422BD4">
        <w:rPr>
          <w:rFonts w:ascii="Times New Roman" w:hAnsi="Times New Roman" w:cs="Times New Roman"/>
          <w:noProof/>
          <w:sz w:val="24"/>
          <w:szCs w:val="24"/>
        </w:rPr>
        <w:t>,</w:t>
      </w:r>
      <w:r w:rsidR="00090981">
        <w:rPr>
          <w:rFonts w:ascii="Times New Roman" w:hAnsi="Times New Roman" w:cs="Times New Roman"/>
          <w:noProof/>
          <w:sz w:val="24"/>
          <w:szCs w:val="24"/>
        </w:rPr>
        <w:t xml:space="preserve"> </w:t>
      </w:r>
      <w:r w:rsidR="00CA0FC9">
        <w:rPr>
          <w:rFonts w:ascii="Times New Roman" w:hAnsi="Times New Roman" w:cs="Times New Roman"/>
          <w:noProof/>
          <w:sz w:val="24"/>
          <w:szCs w:val="24"/>
        </w:rPr>
        <w:t xml:space="preserve">as shown in </w:t>
      </w:r>
      <w:r w:rsidR="00CA0FC9" w:rsidRPr="00CA0FC9">
        <w:rPr>
          <w:rFonts w:ascii="Times New Roman" w:hAnsi="Times New Roman" w:cs="Times New Roman"/>
          <w:i/>
          <w:iCs/>
          <w:noProof/>
          <w:sz w:val="24"/>
          <w:szCs w:val="24"/>
        </w:rPr>
        <w:t xml:space="preserve">Figure </w:t>
      </w:r>
      <w:r w:rsidR="00761983">
        <w:rPr>
          <w:rFonts w:ascii="Times New Roman" w:hAnsi="Times New Roman" w:cs="Times New Roman"/>
          <w:i/>
          <w:iCs/>
          <w:noProof/>
          <w:sz w:val="24"/>
          <w:szCs w:val="24"/>
        </w:rPr>
        <w:t>4</w:t>
      </w:r>
      <w:r w:rsidR="00CA0FC9">
        <w:rPr>
          <w:rFonts w:ascii="Times New Roman" w:hAnsi="Times New Roman" w:cs="Times New Roman"/>
          <w:noProof/>
          <w:sz w:val="24"/>
          <w:szCs w:val="24"/>
        </w:rPr>
        <w:t xml:space="preserve">. </w:t>
      </w:r>
    </w:p>
    <w:p w:rsidR="00752DCF" w:rsidRDefault="00CA0FC9" w:rsidP="00E33147">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One </w:t>
      </w:r>
      <w:r w:rsidR="000078DC">
        <w:rPr>
          <w:rFonts w:ascii="Times New Roman" w:hAnsi="Times New Roman" w:cs="Times New Roman"/>
          <w:noProof/>
          <w:sz w:val="24"/>
          <w:szCs w:val="24"/>
        </w:rPr>
        <w:t>of the most important avenue</w:t>
      </w:r>
      <w:r w:rsidR="00C96997">
        <w:rPr>
          <w:rFonts w:ascii="Times New Roman" w:hAnsi="Times New Roman" w:cs="Times New Roman"/>
          <w:noProof/>
          <w:sz w:val="24"/>
          <w:szCs w:val="24"/>
        </w:rPr>
        <w:t>s</w:t>
      </w:r>
      <w:r w:rsidR="000078DC">
        <w:rPr>
          <w:rFonts w:ascii="Times New Roman" w:hAnsi="Times New Roman" w:cs="Times New Roman"/>
          <w:noProof/>
          <w:sz w:val="24"/>
          <w:szCs w:val="24"/>
        </w:rPr>
        <w:t xml:space="preserve"> for structural convergence</w:t>
      </w:r>
      <w:r w:rsidR="00C96997">
        <w:rPr>
          <w:rFonts w:ascii="Times New Roman" w:hAnsi="Times New Roman" w:cs="Times New Roman"/>
          <w:noProof/>
          <w:sz w:val="24"/>
          <w:szCs w:val="24"/>
        </w:rPr>
        <w:t xml:space="preserve"> and improvement in institutional quality</w:t>
      </w:r>
      <w:r w:rsidR="000078DC">
        <w:rPr>
          <w:rFonts w:ascii="Times New Roman" w:hAnsi="Times New Roman" w:cs="Times New Roman"/>
          <w:noProof/>
          <w:sz w:val="24"/>
          <w:szCs w:val="24"/>
        </w:rPr>
        <w:t xml:space="preserve"> is to be found in the liberalization and privatization of Croatia</w:t>
      </w:r>
      <w:r w:rsidR="00C96997">
        <w:rPr>
          <w:rFonts w:ascii="Times New Roman" w:hAnsi="Times New Roman" w:cs="Times New Roman"/>
          <w:noProof/>
          <w:sz w:val="24"/>
          <w:szCs w:val="24"/>
        </w:rPr>
        <w:t>'s sector of state-owned enterprises</w:t>
      </w:r>
      <w:r w:rsidR="000078DC">
        <w:rPr>
          <w:rFonts w:ascii="Times New Roman" w:hAnsi="Times New Roman" w:cs="Times New Roman"/>
          <w:noProof/>
          <w:sz w:val="24"/>
          <w:szCs w:val="24"/>
        </w:rPr>
        <w:t>. Unfortunately, l</w:t>
      </w:r>
      <w:r w:rsidRPr="00CA0FC9">
        <w:rPr>
          <w:rFonts w:ascii="Times New Roman" w:hAnsi="Times New Roman" w:cs="Times New Roman"/>
          <w:noProof/>
          <w:sz w:val="24"/>
          <w:szCs w:val="24"/>
        </w:rPr>
        <w:t xml:space="preserve">ow efficiency and continual losses </w:t>
      </w:r>
      <w:r w:rsidR="00C96997">
        <w:rPr>
          <w:rFonts w:ascii="Times New Roman" w:hAnsi="Times New Roman" w:cs="Times New Roman"/>
          <w:noProof/>
          <w:sz w:val="24"/>
          <w:szCs w:val="24"/>
        </w:rPr>
        <w:t xml:space="preserve">have </w:t>
      </w:r>
      <w:r w:rsidRPr="00CA0FC9">
        <w:rPr>
          <w:rFonts w:ascii="Times New Roman" w:hAnsi="Times New Roman" w:cs="Times New Roman"/>
          <w:noProof/>
          <w:sz w:val="24"/>
          <w:szCs w:val="24"/>
        </w:rPr>
        <w:t>result</w:t>
      </w:r>
      <w:r w:rsidR="00C96997">
        <w:rPr>
          <w:rFonts w:ascii="Times New Roman" w:hAnsi="Times New Roman" w:cs="Times New Roman"/>
          <w:noProof/>
          <w:sz w:val="24"/>
          <w:szCs w:val="24"/>
        </w:rPr>
        <w:t>ed</w:t>
      </w:r>
      <w:r w:rsidRPr="00CA0FC9">
        <w:rPr>
          <w:rFonts w:ascii="Times New Roman" w:hAnsi="Times New Roman" w:cs="Times New Roman"/>
          <w:noProof/>
          <w:sz w:val="24"/>
          <w:szCs w:val="24"/>
        </w:rPr>
        <w:t xml:space="preserve"> in substantial fiscal costs and contingent liabilities for the state</w:t>
      </w:r>
      <w:r>
        <w:rPr>
          <w:rFonts w:ascii="Times New Roman" w:hAnsi="Times New Roman" w:cs="Times New Roman"/>
          <w:noProof/>
          <w:sz w:val="24"/>
          <w:szCs w:val="24"/>
        </w:rPr>
        <w:t xml:space="preserve">. </w:t>
      </w:r>
      <w:r w:rsidR="00752DCF">
        <w:rPr>
          <w:rFonts w:ascii="Times New Roman" w:hAnsi="Times New Roman" w:cs="Times New Roman"/>
          <w:noProof/>
          <w:sz w:val="24"/>
          <w:szCs w:val="24"/>
        </w:rPr>
        <w:t>Conversely, t</w:t>
      </w:r>
      <w:r w:rsidR="00965647">
        <w:rPr>
          <w:rFonts w:ascii="Times New Roman" w:hAnsi="Times New Roman" w:cs="Times New Roman"/>
          <w:noProof/>
          <w:sz w:val="24"/>
          <w:szCs w:val="24"/>
        </w:rPr>
        <w:t xml:space="preserve">he creation of a sovereign-wealth fund in the mold of Austrian, Swedish or Finnish national wealth funds would enable professionalization and depoliticization of SOEs management structures. This would finally free up board members from undue political influence and the very logic of political-business cycle, which is similar to the separation of monetary policy within independent central banks, </w:t>
      </w:r>
      <w:r w:rsidR="00C96997">
        <w:rPr>
          <w:rFonts w:ascii="Times New Roman" w:hAnsi="Times New Roman" w:cs="Times New Roman"/>
          <w:noProof/>
          <w:sz w:val="24"/>
          <w:szCs w:val="24"/>
        </w:rPr>
        <w:t xml:space="preserve">in order </w:t>
      </w:r>
      <w:r w:rsidR="00965647">
        <w:rPr>
          <w:rFonts w:ascii="Times New Roman" w:hAnsi="Times New Roman" w:cs="Times New Roman"/>
          <w:noProof/>
          <w:sz w:val="24"/>
          <w:szCs w:val="24"/>
        </w:rPr>
        <w:t>to avoid unwarranted political influence</w:t>
      </w:r>
      <w:r w:rsidR="00752DCF">
        <w:rPr>
          <w:rFonts w:ascii="Times New Roman" w:hAnsi="Times New Roman" w:cs="Times New Roman"/>
          <w:noProof/>
          <w:sz w:val="24"/>
          <w:szCs w:val="24"/>
        </w:rPr>
        <w:t xml:space="preserve"> on monetary policy decisions</w:t>
      </w:r>
      <w:r w:rsidR="00965647">
        <w:rPr>
          <w:rFonts w:ascii="Times New Roman" w:hAnsi="Times New Roman" w:cs="Times New Roman"/>
          <w:noProof/>
          <w:sz w:val="24"/>
          <w:szCs w:val="24"/>
        </w:rPr>
        <w:t xml:space="preserve">. </w:t>
      </w:r>
    </w:p>
    <w:p w:rsidR="00965647" w:rsidRPr="00E85C05" w:rsidRDefault="00965647" w:rsidP="00E33147">
      <w:pPr>
        <w:jc w:val="both"/>
        <w:rPr>
          <w:rFonts w:ascii="Times New Roman" w:hAnsi="Times New Roman" w:cs="Times New Roman"/>
          <w:noProof/>
          <w:sz w:val="24"/>
          <w:szCs w:val="24"/>
        </w:rPr>
      </w:pPr>
      <w:r>
        <w:rPr>
          <w:rFonts w:ascii="Times New Roman" w:hAnsi="Times New Roman" w:cs="Times New Roman"/>
          <w:noProof/>
          <w:sz w:val="24"/>
          <w:szCs w:val="24"/>
        </w:rPr>
        <w:t xml:space="preserve">Exactly this kind of institutional environment </w:t>
      </w:r>
      <w:r w:rsidR="00C96997">
        <w:rPr>
          <w:rFonts w:ascii="Times New Roman" w:hAnsi="Times New Roman" w:cs="Times New Roman"/>
          <w:noProof/>
          <w:sz w:val="24"/>
          <w:szCs w:val="24"/>
        </w:rPr>
        <w:t>would enable</w:t>
      </w:r>
      <w:r>
        <w:rPr>
          <w:rFonts w:ascii="Times New Roman" w:hAnsi="Times New Roman" w:cs="Times New Roman"/>
          <w:noProof/>
          <w:sz w:val="24"/>
          <w:szCs w:val="24"/>
        </w:rPr>
        <w:t xml:space="preserve"> political elite to set overraching political goals (public goods provision or national security) without exessively meddling into</w:t>
      </w:r>
      <w:r w:rsidR="00C96997">
        <w:rPr>
          <w:rFonts w:ascii="Times New Roman" w:hAnsi="Times New Roman" w:cs="Times New Roman"/>
          <w:noProof/>
          <w:sz w:val="24"/>
          <w:szCs w:val="24"/>
        </w:rPr>
        <w:t xml:space="preserve"> the</w:t>
      </w:r>
      <w:r>
        <w:rPr>
          <w:rFonts w:ascii="Times New Roman" w:hAnsi="Times New Roman" w:cs="Times New Roman"/>
          <w:noProof/>
          <w:sz w:val="24"/>
          <w:szCs w:val="24"/>
        </w:rPr>
        <w:t xml:space="preserve"> da</w:t>
      </w:r>
      <w:r w:rsidR="00C96997">
        <w:rPr>
          <w:rFonts w:ascii="Times New Roman" w:hAnsi="Times New Roman" w:cs="Times New Roman"/>
          <w:noProof/>
          <w:sz w:val="24"/>
          <w:szCs w:val="24"/>
        </w:rPr>
        <w:t>y-to-day operation</w:t>
      </w:r>
      <w:r w:rsidR="006629B1">
        <w:rPr>
          <w:rFonts w:ascii="Times New Roman" w:hAnsi="Times New Roman" w:cs="Times New Roman"/>
          <w:noProof/>
          <w:sz w:val="24"/>
          <w:szCs w:val="24"/>
        </w:rPr>
        <w:t>al</w:t>
      </w:r>
      <w:r>
        <w:rPr>
          <w:rFonts w:ascii="Times New Roman" w:hAnsi="Times New Roman" w:cs="Times New Roman"/>
          <w:noProof/>
          <w:sz w:val="24"/>
          <w:szCs w:val="24"/>
        </w:rPr>
        <w:t xml:space="preserve"> processes or relinquishing commercially viable business conduct. </w:t>
      </w:r>
      <w:r w:rsidR="006629B1">
        <w:rPr>
          <w:rFonts w:ascii="Times New Roman" w:hAnsi="Times New Roman" w:cs="Times New Roman"/>
          <w:noProof/>
          <w:sz w:val="24"/>
          <w:szCs w:val="24"/>
        </w:rPr>
        <w:t>This transformation would also improve resource allocation and change relative incentives (risk vs. reward) for holding an employment in state-owned enterprise</w:t>
      </w:r>
      <w:r w:rsidR="00752DCF">
        <w:rPr>
          <w:rFonts w:ascii="Times New Roman" w:hAnsi="Times New Roman" w:cs="Times New Roman"/>
          <w:noProof/>
          <w:sz w:val="24"/>
          <w:szCs w:val="24"/>
        </w:rPr>
        <w:t>s versus private sector employment</w:t>
      </w:r>
      <w:r w:rsidR="006629B1">
        <w:rPr>
          <w:rFonts w:ascii="Times New Roman" w:hAnsi="Times New Roman" w:cs="Times New Roman"/>
          <w:noProof/>
          <w:sz w:val="24"/>
          <w:szCs w:val="24"/>
        </w:rPr>
        <w:t>. At the same time this would attract more talented managers to</w:t>
      </w:r>
      <w:r w:rsidR="00752DCF">
        <w:rPr>
          <w:rFonts w:ascii="Times New Roman" w:hAnsi="Times New Roman" w:cs="Times New Roman"/>
          <w:noProof/>
          <w:sz w:val="24"/>
          <w:szCs w:val="24"/>
        </w:rPr>
        <w:t xml:space="preserve"> the</w:t>
      </w:r>
      <w:r w:rsidR="006629B1">
        <w:rPr>
          <w:rFonts w:ascii="Times New Roman" w:hAnsi="Times New Roman" w:cs="Times New Roman"/>
          <w:noProof/>
          <w:sz w:val="24"/>
          <w:szCs w:val="24"/>
        </w:rPr>
        <w:t xml:space="preserve"> SOE sector while less-skilled prospective or current SOE </w:t>
      </w:r>
      <w:r w:rsidR="00752DCF">
        <w:rPr>
          <w:rFonts w:ascii="Times New Roman" w:hAnsi="Times New Roman" w:cs="Times New Roman"/>
          <w:noProof/>
          <w:sz w:val="24"/>
          <w:szCs w:val="24"/>
        </w:rPr>
        <w:t>employees</w:t>
      </w:r>
      <w:r w:rsidR="006629B1">
        <w:rPr>
          <w:rFonts w:ascii="Times New Roman" w:hAnsi="Times New Roman" w:cs="Times New Roman"/>
          <w:noProof/>
          <w:sz w:val="24"/>
          <w:szCs w:val="24"/>
        </w:rPr>
        <w:t xml:space="preserve"> would be more inclined to consider emp</w:t>
      </w:r>
      <w:r w:rsidR="00752DCF">
        <w:rPr>
          <w:rFonts w:ascii="Times New Roman" w:hAnsi="Times New Roman" w:cs="Times New Roman"/>
          <w:noProof/>
          <w:sz w:val="24"/>
          <w:szCs w:val="24"/>
        </w:rPr>
        <w:t>loyment</w:t>
      </w:r>
      <w:r w:rsidR="006629B1">
        <w:rPr>
          <w:rFonts w:ascii="Times New Roman" w:hAnsi="Times New Roman" w:cs="Times New Roman"/>
          <w:noProof/>
          <w:sz w:val="24"/>
          <w:szCs w:val="24"/>
        </w:rPr>
        <w:t xml:space="preserve"> in private companies.</w:t>
      </w:r>
    </w:p>
    <w:p w:rsidR="00F47C53" w:rsidRPr="00F47C53" w:rsidRDefault="00F47C53" w:rsidP="00E85ED7">
      <w:pPr>
        <w:jc w:val="both"/>
        <w:rPr>
          <w:rFonts w:ascii="Times New Roman" w:hAnsi="Times New Roman" w:cs="Times New Roman"/>
          <w:b/>
          <w:bCs/>
          <w:i/>
          <w:iCs/>
          <w:sz w:val="24"/>
          <w:szCs w:val="24"/>
        </w:rPr>
      </w:pPr>
      <w:r w:rsidRPr="00F47C53">
        <w:rPr>
          <w:rFonts w:ascii="Times New Roman" w:hAnsi="Times New Roman" w:cs="Times New Roman"/>
          <w:b/>
          <w:bCs/>
          <w:i/>
          <w:iCs/>
          <w:sz w:val="24"/>
          <w:szCs w:val="24"/>
        </w:rPr>
        <w:t xml:space="preserve">Figure </w:t>
      </w:r>
      <w:r w:rsidR="00761983">
        <w:rPr>
          <w:rFonts w:ascii="Times New Roman" w:hAnsi="Times New Roman" w:cs="Times New Roman"/>
          <w:b/>
          <w:bCs/>
          <w:i/>
          <w:iCs/>
          <w:sz w:val="24"/>
          <w:szCs w:val="24"/>
        </w:rPr>
        <w:t>3</w:t>
      </w:r>
    </w:p>
    <w:p w:rsidR="00F47C53" w:rsidRPr="00E85ED7" w:rsidRDefault="0035720C" w:rsidP="00E85ED7">
      <w:pPr>
        <w:jc w:val="both"/>
        <w:rPr>
          <w:rFonts w:ascii="Times New Roman" w:hAnsi="Times New Roman" w:cs="Times New Roman"/>
          <w:b/>
          <w:bCs/>
          <w:noProof/>
          <w:sz w:val="24"/>
          <w:szCs w:val="24"/>
        </w:rPr>
      </w:pPr>
      <w:r>
        <w:rPr>
          <w:noProof/>
        </w:rPr>
        <w:drawing>
          <wp:inline distT="0" distB="0" distL="0" distR="0" wp14:anchorId="4662C221" wp14:editId="5776712D">
            <wp:extent cx="5731510" cy="3752427"/>
            <wp:effectExtent l="0" t="0" r="2540" b="635"/>
            <wp:docPr id="3" name="Chart 3">
              <a:extLst xmlns:a="http://schemas.openxmlformats.org/drawingml/2006/main">
                <a:ext uri="{FF2B5EF4-FFF2-40B4-BE49-F238E27FC236}">
                  <a16:creationId xmlns:a16="http://schemas.microsoft.com/office/drawing/2014/main" id="{A6DCE105-8773-4340-B30E-65CCB51B52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7C53" w:rsidRDefault="00F47C53" w:rsidP="00F46252">
      <w:pPr>
        <w:jc w:val="both"/>
        <w:rPr>
          <w:rFonts w:ascii="Times New Roman" w:hAnsi="Times New Roman" w:cs="Times New Roman"/>
          <w:noProof/>
          <w:sz w:val="20"/>
          <w:szCs w:val="20"/>
        </w:rPr>
      </w:pPr>
      <w:r w:rsidRPr="00161338">
        <w:rPr>
          <w:rFonts w:ascii="Times New Roman" w:hAnsi="Times New Roman" w:cs="Times New Roman"/>
          <w:noProof/>
          <w:sz w:val="20"/>
          <w:szCs w:val="20"/>
        </w:rPr>
        <w:t xml:space="preserve">Source: </w:t>
      </w:r>
      <w:r>
        <w:rPr>
          <w:rFonts w:ascii="Times New Roman" w:hAnsi="Times New Roman" w:cs="Times New Roman"/>
          <w:noProof/>
          <w:sz w:val="20"/>
          <w:szCs w:val="20"/>
        </w:rPr>
        <w:t>Eurostat</w:t>
      </w:r>
      <w:r w:rsidR="00C81579">
        <w:rPr>
          <w:rFonts w:ascii="Times New Roman" w:hAnsi="Times New Roman" w:cs="Times New Roman"/>
          <w:noProof/>
          <w:sz w:val="20"/>
          <w:szCs w:val="20"/>
        </w:rPr>
        <w:t>; author's calculation</w:t>
      </w:r>
    </w:p>
    <w:p w:rsidR="004452B1" w:rsidRDefault="004452B1" w:rsidP="00F46252">
      <w:pPr>
        <w:jc w:val="both"/>
        <w:rPr>
          <w:rFonts w:ascii="Times New Roman" w:hAnsi="Times New Roman" w:cs="Times New Roman"/>
          <w:b/>
          <w:bCs/>
          <w:i/>
          <w:iCs/>
          <w:noProof/>
          <w:sz w:val="24"/>
          <w:szCs w:val="24"/>
        </w:rPr>
      </w:pPr>
    </w:p>
    <w:p w:rsidR="004452B1" w:rsidRDefault="004452B1" w:rsidP="00F46252">
      <w:pPr>
        <w:jc w:val="both"/>
        <w:rPr>
          <w:rFonts w:ascii="Times New Roman" w:hAnsi="Times New Roman" w:cs="Times New Roman"/>
          <w:b/>
          <w:bCs/>
          <w:i/>
          <w:iCs/>
          <w:noProof/>
          <w:sz w:val="24"/>
          <w:szCs w:val="24"/>
        </w:rPr>
      </w:pPr>
    </w:p>
    <w:p w:rsidR="004452B1" w:rsidRDefault="004452B1" w:rsidP="00F46252">
      <w:pPr>
        <w:jc w:val="both"/>
        <w:rPr>
          <w:rFonts w:ascii="Times New Roman" w:hAnsi="Times New Roman" w:cs="Times New Roman"/>
          <w:b/>
          <w:bCs/>
          <w:i/>
          <w:iCs/>
          <w:noProof/>
          <w:sz w:val="24"/>
          <w:szCs w:val="24"/>
        </w:rPr>
      </w:pPr>
    </w:p>
    <w:p w:rsidR="0077339C" w:rsidRPr="0077339C" w:rsidRDefault="0077339C" w:rsidP="00F46252">
      <w:pPr>
        <w:jc w:val="both"/>
        <w:rPr>
          <w:rFonts w:ascii="Times New Roman" w:hAnsi="Times New Roman" w:cs="Times New Roman"/>
          <w:b/>
          <w:bCs/>
          <w:i/>
          <w:iCs/>
          <w:noProof/>
          <w:sz w:val="24"/>
          <w:szCs w:val="24"/>
        </w:rPr>
      </w:pPr>
      <w:r w:rsidRPr="0077339C">
        <w:rPr>
          <w:rFonts w:ascii="Times New Roman" w:hAnsi="Times New Roman" w:cs="Times New Roman"/>
          <w:b/>
          <w:bCs/>
          <w:i/>
          <w:iCs/>
          <w:noProof/>
          <w:sz w:val="24"/>
          <w:szCs w:val="24"/>
        </w:rPr>
        <w:lastRenderedPageBreak/>
        <w:t>Figure 3</w:t>
      </w:r>
    </w:p>
    <w:p w:rsidR="0077339C" w:rsidRDefault="0077339C" w:rsidP="00F46252">
      <w:pPr>
        <w:jc w:val="both"/>
        <w:rPr>
          <w:rFonts w:ascii="Times New Roman" w:hAnsi="Times New Roman" w:cs="Times New Roman"/>
          <w:noProof/>
          <w:sz w:val="20"/>
          <w:szCs w:val="20"/>
        </w:rPr>
      </w:pPr>
      <w:r>
        <w:rPr>
          <w:noProof/>
        </w:rPr>
        <w:drawing>
          <wp:inline distT="0" distB="0" distL="0" distR="0" wp14:anchorId="640EBA37" wp14:editId="74006B80">
            <wp:extent cx="5731510" cy="3752426"/>
            <wp:effectExtent l="0" t="0" r="2540" b="635"/>
            <wp:docPr id="4" name="Chart 4">
              <a:extLst xmlns:a="http://schemas.openxmlformats.org/drawingml/2006/main">
                <a:ext uri="{FF2B5EF4-FFF2-40B4-BE49-F238E27FC236}">
                  <a16:creationId xmlns:a16="http://schemas.microsoft.com/office/drawing/2014/main" id="{9C928B91-B5F3-457B-96BD-10A5A02C2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339C" w:rsidRDefault="0077339C" w:rsidP="0077339C">
      <w:pPr>
        <w:jc w:val="both"/>
        <w:rPr>
          <w:rFonts w:ascii="Times New Roman" w:hAnsi="Times New Roman" w:cs="Times New Roman"/>
          <w:noProof/>
          <w:sz w:val="20"/>
          <w:szCs w:val="20"/>
        </w:rPr>
      </w:pPr>
      <w:r w:rsidRPr="00161338">
        <w:rPr>
          <w:rFonts w:ascii="Times New Roman" w:hAnsi="Times New Roman" w:cs="Times New Roman"/>
          <w:noProof/>
          <w:sz w:val="20"/>
          <w:szCs w:val="20"/>
        </w:rPr>
        <w:t xml:space="preserve">Source: </w:t>
      </w:r>
      <w:r>
        <w:rPr>
          <w:rFonts w:ascii="Times New Roman" w:hAnsi="Times New Roman" w:cs="Times New Roman"/>
          <w:noProof/>
          <w:sz w:val="20"/>
          <w:szCs w:val="20"/>
        </w:rPr>
        <w:t>Eurostat and Worldwide Governance Indicators; author's calculation</w:t>
      </w:r>
    </w:p>
    <w:p w:rsidR="004452B1" w:rsidRDefault="004452B1" w:rsidP="0077339C">
      <w:pPr>
        <w:jc w:val="both"/>
        <w:rPr>
          <w:rFonts w:ascii="Times New Roman" w:hAnsi="Times New Roman" w:cs="Times New Roman"/>
          <w:noProof/>
          <w:sz w:val="20"/>
          <w:szCs w:val="20"/>
        </w:rPr>
      </w:pPr>
    </w:p>
    <w:p w:rsidR="006B052F" w:rsidRDefault="006B052F" w:rsidP="00F46252">
      <w:pPr>
        <w:jc w:val="both"/>
        <w:rPr>
          <w:rFonts w:ascii="Times New Roman" w:hAnsi="Times New Roman" w:cs="Times New Roman"/>
          <w:b/>
          <w:bCs/>
          <w:noProof/>
          <w:sz w:val="24"/>
          <w:szCs w:val="24"/>
        </w:rPr>
      </w:pPr>
      <w:r w:rsidRPr="006B052F">
        <w:rPr>
          <w:rFonts w:ascii="Times New Roman" w:hAnsi="Times New Roman" w:cs="Times New Roman"/>
          <w:b/>
          <w:bCs/>
          <w:noProof/>
          <w:sz w:val="24"/>
          <w:szCs w:val="24"/>
        </w:rPr>
        <w:t>Conclusions</w:t>
      </w:r>
    </w:p>
    <w:p w:rsidR="000078DC" w:rsidRDefault="000078DC" w:rsidP="00F46252">
      <w:pPr>
        <w:jc w:val="both"/>
        <w:rPr>
          <w:rFonts w:ascii="Times New Roman" w:hAnsi="Times New Roman" w:cs="Times New Roman"/>
          <w:b/>
          <w:bCs/>
          <w:noProof/>
          <w:sz w:val="24"/>
          <w:szCs w:val="24"/>
        </w:rPr>
      </w:pPr>
    </w:p>
    <w:p w:rsidR="00BC2872" w:rsidRDefault="000078DC" w:rsidP="00487417">
      <w:pPr>
        <w:jc w:val="both"/>
        <w:rPr>
          <w:rFonts w:ascii="Times New Roman" w:hAnsi="Times New Roman" w:cs="Times New Roman"/>
          <w:noProof/>
          <w:sz w:val="24"/>
          <w:szCs w:val="24"/>
        </w:rPr>
      </w:pPr>
      <w:r w:rsidRPr="000078DC">
        <w:rPr>
          <w:rFonts w:ascii="Times New Roman" w:hAnsi="Times New Roman" w:cs="Times New Roman"/>
          <w:noProof/>
          <w:sz w:val="24"/>
          <w:szCs w:val="24"/>
        </w:rPr>
        <w:t>The euro is not a golden goose that will magically solve Croatia’s</w:t>
      </w:r>
      <w:r>
        <w:rPr>
          <w:rFonts w:ascii="Times New Roman" w:hAnsi="Times New Roman" w:cs="Times New Roman"/>
          <w:noProof/>
          <w:sz w:val="24"/>
          <w:szCs w:val="24"/>
        </w:rPr>
        <w:t xml:space="preserve"> </w:t>
      </w:r>
      <w:r w:rsidRPr="000078DC">
        <w:rPr>
          <w:rFonts w:ascii="Times New Roman" w:hAnsi="Times New Roman" w:cs="Times New Roman"/>
          <w:noProof/>
          <w:sz w:val="24"/>
          <w:szCs w:val="24"/>
        </w:rPr>
        <w:t>accumulated structural and fiscal problems, and irrevocably secure prosperity for generations to come.</w:t>
      </w:r>
      <w:r>
        <w:rPr>
          <w:rFonts w:ascii="Times New Roman" w:hAnsi="Times New Roman" w:cs="Times New Roman"/>
          <w:noProof/>
          <w:sz w:val="24"/>
          <w:szCs w:val="24"/>
        </w:rPr>
        <w:t xml:space="preserve"> </w:t>
      </w:r>
      <w:r w:rsidRPr="000078DC">
        <w:rPr>
          <w:rFonts w:ascii="Times New Roman" w:hAnsi="Times New Roman" w:cs="Times New Roman"/>
          <w:noProof/>
          <w:sz w:val="24"/>
          <w:szCs w:val="24"/>
        </w:rPr>
        <w:t xml:space="preserve">Nor is it a stinging viper that will inadvertently allow the large </w:t>
      </w:r>
      <w:r w:rsidR="0072312F">
        <w:rPr>
          <w:rFonts w:ascii="Times New Roman" w:hAnsi="Times New Roman" w:cs="Times New Roman"/>
          <w:noProof/>
          <w:sz w:val="24"/>
          <w:szCs w:val="24"/>
        </w:rPr>
        <w:t>m</w:t>
      </w:r>
      <w:r w:rsidRPr="000078DC">
        <w:rPr>
          <w:rFonts w:ascii="Times New Roman" w:hAnsi="Times New Roman" w:cs="Times New Roman"/>
          <w:noProof/>
          <w:sz w:val="24"/>
          <w:szCs w:val="24"/>
        </w:rPr>
        <w:t xml:space="preserve">ember </w:t>
      </w:r>
      <w:r w:rsidR="0072312F">
        <w:rPr>
          <w:rFonts w:ascii="Times New Roman" w:hAnsi="Times New Roman" w:cs="Times New Roman"/>
          <w:noProof/>
          <w:sz w:val="24"/>
          <w:szCs w:val="24"/>
        </w:rPr>
        <w:t>s</w:t>
      </w:r>
      <w:r w:rsidRPr="000078DC">
        <w:rPr>
          <w:rFonts w:ascii="Times New Roman" w:hAnsi="Times New Roman" w:cs="Times New Roman"/>
          <w:noProof/>
          <w:sz w:val="24"/>
          <w:szCs w:val="24"/>
        </w:rPr>
        <w:t>tates or corporations to ‘devour’the smaller ones, a popular trope often espoused by populist politicians of various stripes. The euro is a</w:t>
      </w:r>
      <w:r>
        <w:rPr>
          <w:rFonts w:ascii="Times New Roman" w:hAnsi="Times New Roman" w:cs="Times New Roman"/>
          <w:noProof/>
          <w:sz w:val="24"/>
          <w:szCs w:val="24"/>
        </w:rPr>
        <w:t xml:space="preserve"> </w:t>
      </w:r>
      <w:r w:rsidRPr="000078DC">
        <w:rPr>
          <w:rFonts w:ascii="Times New Roman" w:hAnsi="Times New Roman" w:cs="Times New Roman"/>
          <w:noProof/>
          <w:sz w:val="24"/>
          <w:szCs w:val="24"/>
        </w:rPr>
        <w:t>generational opportunity to seriously transform Croatia’s unbalanced political economy and t</w:t>
      </w:r>
      <w:r w:rsidR="0072312F">
        <w:rPr>
          <w:rFonts w:ascii="Times New Roman" w:hAnsi="Times New Roman" w:cs="Times New Roman"/>
          <w:noProof/>
          <w:sz w:val="24"/>
          <w:szCs w:val="24"/>
        </w:rPr>
        <w:t>o</w:t>
      </w:r>
      <w:r w:rsidRPr="000078DC">
        <w:rPr>
          <w:rFonts w:ascii="Times New Roman" w:hAnsi="Times New Roman" w:cs="Times New Roman"/>
          <w:noProof/>
          <w:sz w:val="24"/>
          <w:szCs w:val="24"/>
        </w:rPr>
        <w:t xml:space="preserve"> enjoy</w:t>
      </w:r>
      <w:r>
        <w:rPr>
          <w:rFonts w:ascii="Times New Roman" w:hAnsi="Times New Roman" w:cs="Times New Roman"/>
          <w:noProof/>
          <w:sz w:val="24"/>
          <w:szCs w:val="24"/>
        </w:rPr>
        <w:t xml:space="preserve"> </w:t>
      </w:r>
      <w:r w:rsidRPr="000078DC">
        <w:rPr>
          <w:rFonts w:ascii="Times New Roman" w:hAnsi="Times New Roman" w:cs="Times New Roman"/>
          <w:noProof/>
          <w:sz w:val="24"/>
          <w:szCs w:val="24"/>
        </w:rPr>
        <w:t>long-term benefits of exchange-rate risk elimination, lower interest rates and access to the eurozone’s</w:t>
      </w:r>
      <w:r>
        <w:rPr>
          <w:rFonts w:ascii="Times New Roman" w:hAnsi="Times New Roman" w:cs="Times New Roman"/>
          <w:noProof/>
          <w:sz w:val="24"/>
          <w:szCs w:val="24"/>
        </w:rPr>
        <w:t xml:space="preserve"> </w:t>
      </w:r>
      <w:r w:rsidRPr="000078DC">
        <w:rPr>
          <w:rFonts w:ascii="Times New Roman" w:hAnsi="Times New Roman" w:cs="Times New Roman"/>
          <w:noProof/>
          <w:sz w:val="24"/>
          <w:szCs w:val="24"/>
        </w:rPr>
        <w:t>new crisis fighting mechanisms created during the last crisis, to name just a few</w:t>
      </w:r>
      <w:r>
        <w:rPr>
          <w:rFonts w:ascii="Times New Roman" w:hAnsi="Times New Roman" w:cs="Times New Roman"/>
          <w:noProof/>
          <w:sz w:val="24"/>
          <w:szCs w:val="24"/>
        </w:rPr>
        <w:t xml:space="preserve"> (Kotarski, 2019)</w:t>
      </w:r>
      <w:r w:rsidRPr="000078DC">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002264" w:rsidRDefault="000078DC" w:rsidP="00BC2872">
      <w:pPr>
        <w:jc w:val="both"/>
        <w:rPr>
          <w:rFonts w:ascii="Times New Roman" w:hAnsi="Times New Roman" w:cs="Times New Roman"/>
          <w:noProof/>
          <w:sz w:val="24"/>
          <w:szCs w:val="24"/>
        </w:rPr>
      </w:pPr>
      <w:r>
        <w:rPr>
          <w:rFonts w:ascii="Times New Roman" w:hAnsi="Times New Roman" w:cs="Times New Roman"/>
          <w:noProof/>
          <w:sz w:val="24"/>
          <w:szCs w:val="24"/>
        </w:rPr>
        <w:t xml:space="preserve">We have already seen in </w:t>
      </w:r>
      <w:r w:rsidR="00F61E69">
        <w:rPr>
          <w:rFonts w:ascii="Times New Roman" w:hAnsi="Times New Roman" w:cs="Times New Roman"/>
          <w:noProof/>
          <w:sz w:val="24"/>
          <w:szCs w:val="24"/>
        </w:rPr>
        <w:t>previous passages that SOE</w:t>
      </w:r>
      <w:r w:rsidR="00FF73D0">
        <w:rPr>
          <w:rFonts w:ascii="Times New Roman" w:hAnsi="Times New Roman" w:cs="Times New Roman"/>
          <w:noProof/>
          <w:sz w:val="24"/>
          <w:szCs w:val="24"/>
        </w:rPr>
        <w:t>s</w:t>
      </w:r>
      <w:r w:rsidR="00F61E69">
        <w:rPr>
          <w:rFonts w:ascii="Times New Roman" w:hAnsi="Times New Roman" w:cs="Times New Roman"/>
          <w:noProof/>
          <w:sz w:val="24"/>
          <w:szCs w:val="24"/>
        </w:rPr>
        <w:t xml:space="preserve"> reform is a long overdue issue</w:t>
      </w:r>
      <w:r w:rsidR="0072312F">
        <w:rPr>
          <w:rFonts w:ascii="Times New Roman" w:hAnsi="Times New Roman" w:cs="Times New Roman"/>
          <w:noProof/>
          <w:sz w:val="24"/>
          <w:szCs w:val="24"/>
        </w:rPr>
        <w:t>,</w:t>
      </w:r>
      <w:r w:rsidR="00F61E69">
        <w:rPr>
          <w:rFonts w:ascii="Times New Roman" w:hAnsi="Times New Roman" w:cs="Times New Roman"/>
          <w:noProof/>
          <w:sz w:val="24"/>
          <w:szCs w:val="24"/>
        </w:rPr>
        <w:t xml:space="preserve"> offering significant opportunities </w:t>
      </w:r>
      <w:r w:rsidR="00FF73D0">
        <w:rPr>
          <w:rFonts w:ascii="Times New Roman" w:hAnsi="Times New Roman" w:cs="Times New Roman"/>
          <w:noProof/>
          <w:sz w:val="24"/>
          <w:szCs w:val="24"/>
        </w:rPr>
        <w:t>to</w:t>
      </w:r>
      <w:r w:rsidR="00F61E69">
        <w:rPr>
          <w:rFonts w:ascii="Times New Roman" w:hAnsi="Times New Roman" w:cs="Times New Roman"/>
          <w:noProof/>
          <w:sz w:val="24"/>
          <w:szCs w:val="24"/>
        </w:rPr>
        <w:t xml:space="preserve"> taxpayers,</w:t>
      </w:r>
      <w:r w:rsidR="006D191B">
        <w:rPr>
          <w:rFonts w:ascii="Times New Roman" w:hAnsi="Times New Roman" w:cs="Times New Roman"/>
          <w:noProof/>
          <w:sz w:val="24"/>
          <w:szCs w:val="24"/>
        </w:rPr>
        <w:t xml:space="preserve"> future retirees,</w:t>
      </w:r>
      <w:r w:rsidR="00F61E69">
        <w:rPr>
          <w:rFonts w:ascii="Times New Roman" w:hAnsi="Times New Roman" w:cs="Times New Roman"/>
          <w:noProof/>
          <w:sz w:val="24"/>
          <w:szCs w:val="24"/>
        </w:rPr>
        <w:t xml:space="preserve"> </w:t>
      </w:r>
      <w:r w:rsidR="0072312F">
        <w:rPr>
          <w:rFonts w:ascii="Times New Roman" w:hAnsi="Times New Roman" w:cs="Times New Roman"/>
          <w:noProof/>
          <w:sz w:val="24"/>
          <w:szCs w:val="24"/>
        </w:rPr>
        <w:t xml:space="preserve">future </w:t>
      </w:r>
      <w:r w:rsidR="00F61E69">
        <w:rPr>
          <w:rFonts w:ascii="Times New Roman" w:hAnsi="Times New Roman" w:cs="Times New Roman"/>
          <w:noProof/>
          <w:sz w:val="24"/>
          <w:szCs w:val="24"/>
        </w:rPr>
        <w:t>reform-minded government</w:t>
      </w:r>
      <w:r w:rsidR="0072312F">
        <w:rPr>
          <w:rFonts w:ascii="Times New Roman" w:hAnsi="Times New Roman" w:cs="Times New Roman"/>
          <w:noProof/>
          <w:sz w:val="24"/>
          <w:szCs w:val="24"/>
        </w:rPr>
        <w:t>s</w:t>
      </w:r>
      <w:r w:rsidR="00F61E69">
        <w:rPr>
          <w:rFonts w:ascii="Times New Roman" w:hAnsi="Times New Roman" w:cs="Times New Roman"/>
          <w:noProof/>
          <w:sz w:val="24"/>
          <w:szCs w:val="24"/>
        </w:rPr>
        <w:t xml:space="preserve"> and investor community. Nevertheless</w:t>
      </w:r>
      <w:r w:rsidR="00722631">
        <w:rPr>
          <w:rFonts w:ascii="Times New Roman" w:hAnsi="Times New Roman" w:cs="Times New Roman"/>
          <w:noProof/>
          <w:sz w:val="24"/>
          <w:szCs w:val="24"/>
        </w:rPr>
        <w:t>, i</w:t>
      </w:r>
      <w:r w:rsidR="00002264">
        <w:rPr>
          <w:rFonts w:ascii="Times New Roman" w:hAnsi="Times New Roman" w:cs="Times New Roman"/>
          <w:noProof/>
          <w:sz w:val="24"/>
          <w:szCs w:val="24"/>
        </w:rPr>
        <w:t>t is to be seen whether Croatia</w:t>
      </w:r>
      <w:r w:rsidR="00722631">
        <w:rPr>
          <w:rFonts w:ascii="Times New Roman" w:hAnsi="Times New Roman" w:cs="Times New Roman"/>
          <w:noProof/>
          <w:sz w:val="24"/>
          <w:szCs w:val="24"/>
        </w:rPr>
        <w:t xml:space="preserve">'s </w:t>
      </w:r>
      <w:r w:rsidR="00002264">
        <w:rPr>
          <w:rFonts w:ascii="Times New Roman" w:hAnsi="Times New Roman" w:cs="Times New Roman"/>
          <w:noProof/>
          <w:sz w:val="24"/>
          <w:szCs w:val="24"/>
        </w:rPr>
        <w:t xml:space="preserve"> political elite is ready to show ownership of the reform process necessary to boost the performance of SOE</w:t>
      </w:r>
      <w:r w:rsidR="0072312F">
        <w:rPr>
          <w:rFonts w:ascii="Times New Roman" w:hAnsi="Times New Roman" w:cs="Times New Roman"/>
          <w:noProof/>
          <w:sz w:val="24"/>
          <w:szCs w:val="24"/>
        </w:rPr>
        <w:t>s</w:t>
      </w:r>
      <w:r w:rsidR="00002264">
        <w:rPr>
          <w:rFonts w:ascii="Times New Roman" w:hAnsi="Times New Roman" w:cs="Times New Roman"/>
          <w:noProof/>
          <w:sz w:val="24"/>
          <w:szCs w:val="24"/>
        </w:rPr>
        <w:t xml:space="preserve"> and that incorporates several important steps: privatization, liberalization and professionalization of corporate governance. It is certain that those steps are incompatible in the short-term with the current political equilibrium and that they provide large long-term benefits to the Croatian economy. What remains uncertain is whether and how the aforementioned political equilibrium could be overcome. Maybe</w:t>
      </w:r>
      <w:r w:rsidR="00722631">
        <w:rPr>
          <w:rFonts w:ascii="Times New Roman" w:hAnsi="Times New Roman" w:cs="Times New Roman"/>
          <w:noProof/>
          <w:sz w:val="24"/>
          <w:szCs w:val="24"/>
        </w:rPr>
        <w:t xml:space="preserve"> recent</w:t>
      </w:r>
      <w:r w:rsidR="0072312F">
        <w:rPr>
          <w:rFonts w:ascii="Times New Roman" w:hAnsi="Times New Roman" w:cs="Times New Roman"/>
          <w:noProof/>
          <w:sz w:val="24"/>
          <w:szCs w:val="24"/>
        </w:rPr>
        <w:t xml:space="preserve"> July 2020</w:t>
      </w:r>
      <w:r w:rsidR="00002264">
        <w:rPr>
          <w:rFonts w:ascii="Times New Roman" w:hAnsi="Times New Roman" w:cs="Times New Roman"/>
          <w:noProof/>
          <w:sz w:val="24"/>
          <w:szCs w:val="24"/>
        </w:rPr>
        <w:t xml:space="preserve"> election</w:t>
      </w:r>
      <w:r w:rsidR="00722631">
        <w:rPr>
          <w:rFonts w:ascii="Times New Roman" w:hAnsi="Times New Roman" w:cs="Times New Roman"/>
          <w:noProof/>
          <w:sz w:val="24"/>
          <w:szCs w:val="24"/>
        </w:rPr>
        <w:t xml:space="preserve"> results </w:t>
      </w:r>
      <w:r w:rsidR="00002264">
        <w:rPr>
          <w:rFonts w:ascii="Times New Roman" w:hAnsi="Times New Roman" w:cs="Times New Roman"/>
          <w:noProof/>
          <w:sz w:val="24"/>
          <w:szCs w:val="24"/>
        </w:rPr>
        <w:t>could provide us with some answers.</w:t>
      </w:r>
      <w:r w:rsidR="00722631">
        <w:rPr>
          <w:rFonts w:ascii="Times New Roman" w:hAnsi="Times New Roman" w:cs="Times New Roman"/>
          <w:noProof/>
          <w:sz w:val="24"/>
          <w:szCs w:val="24"/>
        </w:rPr>
        <w:t xml:space="preserve"> Croatian Democratic Union won by a landslide and will form a new government under </w:t>
      </w:r>
      <w:r w:rsidR="00722631">
        <w:rPr>
          <w:rFonts w:ascii="Times New Roman" w:hAnsi="Times New Roman" w:cs="Times New Roman"/>
          <w:noProof/>
          <w:sz w:val="24"/>
          <w:szCs w:val="24"/>
        </w:rPr>
        <w:lastRenderedPageBreak/>
        <w:t>very auspicious circumstances</w:t>
      </w:r>
      <w:r w:rsidR="008B6ABC">
        <w:rPr>
          <w:rFonts w:ascii="Times New Roman" w:hAnsi="Times New Roman" w:cs="Times New Roman"/>
          <w:noProof/>
          <w:sz w:val="24"/>
          <w:szCs w:val="24"/>
        </w:rPr>
        <w:t xml:space="preserve">, with only two undemanding and relatively weak coalitional parties. Unlike </w:t>
      </w:r>
      <w:r w:rsidR="00BC2872">
        <w:rPr>
          <w:rFonts w:ascii="Times New Roman" w:hAnsi="Times New Roman" w:cs="Times New Roman"/>
          <w:noProof/>
          <w:sz w:val="24"/>
          <w:szCs w:val="24"/>
        </w:rPr>
        <w:t>previous governments over the last two decades, new government headed by Prime Minister Plenković will finally avoid large government fragmentation as a</w:t>
      </w:r>
      <w:r w:rsidR="0072312F">
        <w:rPr>
          <w:rFonts w:ascii="Times New Roman" w:hAnsi="Times New Roman" w:cs="Times New Roman"/>
          <w:noProof/>
          <w:sz w:val="24"/>
          <w:szCs w:val="24"/>
        </w:rPr>
        <w:t xml:space="preserve"> well-known</w:t>
      </w:r>
      <w:bookmarkStart w:id="0" w:name="_GoBack"/>
      <w:bookmarkEnd w:id="0"/>
      <w:r w:rsidR="00BC2872">
        <w:rPr>
          <w:rFonts w:ascii="Times New Roman" w:hAnsi="Times New Roman" w:cs="Times New Roman"/>
          <w:noProof/>
          <w:sz w:val="24"/>
          <w:szCs w:val="24"/>
        </w:rPr>
        <w:t xml:space="preserve"> obstacle to achieving structural reforms. This time around there won't be major</w:t>
      </w:r>
      <w:r w:rsidR="0072312F">
        <w:rPr>
          <w:rFonts w:ascii="Times New Roman" w:hAnsi="Times New Roman" w:cs="Times New Roman"/>
          <w:noProof/>
          <w:sz w:val="24"/>
          <w:szCs w:val="24"/>
        </w:rPr>
        <w:t xml:space="preserve"> political</w:t>
      </w:r>
      <w:r w:rsidR="00BC2872">
        <w:rPr>
          <w:rFonts w:ascii="Times New Roman" w:hAnsi="Times New Roman" w:cs="Times New Roman"/>
          <w:noProof/>
          <w:sz w:val="24"/>
          <w:szCs w:val="24"/>
        </w:rPr>
        <w:t xml:space="preserve"> excuses for backtracking on the </w:t>
      </w:r>
      <w:r w:rsidR="0072312F">
        <w:rPr>
          <w:rFonts w:ascii="Times New Roman" w:hAnsi="Times New Roman" w:cs="Times New Roman"/>
          <w:noProof/>
          <w:sz w:val="24"/>
          <w:szCs w:val="24"/>
        </w:rPr>
        <w:t>aforementioned reform agenda.</w:t>
      </w:r>
    </w:p>
    <w:p w:rsidR="00E85C05" w:rsidRDefault="00E85C05" w:rsidP="00F46252">
      <w:pPr>
        <w:jc w:val="both"/>
        <w:rPr>
          <w:rFonts w:ascii="Times New Roman" w:hAnsi="Times New Roman" w:cs="Times New Roman"/>
          <w:b/>
          <w:bCs/>
          <w:noProof/>
          <w:sz w:val="24"/>
          <w:szCs w:val="24"/>
        </w:rPr>
      </w:pPr>
    </w:p>
    <w:p w:rsidR="005F069E" w:rsidRDefault="00D3020F" w:rsidP="00F46252">
      <w:pPr>
        <w:jc w:val="both"/>
        <w:rPr>
          <w:rFonts w:ascii="Times New Roman" w:hAnsi="Times New Roman" w:cs="Times New Roman"/>
          <w:b/>
          <w:bCs/>
          <w:noProof/>
          <w:sz w:val="24"/>
          <w:szCs w:val="24"/>
        </w:rPr>
      </w:pPr>
      <w:r>
        <w:rPr>
          <w:rFonts w:ascii="Times New Roman" w:hAnsi="Times New Roman" w:cs="Times New Roman"/>
          <w:b/>
          <w:bCs/>
          <w:noProof/>
          <w:sz w:val="24"/>
          <w:szCs w:val="24"/>
        </w:rPr>
        <w:t>References:</w:t>
      </w:r>
    </w:p>
    <w:p w:rsidR="005F069E" w:rsidRDefault="005F069E" w:rsidP="00F46252">
      <w:pPr>
        <w:jc w:val="both"/>
        <w:rPr>
          <w:rFonts w:ascii="Times New Roman" w:hAnsi="Times New Roman" w:cs="Times New Roman"/>
          <w:b/>
          <w:bCs/>
          <w:noProof/>
          <w:sz w:val="24"/>
          <w:szCs w:val="24"/>
        </w:rPr>
      </w:pPr>
    </w:p>
    <w:p w:rsidR="009133AC" w:rsidRPr="0014404A" w:rsidRDefault="009133AC" w:rsidP="009133AC">
      <w:pPr>
        <w:spacing w:after="0" w:line="360" w:lineRule="auto"/>
        <w:jc w:val="both"/>
        <w:rPr>
          <w:rFonts w:ascii="Times New Roman" w:hAnsi="Times New Roman" w:cs="Times New Roman"/>
          <w:noProof/>
          <w:sz w:val="24"/>
          <w:szCs w:val="24"/>
        </w:rPr>
      </w:pPr>
      <w:r w:rsidRPr="0014404A">
        <w:rPr>
          <w:rFonts w:ascii="Times New Roman" w:hAnsi="Times New Roman" w:cs="Times New Roman"/>
          <w:noProof/>
          <w:sz w:val="24"/>
          <w:szCs w:val="24"/>
        </w:rPr>
        <w:t xml:space="preserve">IMF European Department (2019) </w:t>
      </w:r>
      <w:r w:rsidRPr="009133AC">
        <w:rPr>
          <w:rFonts w:ascii="Times New Roman" w:hAnsi="Times New Roman" w:cs="Times New Roman"/>
          <w:iCs/>
          <w:noProof/>
          <w:sz w:val="24"/>
          <w:szCs w:val="24"/>
        </w:rPr>
        <w:t>Reassessing the Role of State-Owned Enterprises in Central, Eastern, and Southeastern Europe.</w:t>
      </w:r>
      <w:r w:rsidRPr="0014404A">
        <w:rPr>
          <w:rFonts w:ascii="Times New Roman" w:hAnsi="Times New Roman" w:cs="Times New Roman"/>
          <w:noProof/>
          <w:sz w:val="24"/>
          <w:szCs w:val="24"/>
        </w:rPr>
        <w:t xml:space="preserve"> </w:t>
      </w:r>
      <w:r w:rsidRPr="009133AC">
        <w:rPr>
          <w:rFonts w:ascii="Times New Roman" w:hAnsi="Times New Roman" w:cs="Times New Roman"/>
          <w:i/>
          <w:iCs/>
          <w:noProof/>
          <w:sz w:val="24"/>
          <w:szCs w:val="24"/>
        </w:rPr>
        <w:t>Departmental Paper No.19/11</w:t>
      </w:r>
      <w:r>
        <w:rPr>
          <w:rFonts w:ascii="Times New Roman" w:hAnsi="Times New Roman" w:cs="Times New Roman"/>
          <w:noProof/>
          <w:sz w:val="24"/>
          <w:szCs w:val="24"/>
        </w:rPr>
        <w:t>.</w:t>
      </w:r>
    </w:p>
    <w:p w:rsidR="005F069E" w:rsidRDefault="005F069E" w:rsidP="00F46252">
      <w:pPr>
        <w:jc w:val="both"/>
        <w:rPr>
          <w:rFonts w:ascii="Times New Roman" w:hAnsi="Times New Roman" w:cs="Times New Roman"/>
          <w:b/>
          <w:bCs/>
          <w:noProof/>
          <w:sz w:val="24"/>
          <w:szCs w:val="24"/>
        </w:rPr>
      </w:pPr>
    </w:p>
    <w:p w:rsidR="00FF6C69" w:rsidRDefault="00FF6C69" w:rsidP="00F46252">
      <w:pPr>
        <w:jc w:val="both"/>
        <w:rPr>
          <w:rFonts w:ascii="Times New Roman" w:hAnsi="Times New Roman" w:cs="Times New Roman"/>
          <w:noProof/>
          <w:sz w:val="24"/>
          <w:szCs w:val="24"/>
        </w:rPr>
      </w:pPr>
      <w:r w:rsidRPr="00FF6C69">
        <w:rPr>
          <w:rFonts w:ascii="Times New Roman" w:hAnsi="Times New Roman" w:cs="Times New Roman"/>
          <w:noProof/>
          <w:sz w:val="24"/>
          <w:szCs w:val="24"/>
        </w:rPr>
        <w:t xml:space="preserve">Kotarski, K. </w:t>
      </w:r>
      <w:r>
        <w:rPr>
          <w:rFonts w:ascii="Times New Roman" w:hAnsi="Times New Roman" w:cs="Times New Roman"/>
          <w:noProof/>
          <w:sz w:val="24"/>
          <w:szCs w:val="24"/>
        </w:rPr>
        <w:t>and</w:t>
      </w:r>
      <w:r w:rsidRPr="00FF6C69">
        <w:rPr>
          <w:rFonts w:ascii="Times New Roman" w:hAnsi="Times New Roman" w:cs="Times New Roman"/>
          <w:noProof/>
          <w:sz w:val="24"/>
          <w:szCs w:val="24"/>
        </w:rPr>
        <w:t xml:space="preserve"> Petak, Z. (2020) When EU Political Convergence Fails: Corporate vs. Party State Capture in Croatia and Post-Socialist New Member States, </w:t>
      </w:r>
      <w:r w:rsidRPr="00FF6C69">
        <w:rPr>
          <w:rFonts w:ascii="Times New Roman" w:hAnsi="Times New Roman" w:cs="Times New Roman"/>
          <w:i/>
          <w:iCs/>
          <w:noProof/>
          <w:sz w:val="24"/>
          <w:szCs w:val="24"/>
        </w:rPr>
        <w:t xml:space="preserve">Europe-Asia Studies </w:t>
      </w:r>
      <w:r>
        <w:rPr>
          <w:rFonts w:ascii="Times New Roman" w:hAnsi="Times New Roman" w:cs="Times New Roman"/>
          <w:noProof/>
          <w:sz w:val="24"/>
          <w:szCs w:val="24"/>
        </w:rPr>
        <w:t>(forthcoming)</w:t>
      </w:r>
    </w:p>
    <w:p w:rsidR="00A826F9" w:rsidRDefault="00A826F9" w:rsidP="00F46252">
      <w:pPr>
        <w:jc w:val="both"/>
        <w:rPr>
          <w:rFonts w:ascii="Times New Roman" w:hAnsi="Times New Roman" w:cs="Times New Roman"/>
          <w:noProof/>
          <w:sz w:val="24"/>
          <w:szCs w:val="24"/>
        </w:rPr>
      </w:pPr>
    </w:p>
    <w:p w:rsidR="00A826F9" w:rsidRPr="00FF6C69" w:rsidRDefault="00A826F9" w:rsidP="00F46252">
      <w:pPr>
        <w:jc w:val="both"/>
        <w:rPr>
          <w:rFonts w:ascii="Times New Roman" w:hAnsi="Times New Roman" w:cs="Times New Roman"/>
          <w:noProof/>
          <w:sz w:val="24"/>
          <w:szCs w:val="24"/>
        </w:rPr>
      </w:pPr>
      <w:r>
        <w:rPr>
          <w:rFonts w:ascii="Times New Roman" w:hAnsi="Times New Roman" w:cs="Times New Roman"/>
          <w:noProof/>
          <w:sz w:val="24"/>
          <w:szCs w:val="24"/>
        </w:rPr>
        <w:t xml:space="preserve">Kotarski, K. (2019) </w:t>
      </w:r>
      <w:r w:rsidRPr="00A826F9">
        <w:rPr>
          <w:rFonts w:ascii="Times New Roman" w:hAnsi="Times New Roman" w:cs="Times New Roman"/>
          <w:i/>
          <w:iCs/>
          <w:noProof/>
          <w:sz w:val="24"/>
          <w:szCs w:val="24"/>
        </w:rPr>
        <w:t>The Political Economy of Euro Introduction to Croatia: A Golden Goose or a Stinging Viper?</w:t>
      </w:r>
      <w:r>
        <w:rPr>
          <w:rFonts w:ascii="Times New Roman" w:hAnsi="Times New Roman" w:cs="Times New Roman"/>
          <w:noProof/>
          <w:sz w:val="24"/>
          <w:szCs w:val="24"/>
        </w:rPr>
        <w:t xml:space="preserve">. Zagreb: </w:t>
      </w:r>
      <w:r w:rsidRPr="00A826F9">
        <w:rPr>
          <w:rFonts w:ascii="Times New Roman" w:hAnsi="Times New Roman" w:cs="Times New Roman"/>
          <w:noProof/>
          <w:sz w:val="24"/>
          <w:szCs w:val="24"/>
        </w:rPr>
        <w:t>Hanns-Seidel-Stiftung</w:t>
      </w:r>
    </w:p>
    <w:p w:rsidR="00FF6C69" w:rsidRDefault="00FF6C69" w:rsidP="00F46252">
      <w:pPr>
        <w:jc w:val="both"/>
        <w:rPr>
          <w:rFonts w:ascii="Times New Roman" w:hAnsi="Times New Roman" w:cs="Times New Roman"/>
          <w:noProof/>
          <w:sz w:val="24"/>
          <w:szCs w:val="24"/>
        </w:rPr>
      </w:pPr>
    </w:p>
    <w:p w:rsidR="006B052F" w:rsidRDefault="006B052F" w:rsidP="00F46252">
      <w:pPr>
        <w:jc w:val="both"/>
        <w:rPr>
          <w:rFonts w:ascii="Times New Roman" w:hAnsi="Times New Roman" w:cs="Times New Roman"/>
          <w:noProof/>
          <w:sz w:val="24"/>
          <w:szCs w:val="24"/>
        </w:rPr>
      </w:pPr>
      <w:r w:rsidRPr="006B052F">
        <w:rPr>
          <w:rFonts w:ascii="Times New Roman" w:hAnsi="Times New Roman" w:cs="Times New Roman"/>
          <w:noProof/>
          <w:sz w:val="24"/>
          <w:szCs w:val="24"/>
        </w:rPr>
        <w:t xml:space="preserve">Šonje, V. and Kotarski, K. (2020) Državna i javna poduzeća kao poluga klijentelističkog modela upravljanja državom, U: Kotarski, K. and Radman, G. (eds.). </w:t>
      </w:r>
      <w:r w:rsidRPr="006B052F">
        <w:rPr>
          <w:rFonts w:ascii="Times New Roman" w:hAnsi="Times New Roman" w:cs="Times New Roman"/>
          <w:i/>
          <w:iCs/>
          <w:noProof/>
          <w:sz w:val="24"/>
          <w:szCs w:val="24"/>
        </w:rPr>
        <w:t>Hrvatska u raljama klijentelizma</w:t>
      </w:r>
      <w:r w:rsidRPr="006B052F">
        <w:rPr>
          <w:rFonts w:ascii="Times New Roman" w:hAnsi="Times New Roman" w:cs="Times New Roman"/>
          <w:noProof/>
          <w:sz w:val="24"/>
          <w:szCs w:val="24"/>
        </w:rPr>
        <w:t xml:space="preserve"> (pp. 61 – 78). Centar za demokraciju i pravo: Miko Tripalo.</w:t>
      </w:r>
    </w:p>
    <w:p w:rsidR="003540E2" w:rsidRDefault="003540E2" w:rsidP="00F46252">
      <w:pPr>
        <w:jc w:val="both"/>
        <w:rPr>
          <w:rFonts w:ascii="Times New Roman" w:hAnsi="Times New Roman" w:cs="Times New Roman"/>
          <w:noProof/>
          <w:sz w:val="24"/>
          <w:szCs w:val="24"/>
        </w:rPr>
      </w:pPr>
    </w:p>
    <w:p w:rsidR="003540E2" w:rsidRPr="0014404A" w:rsidRDefault="003540E2" w:rsidP="003540E2">
      <w:pPr>
        <w:spacing w:after="0" w:line="360" w:lineRule="auto"/>
        <w:jc w:val="both"/>
        <w:rPr>
          <w:rFonts w:ascii="Times New Roman" w:hAnsi="Times New Roman" w:cs="Times New Roman"/>
          <w:noProof/>
          <w:sz w:val="24"/>
          <w:szCs w:val="24"/>
        </w:rPr>
      </w:pPr>
      <w:r w:rsidRPr="0014404A">
        <w:rPr>
          <w:rFonts w:ascii="Times New Roman" w:hAnsi="Times New Roman" w:cs="Times New Roman"/>
          <w:noProof/>
          <w:sz w:val="24"/>
          <w:szCs w:val="24"/>
        </w:rPr>
        <w:t>Šonje, V</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(2019) The Competitiveness of the Croatian Economy: A Comparison of Private and Public Sector Enterprisesu</w:t>
      </w:r>
      <w:r>
        <w:rPr>
          <w:rFonts w:ascii="Times New Roman" w:hAnsi="Times New Roman" w:cs="Times New Roman"/>
          <w:noProof/>
          <w:sz w:val="24"/>
          <w:szCs w:val="24"/>
        </w:rPr>
        <w:t>. In:</w:t>
      </w:r>
      <w:r w:rsidRPr="0014404A">
        <w:rPr>
          <w:rFonts w:ascii="Times New Roman" w:hAnsi="Times New Roman" w:cs="Times New Roman"/>
          <w:noProof/>
          <w:sz w:val="24"/>
          <w:szCs w:val="24"/>
        </w:rPr>
        <w:t xml:space="preserve"> Petak, Z</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i Kotarski, K</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eds</w:t>
      </w:r>
      <w:r w:rsidRPr="0014404A">
        <w:rPr>
          <w:rFonts w:ascii="Times New Roman" w:hAnsi="Times New Roman" w:cs="Times New Roman"/>
          <w:noProof/>
          <w:sz w:val="24"/>
          <w:szCs w:val="24"/>
        </w:rPr>
        <w:t>.)</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sidRPr="0014404A">
        <w:rPr>
          <w:rFonts w:ascii="Times New Roman" w:hAnsi="Times New Roman" w:cs="Times New Roman"/>
          <w:i/>
          <w:noProof/>
          <w:sz w:val="24"/>
          <w:szCs w:val="24"/>
        </w:rPr>
        <w:t>Policy- Making at the European Periphery: the Case of Croatia</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pp</w:t>
      </w:r>
      <w:r w:rsidRPr="0014404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4404A">
        <w:rPr>
          <w:rFonts w:ascii="Times New Roman" w:hAnsi="Times New Roman" w:cs="Times New Roman"/>
          <w:noProof/>
          <w:sz w:val="24"/>
          <w:szCs w:val="24"/>
        </w:rPr>
        <w:t>207-226). Cham: Palgrave Macmillan.</w:t>
      </w:r>
    </w:p>
    <w:p w:rsidR="00A826F9" w:rsidRDefault="00A826F9" w:rsidP="00F46252">
      <w:pPr>
        <w:jc w:val="both"/>
        <w:rPr>
          <w:rFonts w:ascii="Times New Roman" w:hAnsi="Times New Roman" w:cs="Times New Roman"/>
          <w:noProof/>
          <w:sz w:val="24"/>
          <w:szCs w:val="24"/>
        </w:rPr>
      </w:pPr>
    </w:p>
    <w:p w:rsidR="003C5DAF" w:rsidRDefault="003C5DAF" w:rsidP="003C5DAF">
      <w:pPr>
        <w:spacing w:after="0" w:line="360" w:lineRule="auto"/>
        <w:jc w:val="both"/>
        <w:rPr>
          <w:rFonts w:ascii="Times New Roman" w:hAnsi="Times New Roman" w:cs="Times New Roman"/>
          <w:noProof/>
          <w:sz w:val="24"/>
          <w:szCs w:val="24"/>
        </w:rPr>
      </w:pPr>
      <w:r w:rsidRPr="0014404A">
        <w:rPr>
          <w:rFonts w:ascii="Times New Roman" w:hAnsi="Times New Roman" w:cs="Times New Roman"/>
          <w:noProof/>
          <w:sz w:val="24"/>
          <w:szCs w:val="24"/>
        </w:rPr>
        <w:t>Tabak, P</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14404A">
        <w:rPr>
          <w:rFonts w:ascii="Times New Roman" w:hAnsi="Times New Roman" w:cs="Times New Roman"/>
          <w:noProof/>
          <w:sz w:val="24"/>
          <w:szCs w:val="24"/>
        </w:rPr>
        <w:t xml:space="preserve"> Zildović, E</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(2018) </w:t>
      </w:r>
      <w:r w:rsidRPr="0014404A">
        <w:rPr>
          <w:rFonts w:ascii="Times New Roman" w:hAnsi="Times New Roman" w:cs="Times New Roman"/>
          <w:i/>
          <w:noProof/>
          <w:sz w:val="24"/>
          <w:szCs w:val="24"/>
        </w:rPr>
        <w:t>Croatia: Background study on state-owned enterprises.Economic and financial performance of SOEs: Significant room for efficiency gains.</w:t>
      </w:r>
      <w:r w:rsidRPr="0014404A">
        <w:rPr>
          <w:rFonts w:ascii="Times New Roman" w:hAnsi="Times New Roman" w:cs="Times New Roman"/>
          <w:noProof/>
          <w:sz w:val="24"/>
          <w:szCs w:val="24"/>
        </w:rPr>
        <w:t xml:space="preserve"> European Bank for Reconstruction and Development</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London: United Kingdom.</w:t>
      </w:r>
    </w:p>
    <w:p w:rsidR="004C711D" w:rsidRDefault="004C711D" w:rsidP="003C5DAF">
      <w:pPr>
        <w:spacing w:after="0" w:line="360" w:lineRule="auto"/>
        <w:jc w:val="both"/>
        <w:rPr>
          <w:rFonts w:ascii="Times New Roman" w:hAnsi="Times New Roman" w:cs="Times New Roman"/>
          <w:noProof/>
          <w:sz w:val="24"/>
          <w:szCs w:val="24"/>
        </w:rPr>
      </w:pPr>
    </w:p>
    <w:p w:rsidR="004C711D" w:rsidRPr="0014404A" w:rsidRDefault="004C711D" w:rsidP="004C711D">
      <w:pPr>
        <w:spacing w:after="0" w:line="360" w:lineRule="auto"/>
        <w:jc w:val="both"/>
        <w:rPr>
          <w:rFonts w:ascii="Times New Roman" w:hAnsi="Times New Roman" w:cs="Times New Roman"/>
          <w:noProof/>
          <w:sz w:val="24"/>
          <w:szCs w:val="24"/>
        </w:rPr>
      </w:pPr>
      <w:r w:rsidRPr="0014404A">
        <w:rPr>
          <w:rFonts w:ascii="Times New Roman" w:hAnsi="Times New Roman" w:cs="Times New Roman"/>
          <w:noProof/>
          <w:sz w:val="24"/>
          <w:szCs w:val="24"/>
        </w:rPr>
        <w:t>Vidačak, I</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14404A">
        <w:rPr>
          <w:rFonts w:ascii="Times New Roman" w:hAnsi="Times New Roman" w:cs="Times New Roman"/>
          <w:noProof/>
          <w:sz w:val="24"/>
          <w:szCs w:val="24"/>
        </w:rPr>
        <w:t xml:space="preserve"> Kotarski, K</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(2019)  Interest Groups in the Policy-Making Process in Croatia</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14404A">
        <w:rPr>
          <w:rFonts w:ascii="Times New Roman" w:hAnsi="Times New Roman" w:cs="Times New Roman"/>
          <w:noProof/>
          <w:sz w:val="24"/>
          <w:szCs w:val="24"/>
        </w:rPr>
        <w:t>: Petak, Zd</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i Kotarski, K</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eds</w:t>
      </w:r>
      <w:r w:rsidRPr="0014404A">
        <w:rPr>
          <w:rFonts w:ascii="Times New Roman" w:hAnsi="Times New Roman" w:cs="Times New Roman"/>
          <w:noProof/>
          <w:sz w:val="24"/>
          <w:szCs w:val="24"/>
        </w:rPr>
        <w:t>.)</w:t>
      </w:r>
      <w:r>
        <w:rPr>
          <w:rFonts w:ascii="Times New Roman" w:hAnsi="Times New Roman" w:cs="Times New Roman"/>
          <w:noProof/>
          <w:sz w:val="24"/>
          <w:szCs w:val="24"/>
        </w:rPr>
        <w:t>.</w:t>
      </w:r>
      <w:r w:rsidRPr="0014404A">
        <w:rPr>
          <w:rFonts w:ascii="Times New Roman" w:hAnsi="Times New Roman" w:cs="Times New Roman"/>
          <w:noProof/>
          <w:sz w:val="24"/>
          <w:szCs w:val="24"/>
        </w:rPr>
        <w:t xml:space="preserve"> </w:t>
      </w:r>
      <w:r w:rsidRPr="0014404A">
        <w:rPr>
          <w:rFonts w:ascii="Times New Roman" w:hAnsi="Times New Roman" w:cs="Times New Roman"/>
          <w:i/>
          <w:noProof/>
          <w:sz w:val="24"/>
          <w:szCs w:val="24"/>
        </w:rPr>
        <w:t>Policy-Making at the European Periphery: the Case of Croatia</w:t>
      </w:r>
      <w:r w:rsidRPr="0014404A">
        <w:rPr>
          <w:rFonts w:ascii="Times New Roman" w:hAnsi="Times New Roman" w:cs="Times New Roman"/>
          <w:noProof/>
          <w:sz w:val="24"/>
          <w:szCs w:val="24"/>
        </w:rPr>
        <w:t xml:space="preserve"> (</w:t>
      </w:r>
      <w:r>
        <w:rPr>
          <w:rFonts w:ascii="Times New Roman" w:hAnsi="Times New Roman" w:cs="Times New Roman"/>
          <w:noProof/>
          <w:sz w:val="24"/>
          <w:szCs w:val="24"/>
        </w:rPr>
        <w:t>pp</w:t>
      </w:r>
      <w:r w:rsidRPr="0014404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4404A">
        <w:rPr>
          <w:rFonts w:ascii="Times New Roman" w:hAnsi="Times New Roman" w:cs="Times New Roman"/>
          <w:noProof/>
          <w:sz w:val="24"/>
          <w:szCs w:val="24"/>
        </w:rPr>
        <w:t>83-105). Cham: Palgrave Macmillan.</w:t>
      </w:r>
    </w:p>
    <w:p w:rsidR="004C711D" w:rsidRPr="0014404A" w:rsidRDefault="004C711D" w:rsidP="003C5DAF">
      <w:pPr>
        <w:spacing w:after="0" w:line="360" w:lineRule="auto"/>
        <w:jc w:val="both"/>
        <w:rPr>
          <w:rFonts w:ascii="Times New Roman" w:hAnsi="Times New Roman" w:cs="Times New Roman"/>
          <w:noProof/>
          <w:sz w:val="24"/>
          <w:szCs w:val="24"/>
        </w:rPr>
      </w:pPr>
    </w:p>
    <w:p w:rsidR="003C5DAF" w:rsidRDefault="003C5DAF" w:rsidP="00F46252">
      <w:pPr>
        <w:jc w:val="both"/>
        <w:rPr>
          <w:rFonts w:ascii="Times New Roman" w:hAnsi="Times New Roman" w:cs="Times New Roman"/>
          <w:noProof/>
          <w:sz w:val="24"/>
          <w:szCs w:val="24"/>
        </w:rPr>
      </w:pPr>
    </w:p>
    <w:p w:rsidR="00983A00" w:rsidRPr="00F46252" w:rsidRDefault="00983A00" w:rsidP="00F46252">
      <w:pPr>
        <w:jc w:val="both"/>
        <w:rPr>
          <w:rFonts w:ascii="Times New Roman" w:hAnsi="Times New Roman" w:cs="Times New Roman"/>
          <w:noProof/>
          <w:sz w:val="24"/>
          <w:szCs w:val="24"/>
        </w:rPr>
      </w:pPr>
    </w:p>
    <w:sectPr w:rsidR="00983A00" w:rsidRPr="00F46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7B"/>
    <w:rsid w:val="00002264"/>
    <w:rsid w:val="00002AC5"/>
    <w:rsid w:val="00006B3F"/>
    <w:rsid w:val="000078DC"/>
    <w:rsid w:val="00047FE4"/>
    <w:rsid w:val="0005413C"/>
    <w:rsid w:val="00090981"/>
    <w:rsid w:val="000D55B4"/>
    <w:rsid w:val="000E1855"/>
    <w:rsid w:val="00161338"/>
    <w:rsid w:val="001C398A"/>
    <w:rsid w:val="001D155F"/>
    <w:rsid w:val="001E7179"/>
    <w:rsid w:val="001E74DD"/>
    <w:rsid w:val="00205808"/>
    <w:rsid w:val="00206931"/>
    <w:rsid w:val="0022216C"/>
    <w:rsid w:val="002601B7"/>
    <w:rsid w:val="00270A4D"/>
    <w:rsid w:val="00281E1B"/>
    <w:rsid w:val="00282777"/>
    <w:rsid w:val="002878B2"/>
    <w:rsid w:val="002A4245"/>
    <w:rsid w:val="002A627C"/>
    <w:rsid w:val="002B38FF"/>
    <w:rsid w:val="0030569E"/>
    <w:rsid w:val="003171F3"/>
    <w:rsid w:val="003540E2"/>
    <w:rsid w:val="003553B4"/>
    <w:rsid w:val="0035720C"/>
    <w:rsid w:val="003C5DAF"/>
    <w:rsid w:val="00422BD4"/>
    <w:rsid w:val="004452B1"/>
    <w:rsid w:val="004478D6"/>
    <w:rsid w:val="004869C7"/>
    <w:rsid w:val="00487417"/>
    <w:rsid w:val="00492A3B"/>
    <w:rsid w:val="004C711D"/>
    <w:rsid w:val="005677A7"/>
    <w:rsid w:val="005713BD"/>
    <w:rsid w:val="00590E5B"/>
    <w:rsid w:val="005A0E12"/>
    <w:rsid w:val="005B573D"/>
    <w:rsid w:val="005F069E"/>
    <w:rsid w:val="006629B1"/>
    <w:rsid w:val="00670F60"/>
    <w:rsid w:val="006945EB"/>
    <w:rsid w:val="006A0CF8"/>
    <w:rsid w:val="006B052F"/>
    <w:rsid w:val="006C797B"/>
    <w:rsid w:val="006D191B"/>
    <w:rsid w:val="0071437D"/>
    <w:rsid w:val="00722631"/>
    <w:rsid w:val="0072312F"/>
    <w:rsid w:val="00752DCF"/>
    <w:rsid w:val="00761983"/>
    <w:rsid w:val="0077339C"/>
    <w:rsid w:val="007C6C6F"/>
    <w:rsid w:val="007F5DF4"/>
    <w:rsid w:val="00854802"/>
    <w:rsid w:val="008B113F"/>
    <w:rsid w:val="008B6ABC"/>
    <w:rsid w:val="008D25C0"/>
    <w:rsid w:val="008E05C6"/>
    <w:rsid w:val="008E76E0"/>
    <w:rsid w:val="00911B22"/>
    <w:rsid w:val="009133AC"/>
    <w:rsid w:val="00965647"/>
    <w:rsid w:val="00983A00"/>
    <w:rsid w:val="00987E34"/>
    <w:rsid w:val="009A199A"/>
    <w:rsid w:val="00A0055D"/>
    <w:rsid w:val="00A4171A"/>
    <w:rsid w:val="00A5208B"/>
    <w:rsid w:val="00A826F9"/>
    <w:rsid w:val="00AE1F6B"/>
    <w:rsid w:val="00AF21BF"/>
    <w:rsid w:val="00B1088D"/>
    <w:rsid w:val="00B1096C"/>
    <w:rsid w:val="00B318BE"/>
    <w:rsid w:val="00B47EFE"/>
    <w:rsid w:val="00BC2872"/>
    <w:rsid w:val="00C140CE"/>
    <w:rsid w:val="00C15F10"/>
    <w:rsid w:val="00C81579"/>
    <w:rsid w:val="00C96997"/>
    <w:rsid w:val="00CA0FC9"/>
    <w:rsid w:val="00CF5D03"/>
    <w:rsid w:val="00D05686"/>
    <w:rsid w:val="00D3020F"/>
    <w:rsid w:val="00DF0715"/>
    <w:rsid w:val="00E10E72"/>
    <w:rsid w:val="00E33147"/>
    <w:rsid w:val="00E5466C"/>
    <w:rsid w:val="00E85C05"/>
    <w:rsid w:val="00E85ED7"/>
    <w:rsid w:val="00EC2541"/>
    <w:rsid w:val="00F46252"/>
    <w:rsid w:val="00F47C53"/>
    <w:rsid w:val="00F61E69"/>
    <w:rsid w:val="00FF6C69"/>
    <w:rsid w:val="00FF73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BE00"/>
  <w15:chartTrackingRefBased/>
  <w15:docId w15:val="{691B2D8F-6D93-47DC-AE5A-8C61206C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A00"/>
    <w:rPr>
      <w:color w:val="0563C1" w:themeColor="hyperlink"/>
      <w:u w:val="single"/>
    </w:rPr>
  </w:style>
  <w:style w:type="character" w:styleId="UnresolvedMention">
    <w:name w:val="Unresolved Mention"/>
    <w:basedOn w:val="DefaultParagraphFont"/>
    <w:uiPriority w:val="99"/>
    <w:semiHidden/>
    <w:unhideWhenUsed/>
    <w:rsid w:val="00983A00"/>
    <w:rPr>
      <w:color w:val="605E5C"/>
      <w:shd w:val="clear" w:color="auto" w:fill="E1DFDD"/>
    </w:rPr>
  </w:style>
  <w:style w:type="paragraph" w:styleId="NormalWeb">
    <w:name w:val="Normal (Web)"/>
    <w:basedOn w:val="Normal"/>
    <w:uiPriority w:val="99"/>
    <w:semiHidden/>
    <w:unhideWhenUsed/>
    <w:rsid w:val="00590E5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a:pPr>
            <a:r>
              <a:rPr lang="hr-HR" sz="1400"/>
              <a:t>Number of inhabitants</a:t>
            </a:r>
            <a:r>
              <a:rPr lang="hr-HR" sz="1400" baseline="0"/>
              <a:t> per state-owned enterprise </a:t>
            </a:r>
            <a:endParaRPr lang="en-US" sz="1400"/>
          </a:p>
        </c:rich>
      </c:tx>
      <c:layout>
        <c:manualLayout>
          <c:xMode val="edge"/>
          <c:yMode val="edge"/>
          <c:x val="0.20591065879672199"/>
          <c:y val="3.2226877215597811E-2"/>
        </c:manualLayout>
      </c:layout>
      <c:overlay val="0"/>
    </c:title>
    <c:autoTitleDeleted val="0"/>
    <c:plotArea>
      <c:layout/>
      <c:barChart>
        <c:barDir val="col"/>
        <c:grouping val="stacked"/>
        <c:varyColors val="0"/>
        <c:ser>
          <c:idx val="0"/>
          <c:order val="0"/>
          <c:tx>
            <c:strRef>
              <c:f>'[Chart in Microsoft Word]Sheet1'!$B$20</c:f>
              <c:strCache>
                <c:ptCount val="1"/>
                <c:pt idx="0">
                  <c:v>Broj državnih poduzeća po glavi stanovnika</c:v>
                </c:pt>
              </c:strCache>
            </c:strRef>
          </c:tx>
          <c:invertIfNegative val="0"/>
          <c:dPt>
            <c:idx val="15"/>
            <c:invertIfNegative val="0"/>
            <c:bubble3D val="0"/>
            <c:spPr>
              <a:solidFill>
                <a:srgbClr val="FF0000"/>
              </a:solidFill>
            </c:spPr>
            <c:extLst>
              <c:ext xmlns:c16="http://schemas.microsoft.com/office/drawing/2014/chart" uri="{C3380CC4-5D6E-409C-BE32-E72D297353CC}">
                <c16:uniqueId val="{00000001-9341-48F6-B143-626E77A37787}"/>
              </c:ext>
            </c:extLst>
          </c:dPt>
          <c:dLbls>
            <c:dLbl>
              <c:idx val="4"/>
              <c:layout>
                <c:manualLayout>
                  <c:x val="-4.0421986745463479E-17"/>
                  <c:y val="-0.104268686868686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41-48F6-B143-626E77A37787}"/>
                </c:ext>
              </c:extLst>
            </c:dLbl>
            <c:dLbl>
              <c:idx val="6"/>
              <c:layout>
                <c:manualLayout>
                  <c:x val="0"/>
                  <c:y val="-5.77159090909092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41-48F6-B143-626E77A37787}"/>
                </c:ext>
              </c:extLst>
            </c:dLbl>
            <c:spPr>
              <a:noFill/>
              <a:ln>
                <a:noFill/>
              </a:ln>
              <a:effectLst/>
            </c:spPr>
            <c:txPr>
              <a:bodyPr wrap="square" lIns="38100" tIns="19050" rIns="38100" bIns="19050" anchor="ctr">
                <a:spAutoFit/>
              </a:bodyPr>
              <a:lstStyle/>
              <a:p>
                <a:pPr>
                  <a:defRPr b="1"/>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Word]Sheet1'!$A$21:$A$36</c:f>
              <c:strCache>
                <c:ptCount val="16"/>
                <c:pt idx="0">
                  <c:v>Lithuania</c:v>
                </c:pt>
                <c:pt idx="1">
                  <c:v>Romania</c:v>
                </c:pt>
                <c:pt idx="2">
                  <c:v>Lativa</c:v>
                </c:pt>
                <c:pt idx="3">
                  <c:v>Poland</c:v>
                </c:pt>
                <c:pt idx="4">
                  <c:v>Slovakia</c:v>
                </c:pt>
                <c:pt idx="5">
                  <c:v>Czech Republic</c:v>
                </c:pt>
                <c:pt idx="6">
                  <c:v>North Macedonia</c:v>
                </c:pt>
                <c:pt idx="7">
                  <c:v>Albania</c:v>
                </c:pt>
                <c:pt idx="8">
                  <c:v>Bulgaria</c:v>
                </c:pt>
                <c:pt idx="9">
                  <c:v>Estonia</c:v>
                </c:pt>
                <c:pt idx="10">
                  <c:v>Serbia</c:v>
                </c:pt>
                <c:pt idx="11">
                  <c:v>Bosnia and Hercegovina</c:v>
                </c:pt>
                <c:pt idx="12">
                  <c:v>Hungary</c:v>
                </c:pt>
                <c:pt idx="13">
                  <c:v>Moldavia</c:v>
                </c:pt>
                <c:pt idx="14">
                  <c:v>Slovenia</c:v>
                </c:pt>
                <c:pt idx="15">
                  <c:v>Croatia</c:v>
                </c:pt>
              </c:strCache>
            </c:strRef>
          </c:cat>
          <c:val>
            <c:numRef>
              <c:f>'[Chart in Microsoft Word]Sheet1'!$B$21:$B$36</c:f>
              <c:numCache>
                <c:formatCode>0</c:formatCode>
                <c:ptCount val="16"/>
                <c:pt idx="0">
                  <c:v>27890</c:v>
                </c:pt>
                <c:pt idx="1">
                  <c:v>21636.666666666668</c:v>
                </c:pt>
                <c:pt idx="2">
                  <c:v>19260</c:v>
                </c:pt>
                <c:pt idx="3">
                  <c:v>15191.2</c:v>
                </c:pt>
                <c:pt idx="4">
                  <c:v>10894</c:v>
                </c:pt>
                <c:pt idx="5">
                  <c:v>10625</c:v>
                </c:pt>
                <c:pt idx="6">
                  <c:v>10410</c:v>
                </c:pt>
                <c:pt idx="7">
                  <c:v>9553.3333333333339</c:v>
                </c:pt>
                <c:pt idx="8">
                  <c:v>7804.4444444444443</c:v>
                </c:pt>
                <c:pt idx="9">
                  <c:v>6600</c:v>
                </c:pt>
                <c:pt idx="10">
                  <c:v>6347.272727272727</c:v>
                </c:pt>
                <c:pt idx="11">
                  <c:v>6041.818181818182</c:v>
                </c:pt>
                <c:pt idx="12">
                  <c:v>5141.0526315789475</c:v>
                </c:pt>
                <c:pt idx="13">
                  <c:v>5064.2857142857147</c:v>
                </c:pt>
                <c:pt idx="14">
                  <c:v>4134</c:v>
                </c:pt>
                <c:pt idx="15">
                  <c:v>3717.2727272727275</c:v>
                </c:pt>
              </c:numCache>
            </c:numRef>
          </c:val>
          <c:extLst>
            <c:ext xmlns:c16="http://schemas.microsoft.com/office/drawing/2014/chart" uri="{C3380CC4-5D6E-409C-BE32-E72D297353CC}">
              <c16:uniqueId val="{00000004-9341-48F6-B143-626E77A37787}"/>
            </c:ext>
          </c:extLst>
        </c:ser>
        <c:dLbls>
          <c:showLegendKey val="0"/>
          <c:showVal val="0"/>
          <c:showCatName val="0"/>
          <c:showSerName val="0"/>
          <c:showPercent val="0"/>
          <c:showBubbleSize val="0"/>
        </c:dLbls>
        <c:gapWidth val="150"/>
        <c:overlap val="100"/>
        <c:axId val="275729792"/>
        <c:axId val="275731584"/>
      </c:barChart>
      <c:catAx>
        <c:axId val="275729792"/>
        <c:scaling>
          <c:orientation val="minMax"/>
        </c:scaling>
        <c:delete val="0"/>
        <c:axPos val="b"/>
        <c:numFmt formatCode="General" sourceLinked="0"/>
        <c:majorTickMark val="out"/>
        <c:minorTickMark val="none"/>
        <c:tickLblPos val="nextTo"/>
        <c:crossAx val="275731584"/>
        <c:crosses val="autoZero"/>
        <c:auto val="1"/>
        <c:lblAlgn val="ctr"/>
        <c:lblOffset val="100"/>
        <c:noMultiLvlLbl val="0"/>
      </c:catAx>
      <c:valAx>
        <c:axId val="275731584"/>
        <c:scaling>
          <c:orientation val="minMax"/>
        </c:scaling>
        <c:delete val="0"/>
        <c:axPos val="l"/>
        <c:majorGridlines/>
        <c:numFmt formatCode="0" sourceLinked="1"/>
        <c:majorTickMark val="out"/>
        <c:minorTickMark val="none"/>
        <c:tickLblPos val="nextTo"/>
        <c:crossAx val="2757297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hr-HR" b="1" baseline="0">
                <a:solidFill>
                  <a:srgbClr val="002060"/>
                </a:solidFill>
              </a:rPr>
              <a:t>Percentage of SOE employment as of total employment</a:t>
            </a:r>
            <a:endParaRPr lang="hr-HR" b="1">
              <a:solidFill>
                <a:srgbClr val="002060"/>
              </a:solidFill>
            </a:endParaRPr>
          </a:p>
        </c:rich>
      </c:tx>
      <c:layout>
        <c:manualLayout>
          <c:xMode val="edge"/>
          <c:yMode val="edge"/>
          <c:x val="0.13259944444444444"/>
          <c:y val="3.52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'[Chart 3 in Microsoft Word]2010-2014'!$A$2</c:f>
              <c:strCache>
                <c:ptCount val="1"/>
                <c:pt idx="0">
                  <c:v>Austria</c:v>
                </c:pt>
              </c:strCache>
            </c:strRef>
          </c:tx>
          <c:spPr>
            <a:ln w="28575" cap="rnd">
              <a:solidFill>
                <a:schemeClr val="accent1"/>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Word]2010-2014'!$B$2:$F$2</c:f>
              <c:numCache>
                <c:formatCode>0.00%</c:formatCode>
                <c:ptCount val="5"/>
                <c:pt idx="0">
                  <c:v>3.4932475257179081E-2</c:v>
                </c:pt>
                <c:pt idx="1">
                  <c:v>3.4397503600576092E-2</c:v>
                </c:pt>
                <c:pt idx="2">
                  <c:v>3.4433626217050581E-2</c:v>
                </c:pt>
                <c:pt idx="3">
                  <c:v>3.403772514536945E-2</c:v>
                </c:pt>
                <c:pt idx="4">
                  <c:v>3.3430947639686071E-2</c:v>
                </c:pt>
              </c:numCache>
            </c:numRef>
          </c:val>
          <c:smooth val="0"/>
          <c:extLst>
            <c:ext xmlns:c16="http://schemas.microsoft.com/office/drawing/2014/chart" uri="{C3380CC4-5D6E-409C-BE32-E72D297353CC}">
              <c16:uniqueId val="{00000000-4567-441C-9DB8-8BC9DB406702}"/>
            </c:ext>
          </c:extLst>
        </c:ser>
        <c:ser>
          <c:idx val="1"/>
          <c:order val="1"/>
          <c:tx>
            <c:strRef>
              <c:f>'[Chart 3 in Microsoft Word]2010-2014'!$A$3</c:f>
              <c:strCache>
                <c:ptCount val="1"/>
                <c:pt idx="0">
                  <c:v>Croatia</c:v>
                </c:pt>
              </c:strCache>
            </c:strRef>
          </c:tx>
          <c:spPr>
            <a:ln w="60325" cap="rnd">
              <a:solidFill>
                <a:schemeClr val="accent2"/>
              </a:solidFill>
              <a:prstDash val="sysDash"/>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Word]2010-2014'!$B$3:$F$3</c:f>
              <c:numCache>
                <c:formatCode>0.00%</c:formatCode>
                <c:ptCount val="5"/>
                <c:pt idx="0">
                  <c:v>0.12347651165542538</c:v>
                </c:pt>
                <c:pt idx="1">
                  <c:v>0.12751553941781033</c:v>
                </c:pt>
                <c:pt idx="2">
                  <c:v>0.13447417150884364</c:v>
                </c:pt>
                <c:pt idx="3">
                  <c:v>0.12493438320209974</c:v>
                </c:pt>
                <c:pt idx="4">
                  <c:v>0.12422558599987225</c:v>
                </c:pt>
              </c:numCache>
            </c:numRef>
          </c:val>
          <c:smooth val="0"/>
          <c:extLst>
            <c:ext xmlns:c16="http://schemas.microsoft.com/office/drawing/2014/chart" uri="{C3380CC4-5D6E-409C-BE32-E72D297353CC}">
              <c16:uniqueId val="{00000001-4567-441C-9DB8-8BC9DB406702}"/>
            </c:ext>
          </c:extLst>
        </c:ser>
        <c:ser>
          <c:idx val="2"/>
          <c:order val="2"/>
          <c:tx>
            <c:strRef>
              <c:f>'[Chart 3 in Microsoft Word]2010-2014'!$A$4</c:f>
              <c:strCache>
                <c:ptCount val="1"/>
                <c:pt idx="0">
                  <c:v>Czech Republic</c:v>
                </c:pt>
              </c:strCache>
            </c:strRef>
          </c:tx>
          <c:spPr>
            <a:ln w="28575" cap="rnd">
              <a:solidFill>
                <a:schemeClr val="accent3"/>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Word]2010-2014'!$B$4:$F$4</c:f>
              <c:numCache>
                <c:formatCode>0.00%</c:formatCode>
                <c:ptCount val="5"/>
                <c:pt idx="0">
                  <c:v>7.7016043034195125E-2</c:v>
                </c:pt>
                <c:pt idx="1">
                  <c:v>7.8281145902731511E-2</c:v>
                </c:pt>
                <c:pt idx="2">
                  <c:v>7.3584860916787218E-2</c:v>
                </c:pt>
                <c:pt idx="3">
                  <c:v>7.3999200771020887E-2</c:v>
                </c:pt>
                <c:pt idx="4">
                  <c:v>7.6163116591928245E-2</c:v>
                </c:pt>
              </c:numCache>
            </c:numRef>
          </c:val>
          <c:smooth val="0"/>
          <c:extLst>
            <c:ext xmlns:c16="http://schemas.microsoft.com/office/drawing/2014/chart" uri="{C3380CC4-5D6E-409C-BE32-E72D297353CC}">
              <c16:uniqueId val="{00000002-4567-441C-9DB8-8BC9DB406702}"/>
            </c:ext>
          </c:extLst>
        </c:ser>
        <c:ser>
          <c:idx val="3"/>
          <c:order val="3"/>
          <c:tx>
            <c:strRef>
              <c:f>'[Chart 3 in Microsoft Word]2010-2014'!$A$5</c:f>
              <c:strCache>
                <c:ptCount val="1"/>
                <c:pt idx="0">
                  <c:v>Estonia</c:v>
                </c:pt>
              </c:strCache>
            </c:strRef>
          </c:tx>
          <c:spPr>
            <a:ln w="28575" cap="rnd">
              <a:solidFill>
                <a:schemeClr val="accent4"/>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Word]2010-2014'!$B$5:$F$5</c:f>
              <c:numCache>
                <c:formatCode>0.00%</c:formatCode>
                <c:ptCount val="5"/>
                <c:pt idx="0">
                  <c:v>4.4509303174024073E-2</c:v>
                </c:pt>
                <c:pt idx="1">
                  <c:v>4.3321917808219181E-2</c:v>
                </c:pt>
                <c:pt idx="2">
                  <c:v>4.4459413944088921E-2</c:v>
                </c:pt>
                <c:pt idx="3">
                  <c:v>3.6772046589018302E-2</c:v>
                </c:pt>
                <c:pt idx="4">
                  <c:v>4.4569164740838565E-2</c:v>
                </c:pt>
              </c:numCache>
            </c:numRef>
          </c:val>
          <c:smooth val="0"/>
          <c:extLst>
            <c:ext xmlns:c16="http://schemas.microsoft.com/office/drawing/2014/chart" uri="{C3380CC4-5D6E-409C-BE32-E72D297353CC}">
              <c16:uniqueId val="{00000003-4567-441C-9DB8-8BC9DB406702}"/>
            </c:ext>
          </c:extLst>
        </c:ser>
        <c:ser>
          <c:idx val="4"/>
          <c:order val="4"/>
          <c:tx>
            <c:strRef>
              <c:f>'[Chart 3 in Microsoft Word]2010-2014'!$A$6</c:f>
              <c:strCache>
                <c:ptCount val="1"/>
                <c:pt idx="0">
                  <c:v>Greece</c:v>
                </c:pt>
              </c:strCache>
            </c:strRef>
          </c:tx>
          <c:spPr>
            <a:ln w="28575" cap="rnd">
              <a:solidFill>
                <a:schemeClr val="accent5"/>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Word]2010-2014'!$B$6:$F$6</c:f>
              <c:numCache>
                <c:formatCode>0.00%</c:formatCode>
                <c:ptCount val="5"/>
                <c:pt idx="0">
                  <c:v>0.13830722416319172</c:v>
                </c:pt>
                <c:pt idx="1">
                  <c:v>0.13888754182629359</c:v>
                </c:pt>
                <c:pt idx="2">
                  <c:v>0.14040590900560337</c:v>
                </c:pt>
                <c:pt idx="3">
                  <c:v>0.14002828854314003</c:v>
                </c:pt>
                <c:pt idx="4">
                  <c:v>0.13622107315419174</c:v>
                </c:pt>
              </c:numCache>
            </c:numRef>
          </c:val>
          <c:smooth val="0"/>
          <c:extLst>
            <c:ext xmlns:c16="http://schemas.microsoft.com/office/drawing/2014/chart" uri="{C3380CC4-5D6E-409C-BE32-E72D297353CC}">
              <c16:uniqueId val="{00000004-4567-441C-9DB8-8BC9DB406702}"/>
            </c:ext>
          </c:extLst>
        </c:ser>
        <c:ser>
          <c:idx val="5"/>
          <c:order val="5"/>
          <c:tx>
            <c:strRef>
              <c:f>'[Chart 3 in Microsoft Word]2010-2014'!$A$7</c:f>
              <c:strCache>
                <c:ptCount val="1"/>
                <c:pt idx="0">
                  <c:v>Hungary</c:v>
                </c:pt>
              </c:strCache>
            </c:strRef>
          </c:tx>
          <c:spPr>
            <a:ln w="28575" cap="rnd">
              <a:solidFill>
                <a:schemeClr val="accent6"/>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Word]2010-2014'!$B$7:$F$7</c:f>
              <c:numCache>
                <c:formatCode>0.00%</c:formatCode>
                <c:ptCount val="5"/>
                <c:pt idx="0">
                  <c:v>5.2405347994502062E-2</c:v>
                </c:pt>
                <c:pt idx="1">
                  <c:v>5.3487558708903767E-2</c:v>
                </c:pt>
                <c:pt idx="2">
                  <c:v>5.5062122648570432E-2</c:v>
                </c:pt>
                <c:pt idx="3">
                  <c:v>5.4301885859759258E-2</c:v>
                </c:pt>
                <c:pt idx="4">
                  <c:v>4.3175815883795508E-2</c:v>
                </c:pt>
              </c:numCache>
            </c:numRef>
          </c:val>
          <c:smooth val="0"/>
          <c:extLst>
            <c:ext xmlns:c16="http://schemas.microsoft.com/office/drawing/2014/chart" uri="{C3380CC4-5D6E-409C-BE32-E72D297353CC}">
              <c16:uniqueId val="{00000005-4567-441C-9DB8-8BC9DB406702}"/>
            </c:ext>
          </c:extLst>
        </c:ser>
        <c:ser>
          <c:idx val="6"/>
          <c:order val="6"/>
          <c:tx>
            <c:strRef>
              <c:f>'[Chart 3 in Microsoft Word]2010-2014'!$A$8</c:f>
              <c:strCache>
                <c:ptCount val="1"/>
                <c:pt idx="0">
                  <c:v>Latvia</c:v>
                </c:pt>
              </c:strCache>
            </c:strRef>
          </c:tx>
          <c:spPr>
            <a:ln w="28575" cap="rnd">
              <a:solidFill>
                <a:schemeClr val="accent1">
                  <a:lumMod val="60000"/>
                </a:schemeClr>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Word]2010-2014'!$B$8:$F$8</c:f>
              <c:numCache>
                <c:formatCode>0.00%</c:formatCode>
                <c:ptCount val="5"/>
                <c:pt idx="0">
                  <c:v>8.4147952443857338E-2</c:v>
                </c:pt>
                <c:pt idx="1">
                  <c:v>8.1473925793701399E-2</c:v>
                </c:pt>
                <c:pt idx="2">
                  <c:v>7.8976234003656304E-2</c:v>
                </c:pt>
                <c:pt idx="3">
                  <c:v>7.5888115189425231E-2</c:v>
                </c:pt>
                <c:pt idx="4">
                  <c:v>7.4320382685800962E-2</c:v>
                </c:pt>
              </c:numCache>
            </c:numRef>
          </c:val>
          <c:smooth val="0"/>
          <c:extLst>
            <c:ext xmlns:c16="http://schemas.microsoft.com/office/drawing/2014/chart" uri="{C3380CC4-5D6E-409C-BE32-E72D297353CC}">
              <c16:uniqueId val="{00000006-4567-441C-9DB8-8BC9DB406702}"/>
            </c:ext>
          </c:extLst>
        </c:ser>
        <c:ser>
          <c:idx val="7"/>
          <c:order val="7"/>
          <c:tx>
            <c:strRef>
              <c:f>'[Chart 3 in Microsoft Word]2010-2014'!$A$9</c:f>
              <c:strCache>
                <c:ptCount val="1"/>
                <c:pt idx="0">
                  <c:v>Lithuania</c:v>
                </c:pt>
              </c:strCache>
            </c:strRef>
          </c:tx>
          <c:spPr>
            <a:ln w="28575" cap="rnd">
              <a:solidFill>
                <a:schemeClr val="accent2">
                  <a:lumMod val="60000"/>
                </a:schemeClr>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Word]2010-2014'!$B$9:$F$9</c:f>
              <c:numCache>
                <c:formatCode>0.00%</c:formatCode>
                <c:ptCount val="5"/>
                <c:pt idx="0">
                  <c:v>6.3973679400475228E-2</c:v>
                </c:pt>
                <c:pt idx="1">
                  <c:v>6.041097098509568E-2</c:v>
                </c:pt>
                <c:pt idx="2">
                  <c:v>5.9345391903531441E-2</c:v>
                </c:pt>
                <c:pt idx="3">
                  <c:v>5.7523616734143058E-2</c:v>
                </c:pt>
                <c:pt idx="4">
                  <c:v>5.5203619909502261E-2</c:v>
                </c:pt>
              </c:numCache>
            </c:numRef>
          </c:val>
          <c:smooth val="0"/>
          <c:extLst>
            <c:ext xmlns:c16="http://schemas.microsoft.com/office/drawing/2014/chart" uri="{C3380CC4-5D6E-409C-BE32-E72D297353CC}">
              <c16:uniqueId val="{00000007-4567-441C-9DB8-8BC9DB406702}"/>
            </c:ext>
          </c:extLst>
        </c:ser>
        <c:ser>
          <c:idx val="8"/>
          <c:order val="8"/>
          <c:tx>
            <c:strRef>
              <c:f>'[Chart 3 in Microsoft Word]2010-2014'!$A$10</c:f>
              <c:strCache>
                <c:ptCount val="1"/>
                <c:pt idx="0">
                  <c:v>Slovakia</c:v>
                </c:pt>
              </c:strCache>
            </c:strRef>
          </c:tx>
          <c:spPr>
            <a:ln w="28575" cap="rnd">
              <a:solidFill>
                <a:schemeClr val="accent3">
                  <a:lumMod val="60000"/>
                </a:schemeClr>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Word]2010-2014'!$B$10:$F$10</c:f>
              <c:numCache>
                <c:formatCode>0.00%</c:formatCode>
                <c:ptCount val="5"/>
                <c:pt idx="0">
                  <c:v>4.4520232279472757E-2</c:v>
                </c:pt>
                <c:pt idx="1">
                  <c:v>3.4732599737354528E-2</c:v>
                </c:pt>
                <c:pt idx="2">
                  <c:v>3.2316466008871191E-2</c:v>
                </c:pt>
                <c:pt idx="3">
                  <c:v>3.001414040049263E-2</c:v>
                </c:pt>
                <c:pt idx="4">
                  <c:v>2.5864783410552834E-2</c:v>
                </c:pt>
              </c:numCache>
            </c:numRef>
          </c:val>
          <c:smooth val="0"/>
          <c:extLst>
            <c:ext xmlns:c16="http://schemas.microsoft.com/office/drawing/2014/chart" uri="{C3380CC4-5D6E-409C-BE32-E72D297353CC}">
              <c16:uniqueId val="{00000008-4567-441C-9DB8-8BC9DB406702}"/>
            </c:ext>
          </c:extLst>
        </c:ser>
        <c:ser>
          <c:idx val="9"/>
          <c:order val="9"/>
          <c:tx>
            <c:strRef>
              <c:f>'[Chart 3 in Microsoft Word]2010-2014'!$A$11</c:f>
              <c:strCache>
                <c:ptCount val="1"/>
                <c:pt idx="0">
                  <c:v>Slovenia</c:v>
                </c:pt>
              </c:strCache>
            </c:strRef>
          </c:tx>
          <c:spPr>
            <a:ln w="28575" cap="rnd">
              <a:solidFill>
                <a:schemeClr val="accent4">
                  <a:lumMod val="60000"/>
                </a:schemeClr>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Word]2010-2014'!$B$11:$F$11</c:f>
              <c:numCache>
                <c:formatCode>0.00%</c:formatCode>
                <c:ptCount val="5"/>
                <c:pt idx="0">
                  <c:v>9.2918192918192907E-2</c:v>
                </c:pt>
                <c:pt idx="1">
                  <c:v>8.5158448550104002E-2</c:v>
                </c:pt>
                <c:pt idx="2">
                  <c:v>8.8157396897465018E-2</c:v>
                </c:pt>
                <c:pt idx="3">
                  <c:v>8.5302666498167576E-2</c:v>
                </c:pt>
                <c:pt idx="4">
                  <c:v>8.4625000000000006E-2</c:v>
                </c:pt>
              </c:numCache>
            </c:numRef>
          </c:val>
          <c:smooth val="0"/>
          <c:extLst>
            <c:ext xmlns:c16="http://schemas.microsoft.com/office/drawing/2014/chart" uri="{C3380CC4-5D6E-409C-BE32-E72D297353CC}">
              <c16:uniqueId val="{00000009-4567-441C-9DB8-8BC9DB406702}"/>
            </c:ext>
          </c:extLst>
        </c:ser>
        <c:ser>
          <c:idx val="10"/>
          <c:order val="10"/>
          <c:tx>
            <c:strRef>
              <c:f>'[Chart 3 in Microsoft Word]2010-2014'!$A$12</c:f>
              <c:strCache>
                <c:ptCount val="1"/>
              </c:strCache>
            </c:strRef>
          </c:tx>
          <c:spPr>
            <a:ln w="28575" cap="rnd">
              <a:solidFill>
                <a:schemeClr val="accent5">
                  <a:lumMod val="60000"/>
                </a:schemeClr>
              </a:solidFill>
              <a:round/>
            </a:ln>
            <a:effectLst/>
          </c:spPr>
          <c:marker>
            <c:symbol val="none"/>
          </c:marker>
          <c:cat>
            <c:numRef>
              <c:f>'[Chart 3 in Microsoft Word]2010-2014'!$B$1:$F$1</c:f>
              <c:numCache>
                <c:formatCode>General</c:formatCode>
                <c:ptCount val="5"/>
                <c:pt idx="0">
                  <c:v>2010</c:v>
                </c:pt>
                <c:pt idx="1">
                  <c:v>2011</c:v>
                </c:pt>
                <c:pt idx="2">
                  <c:v>2012</c:v>
                </c:pt>
                <c:pt idx="3">
                  <c:v>2013</c:v>
                </c:pt>
                <c:pt idx="4">
                  <c:v>2014</c:v>
                </c:pt>
              </c:numCache>
            </c:numRef>
          </c:cat>
          <c:val>
            <c:numRef>
              <c:f>'[Chart 3 in Microsoft Word]2010-2014'!$B$12:$F$12</c:f>
              <c:numCache>
                <c:formatCode>General</c:formatCode>
                <c:ptCount val="5"/>
              </c:numCache>
            </c:numRef>
          </c:val>
          <c:smooth val="0"/>
          <c:extLst>
            <c:ext xmlns:c16="http://schemas.microsoft.com/office/drawing/2014/chart" uri="{C3380CC4-5D6E-409C-BE32-E72D297353CC}">
              <c16:uniqueId val="{0000000A-4567-441C-9DB8-8BC9DB406702}"/>
            </c:ext>
          </c:extLst>
        </c:ser>
        <c:dLbls>
          <c:showLegendKey val="0"/>
          <c:showVal val="0"/>
          <c:showCatName val="0"/>
          <c:showSerName val="0"/>
          <c:showPercent val="0"/>
          <c:showBubbleSize val="0"/>
        </c:dLbls>
        <c:smooth val="0"/>
        <c:axId val="412412096"/>
        <c:axId val="412407832"/>
      </c:lineChart>
      <c:catAx>
        <c:axId val="41241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2407832"/>
        <c:crosses val="autoZero"/>
        <c:auto val="1"/>
        <c:lblAlgn val="ctr"/>
        <c:lblOffset val="100"/>
        <c:noMultiLvlLbl val="0"/>
      </c:catAx>
      <c:valAx>
        <c:axId val="412407832"/>
        <c:scaling>
          <c:orientation val="minMax"/>
          <c:max val="0.15000000000000002"/>
          <c:min val="2.0000000000000004E-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2412096"/>
        <c:crosses val="autoZero"/>
        <c:crossBetween val="between"/>
      </c:valAx>
      <c:spPr>
        <a:noFill/>
        <a:ln>
          <a:noFill/>
        </a:ln>
        <a:effectLst/>
      </c:spPr>
    </c:plotArea>
    <c:legend>
      <c:legendPos val="b"/>
      <c:layout>
        <c:manualLayout>
          <c:xMode val="edge"/>
          <c:yMode val="edge"/>
          <c:x val="0.1128953125"/>
          <c:y val="0.80288787878787882"/>
          <c:w val="0.78064185185185164"/>
          <c:h val="0.17106361111111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hr-HR" b="1">
                <a:solidFill>
                  <a:srgbClr val="002060"/>
                </a:solidFill>
                <a:latin typeface="Times New Roman" panose="02020603050405020304" pitchFamily="18" charset="0"/>
                <a:cs typeface="Times New Roman" panose="02020603050405020304" pitchFamily="18" charset="0"/>
              </a:rPr>
              <a:t>β-convergence or real</a:t>
            </a:r>
            <a:r>
              <a:rPr lang="hr-HR" b="1" baseline="0">
                <a:solidFill>
                  <a:srgbClr val="002060"/>
                </a:solidFill>
                <a:latin typeface="Times New Roman" panose="02020603050405020304" pitchFamily="18" charset="0"/>
                <a:cs typeface="Times New Roman" panose="02020603050405020304" pitchFamily="18" charset="0"/>
              </a:rPr>
              <a:t> in EU member states</a:t>
            </a:r>
            <a:endParaRPr lang="en-US" b="1">
              <a:solidFill>
                <a:srgbClr val="002060"/>
              </a:solidFill>
            </a:endParaRPr>
          </a:p>
        </c:rich>
      </c:tx>
      <c:layout>
        <c:manualLayout>
          <c:xMode val="edge"/>
          <c:yMode val="edge"/>
          <c:x val="0.27069009737399047"/>
          <c:y val="2.900418949403802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sr-Latn-RS"/>
        </a:p>
      </c:txPr>
    </c:title>
    <c:autoTitleDeleted val="0"/>
    <c:plotArea>
      <c:layout/>
      <c:scatterChart>
        <c:scatterStyle val="lineMarker"/>
        <c:varyColors val="0"/>
        <c:ser>
          <c:idx val="0"/>
          <c:order val="0"/>
          <c:tx>
            <c:strRef>
              <c:f>'[BETA convergence.xlsx]Sheet1'!$C$1</c:f>
              <c:strCache>
                <c:ptCount val="1"/>
                <c:pt idx="0">
                  <c:v>GDP per capita pps as of EU %, change 2015-2000</c:v>
                </c:pt>
              </c:strCache>
            </c:strRef>
          </c:tx>
          <c:spPr>
            <a:ln w="19050" cap="rnd">
              <a:noFill/>
              <a:round/>
            </a:ln>
            <a:effectLst/>
          </c:spPr>
          <c:marker>
            <c:symbol val="circle"/>
            <c:size val="5"/>
            <c:spPr>
              <a:solidFill>
                <a:schemeClr val="accent1"/>
              </a:solidFill>
              <a:ln w="9525">
                <a:solidFill>
                  <a:schemeClr val="accent1"/>
                </a:solidFill>
              </a:ln>
              <a:effectLst/>
            </c:spPr>
          </c:marker>
          <c:dPt>
            <c:idx val="4"/>
            <c:marker>
              <c:symbol val="circle"/>
              <c:size val="5"/>
              <c:spPr>
                <a:solidFill>
                  <a:schemeClr val="accent1"/>
                </a:solidFill>
                <a:ln w="9525">
                  <a:solidFill>
                    <a:schemeClr val="accent1"/>
                  </a:solidFill>
                </a:ln>
                <a:effectLst>
                  <a:glow rad="127000">
                    <a:srgbClr val="FF0000"/>
                  </a:glow>
                </a:effectLst>
              </c:spPr>
            </c:marker>
            <c:bubble3D val="0"/>
            <c:spPr>
              <a:ln w="19050" cap="rnd">
                <a:noFill/>
                <a:round/>
              </a:ln>
              <a:effectLst>
                <a:glow rad="127000">
                  <a:srgbClr val="FF0000"/>
                </a:glow>
              </a:effectLst>
            </c:spPr>
            <c:extLst>
              <c:ext xmlns:c16="http://schemas.microsoft.com/office/drawing/2014/chart" uri="{C3380CC4-5D6E-409C-BE32-E72D297353CC}">
                <c16:uniqueId val="{00000001-E495-49A0-A20C-1F80149F0BAC}"/>
              </c:ext>
            </c:extLst>
          </c:dPt>
          <c:dLbls>
            <c:dLbl>
              <c:idx val="0"/>
              <c:tx>
                <c:rich>
                  <a:bodyPr/>
                  <a:lstStyle/>
                  <a:p>
                    <a:fld id="{D9CA0C79-4216-4937-A00A-4A1C7402B21D}" type="CELLRANGE">
                      <a:rPr lang="en-US"/>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495-49A0-A20C-1F80149F0BAC}"/>
                </c:ext>
              </c:extLst>
            </c:dLbl>
            <c:dLbl>
              <c:idx val="1"/>
              <c:tx>
                <c:rich>
                  <a:bodyPr/>
                  <a:lstStyle/>
                  <a:p>
                    <a:fld id="{CB4CC7B5-0C0B-4459-B763-7E7470C03431}"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495-49A0-A20C-1F80149F0BAC}"/>
                </c:ext>
              </c:extLst>
            </c:dLbl>
            <c:dLbl>
              <c:idx val="2"/>
              <c:tx>
                <c:rich>
                  <a:bodyPr/>
                  <a:lstStyle/>
                  <a:p>
                    <a:fld id="{6EA354DC-A02F-43D2-8B49-8275D4A2B1E8}"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495-49A0-A20C-1F80149F0BAC}"/>
                </c:ext>
              </c:extLst>
            </c:dLbl>
            <c:dLbl>
              <c:idx val="3"/>
              <c:tx>
                <c:rich>
                  <a:bodyPr/>
                  <a:lstStyle/>
                  <a:p>
                    <a:fld id="{1C60CDFE-7016-4191-8387-D53AF850F6FB}"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495-49A0-A20C-1F80149F0BAC}"/>
                </c:ext>
              </c:extLst>
            </c:dLbl>
            <c:dLbl>
              <c:idx val="4"/>
              <c:tx>
                <c:rich>
                  <a:bodyPr/>
                  <a:lstStyle/>
                  <a:p>
                    <a:fld id="{2995E903-B9FD-485E-A31A-9572CD6562D2}"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495-49A0-A20C-1F80149F0BAC}"/>
                </c:ext>
              </c:extLst>
            </c:dLbl>
            <c:dLbl>
              <c:idx val="5"/>
              <c:tx>
                <c:rich>
                  <a:bodyPr/>
                  <a:lstStyle/>
                  <a:p>
                    <a:fld id="{DEBB6411-639A-4B69-830A-EBB36541F1BF}"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495-49A0-A20C-1F80149F0BAC}"/>
                </c:ext>
              </c:extLst>
            </c:dLbl>
            <c:dLbl>
              <c:idx val="6"/>
              <c:tx>
                <c:rich>
                  <a:bodyPr/>
                  <a:lstStyle/>
                  <a:p>
                    <a:fld id="{CA7399C3-50EE-4D3A-97C1-CCB49DC359B8}"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495-49A0-A20C-1F80149F0BAC}"/>
                </c:ext>
              </c:extLst>
            </c:dLbl>
            <c:dLbl>
              <c:idx val="7"/>
              <c:tx>
                <c:rich>
                  <a:bodyPr/>
                  <a:lstStyle/>
                  <a:p>
                    <a:fld id="{C611B43C-164F-4FBB-B416-7C166D1A3235}"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495-49A0-A20C-1F80149F0BAC}"/>
                </c:ext>
              </c:extLst>
            </c:dLbl>
            <c:dLbl>
              <c:idx val="8"/>
              <c:tx>
                <c:rich>
                  <a:bodyPr/>
                  <a:lstStyle/>
                  <a:p>
                    <a:fld id="{9F266834-FD87-4F33-B1B4-83C4B18B655B}"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495-49A0-A20C-1F80149F0BAC}"/>
                </c:ext>
              </c:extLst>
            </c:dLbl>
            <c:dLbl>
              <c:idx val="9"/>
              <c:tx>
                <c:rich>
                  <a:bodyPr/>
                  <a:lstStyle/>
                  <a:p>
                    <a:fld id="{C59EA8D1-7358-4639-815C-7CD71B8EC6AE}"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495-49A0-A20C-1F80149F0BAC}"/>
                </c:ext>
              </c:extLst>
            </c:dLbl>
            <c:dLbl>
              <c:idx val="10"/>
              <c:tx>
                <c:rich>
                  <a:bodyPr/>
                  <a:lstStyle/>
                  <a:p>
                    <a:fld id="{2656B258-2AB3-4897-9B7E-A94159806522}"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495-49A0-A20C-1F80149F0BAC}"/>
                </c:ext>
              </c:extLst>
            </c:dLbl>
            <c:dLbl>
              <c:idx val="11"/>
              <c:tx>
                <c:rich>
                  <a:bodyPr/>
                  <a:lstStyle/>
                  <a:p>
                    <a:fld id="{3A50CD79-48FD-45F3-AAC9-6C17ABA9E96B}"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495-49A0-A20C-1F80149F0BAC}"/>
                </c:ext>
              </c:extLst>
            </c:dLbl>
            <c:dLbl>
              <c:idx val="12"/>
              <c:tx>
                <c:rich>
                  <a:bodyPr/>
                  <a:lstStyle/>
                  <a:p>
                    <a:fld id="{19AD09E9-262A-45DB-9FDE-DE3F1CD8B437}"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495-49A0-A20C-1F80149F0BAC}"/>
                </c:ext>
              </c:extLst>
            </c:dLbl>
            <c:dLbl>
              <c:idx val="13"/>
              <c:tx>
                <c:rich>
                  <a:bodyPr/>
                  <a:lstStyle/>
                  <a:p>
                    <a:fld id="{943BC379-97E2-48BE-B442-75217B12F4DA}"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495-49A0-A20C-1F80149F0BAC}"/>
                </c:ext>
              </c:extLst>
            </c:dLbl>
            <c:dLbl>
              <c:idx val="14"/>
              <c:tx>
                <c:rich>
                  <a:bodyPr/>
                  <a:lstStyle/>
                  <a:p>
                    <a:fld id="{44FEAEB9-7AC9-4F72-A6EA-F78967A27F7D}"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495-49A0-A20C-1F80149F0BAC}"/>
                </c:ext>
              </c:extLst>
            </c:dLbl>
            <c:dLbl>
              <c:idx val="15"/>
              <c:tx>
                <c:rich>
                  <a:bodyPr/>
                  <a:lstStyle/>
                  <a:p>
                    <a:fld id="{E91C92C7-5C83-4C45-9995-343336DDA374}"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495-49A0-A20C-1F80149F0BAC}"/>
                </c:ext>
              </c:extLst>
            </c:dLbl>
            <c:dLbl>
              <c:idx val="16"/>
              <c:tx>
                <c:rich>
                  <a:bodyPr/>
                  <a:lstStyle/>
                  <a:p>
                    <a:fld id="{3F1724CF-79AF-48A9-8E45-358AB37EA37D}"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495-49A0-A20C-1F80149F0BAC}"/>
                </c:ext>
              </c:extLst>
            </c:dLbl>
            <c:dLbl>
              <c:idx val="17"/>
              <c:tx>
                <c:rich>
                  <a:bodyPr/>
                  <a:lstStyle/>
                  <a:p>
                    <a:fld id="{E232999F-DFBC-4227-99E4-12B367BB7393}"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495-49A0-A20C-1F80149F0BAC}"/>
                </c:ext>
              </c:extLst>
            </c:dLbl>
            <c:dLbl>
              <c:idx val="18"/>
              <c:tx>
                <c:rich>
                  <a:bodyPr/>
                  <a:lstStyle/>
                  <a:p>
                    <a:fld id="{2DA1CFEB-79D1-4F49-B7E7-B956BCD65A2B}"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495-49A0-A20C-1F80149F0BAC}"/>
                </c:ext>
              </c:extLst>
            </c:dLbl>
            <c:dLbl>
              <c:idx val="19"/>
              <c:layout>
                <c:manualLayout>
                  <c:x val="-1.3885069444444445E-2"/>
                  <c:y val="-2.4029040404040403E-2"/>
                </c:manualLayout>
              </c:layout>
              <c:tx>
                <c:rich>
                  <a:bodyPr/>
                  <a:lstStyle/>
                  <a:p>
                    <a:fld id="{DB2E3A7F-02BD-41AB-87BE-A542D94762EB}"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E495-49A0-A20C-1F80149F0BAC}"/>
                </c:ext>
              </c:extLst>
            </c:dLbl>
            <c:dLbl>
              <c:idx val="20"/>
              <c:layout>
                <c:manualLayout>
                  <c:x val="-2.5940277777777777E-2"/>
                  <c:y val="4.9733585858585859E-2"/>
                </c:manualLayout>
              </c:layout>
              <c:tx>
                <c:rich>
                  <a:bodyPr/>
                  <a:lstStyle/>
                  <a:p>
                    <a:fld id="{569FEF7D-06B0-422B-8CF0-1684F72A0415}"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E495-49A0-A20C-1F80149F0BAC}"/>
                </c:ext>
              </c:extLst>
            </c:dLbl>
            <c:dLbl>
              <c:idx val="21"/>
              <c:layout>
                <c:manualLayout>
                  <c:x val="-4.8600694444444606E-2"/>
                  <c:y val="1.4455808080808081E-2"/>
                </c:manualLayout>
              </c:layout>
              <c:tx>
                <c:rich>
                  <a:bodyPr/>
                  <a:lstStyle/>
                  <a:p>
                    <a:fld id="{42A1FF11-DCFA-4605-B45D-BFB643BB1DE2}"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E495-49A0-A20C-1F80149F0BAC}"/>
                </c:ext>
              </c:extLst>
            </c:dLbl>
            <c:dLbl>
              <c:idx val="22"/>
              <c:layout>
                <c:manualLayout>
                  <c:x val="2.8607638888888888E-3"/>
                  <c:y val="2.4077020202020086E-2"/>
                </c:manualLayout>
              </c:layout>
              <c:tx>
                <c:rich>
                  <a:bodyPr/>
                  <a:lstStyle/>
                  <a:p>
                    <a:fld id="{30AAA54E-E261-4AFC-9665-A8ADFDA38558}"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E495-49A0-A20C-1F80149F0BAC}"/>
                </c:ext>
              </c:extLst>
            </c:dLbl>
            <c:dLbl>
              <c:idx val="23"/>
              <c:layout>
                <c:manualLayout>
                  <c:x val="-2.8982986111111272E-2"/>
                  <c:y val="-3.0443181818181817E-2"/>
                </c:manualLayout>
              </c:layout>
              <c:tx>
                <c:rich>
                  <a:bodyPr/>
                  <a:lstStyle/>
                  <a:p>
                    <a:fld id="{5F12B3A7-070F-447C-B60C-903E51453E6D}"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E495-49A0-A20C-1F80149F0BAC}"/>
                </c:ext>
              </c:extLst>
            </c:dLbl>
            <c:dLbl>
              <c:idx val="24"/>
              <c:tx>
                <c:rich>
                  <a:bodyPr/>
                  <a:lstStyle/>
                  <a:p>
                    <a:fld id="{542DA169-437B-4818-B8C0-499CE68B2643}"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E495-49A0-A20C-1F80149F0BAC}"/>
                </c:ext>
              </c:extLst>
            </c:dLbl>
            <c:dLbl>
              <c:idx val="25"/>
              <c:tx>
                <c:rich>
                  <a:bodyPr/>
                  <a:lstStyle/>
                  <a:p>
                    <a:fld id="{B25DAC2E-45D6-4F1A-AD22-675F98C64302}" type="CELLRANGE">
                      <a:rPr lang="hr-HR"/>
                      <a:pPr/>
                      <a:t>[CELLRANGE]</a:t>
                    </a:fld>
                    <a:endParaRPr lang="hr-H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E495-49A0-A20C-1F80149F0BAC}"/>
                </c:ext>
              </c:extLst>
            </c:dLbl>
            <c:dLbl>
              <c:idx val="26"/>
              <c:layout>
                <c:manualLayout>
                  <c:x val="-5.2938715277777777E-2"/>
                  <c:y val="3.3698232323232324E-2"/>
                </c:manualLayout>
              </c:layout>
              <c:tx>
                <c:rich>
                  <a:bodyPr/>
                  <a:lstStyle/>
                  <a:p>
                    <a:fld id="{315D55DA-1EC1-47D9-88BA-1ED40B4E0942}" type="CELLRANGE">
                      <a:rPr lang="en-US"/>
                      <a:pPr/>
                      <a:t>[CELLRANGE]</a:t>
                    </a:fld>
                    <a:endParaRPr lang="hr-H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E495-49A0-A20C-1F80149F0B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8.3821180555555558E-3"/>
                  <c:y val="0.1506893939393939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trendlineLbl>
          </c:trendline>
          <c:xVal>
            <c:numRef>
              <c:f>'[BETA convergence.xlsx]Sheet1'!$B$2:$B$28</c:f>
              <c:numCache>
                <c:formatCode>General</c:formatCode>
                <c:ptCount val="27"/>
                <c:pt idx="0">
                  <c:v>39</c:v>
                </c:pt>
                <c:pt idx="1">
                  <c:v>26</c:v>
                </c:pt>
                <c:pt idx="2">
                  <c:v>42</c:v>
                </c:pt>
                <c:pt idx="3">
                  <c:v>28</c:v>
                </c:pt>
                <c:pt idx="4">
                  <c:v>48</c:v>
                </c:pt>
                <c:pt idx="5">
                  <c:v>52</c:v>
                </c:pt>
                <c:pt idx="6">
                  <c:v>80</c:v>
                </c:pt>
                <c:pt idx="7">
                  <c:v>38</c:v>
                </c:pt>
                <c:pt idx="8">
                  <c:v>47</c:v>
                </c:pt>
                <c:pt idx="9">
                  <c:v>50</c:v>
                </c:pt>
                <c:pt idx="10">
                  <c:v>71</c:v>
                </c:pt>
                <c:pt idx="11">
                  <c:v>81</c:v>
                </c:pt>
                <c:pt idx="12">
                  <c:v>84</c:v>
                </c:pt>
                <c:pt idx="13">
                  <c:v>86</c:v>
                </c:pt>
                <c:pt idx="14">
                  <c:v>94</c:v>
                </c:pt>
                <c:pt idx="15">
                  <c:v>95</c:v>
                </c:pt>
                <c:pt idx="16">
                  <c:v>120</c:v>
                </c:pt>
                <c:pt idx="17">
                  <c:v>133</c:v>
                </c:pt>
                <c:pt idx="18">
                  <c:v>127</c:v>
                </c:pt>
                <c:pt idx="19">
                  <c:v>130</c:v>
                </c:pt>
                <c:pt idx="20">
                  <c:v>129</c:v>
                </c:pt>
                <c:pt idx="21">
                  <c:v>140</c:v>
                </c:pt>
                <c:pt idx="22">
                  <c:v>118</c:v>
                </c:pt>
                <c:pt idx="23">
                  <c:v>124</c:v>
                </c:pt>
                <c:pt idx="24">
                  <c:v>115</c:v>
                </c:pt>
                <c:pt idx="25">
                  <c:v>122</c:v>
                </c:pt>
                <c:pt idx="26">
                  <c:v>116</c:v>
                </c:pt>
              </c:numCache>
            </c:numRef>
          </c:xVal>
          <c:yVal>
            <c:numRef>
              <c:f>'[BETA convergence.xlsx]Sheet1'!$C$2:$C$28</c:f>
              <c:numCache>
                <c:formatCode>General</c:formatCode>
                <c:ptCount val="27"/>
                <c:pt idx="0">
                  <c:v>30</c:v>
                </c:pt>
                <c:pt idx="1">
                  <c:v>43</c:v>
                </c:pt>
                <c:pt idx="2">
                  <c:v>42</c:v>
                </c:pt>
                <c:pt idx="3">
                  <c:v>25</c:v>
                </c:pt>
                <c:pt idx="4">
                  <c:v>17</c:v>
                </c:pt>
                <c:pt idx="5">
                  <c:v>21</c:v>
                </c:pt>
                <c:pt idx="6">
                  <c:v>8</c:v>
                </c:pt>
                <c:pt idx="7">
                  <c:v>44</c:v>
                </c:pt>
                <c:pt idx="8">
                  <c:v>26</c:v>
                </c:pt>
                <c:pt idx="9">
                  <c:v>24</c:v>
                </c:pt>
                <c:pt idx="10">
                  <c:v>21</c:v>
                </c:pt>
                <c:pt idx="11">
                  <c:v>18</c:v>
                </c:pt>
                <c:pt idx="12">
                  <c:v>-5</c:v>
                </c:pt>
                <c:pt idx="13">
                  <c:v>-18</c:v>
                </c:pt>
                <c:pt idx="14">
                  <c:v>-5</c:v>
                </c:pt>
                <c:pt idx="15">
                  <c:v>-4</c:v>
                </c:pt>
                <c:pt idx="16">
                  <c:v>-25</c:v>
                </c:pt>
                <c:pt idx="17">
                  <c:v>58</c:v>
                </c:pt>
                <c:pt idx="18">
                  <c:v>2</c:v>
                </c:pt>
                <c:pt idx="19">
                  <c:v>-3</c:v>
                </c:pt>
                <c:pt idx="20">
                  <c:v>-9</c:v>
                </c:pt>
                <c:pt idx="21">
                  <c:v>-12</c:v>
                </c:pt>
                <c:pt idx="22">
                  <c:v>-7</c:v>
                </c:pt>
                <c:pt idx="23">
                  <c:v>-7</c:v>
                </c:pt>
                <c:pt idx="24">
                  <c:v>-10</c:v>
                </c:pt>
                <c:pt idx="25">
                  <c:v>-1</c:v>
                </c:pt>
                <c:pt idx="26">
                  <c:v>-10</c:v>
                </c:pt>
              </c:numCache>
            </c:numRef>
          </c:yVal>
          <c:smooth val="0"/>
          <c:extLst>
            <c:ext xmlns:c15="http://schemas.microsoft.com/office/drawing/2012/chart" uri="{02D57815-91ED-43cb-92C2-25804820EDAC}">
              <c15:datalabelsRange>
                <c15:f>'[BETA convergence.xlsx]Sheet1'!$A$2:$A$28</c15:f>
                <c15:dlblRangeCache>
                  <c:ptCount val="27"/>
                  <c:pt idx="0">
                    <c:v>LV</c:v>
                  </c:pt>
                  <c:pt idx="1">
                    <c:v>RO</c:v>
                  </c:pt>
                  <c:pt idx="2">
                    <c:v>EE</c:v>
                  </c:pt>
                  <c:pt idx="3">
                    <c:v>BG</c:v>
                  </c:pt>
                  <c:pt idx="4">
                    <c:v>HR</c:v>
                  </c:pt>
                  <c:pt idx="5">
                    <c:v>HU</c:v>
                  </c:pt>
                  <c:pt idx="6">
                    <c:v>SI</c:v>
                  </c:pt>
                  <c:pt idx="7">
                    <c:v>LT</c:v>
                  </c:pt>
                  <c:pt idx="8">
                    <c:v>PL</c:v>
                  </c:pt>
                  <c:pt idx="9">
                    <c:v>SK</c:v>
                  </c:pt>
                  <c:pt idx="10">
                    <c:v>CZ</c:v>
                  </c:pt>
                  <c:pt idx="11">
                    <c:v>MT</c:v>
                  </c:pt>
                  <c:pt idx="12">
                    <c:v>PT</c:v>
                  </c:pt>
                  <c:pt idx="13">
                    <c:v>EL</c:v>
                  </c:pt>
                  <c:pt idx="14">
                    <c:v>CY</c:v>
                  </c:pt>
                  <c:pt idx="15">
                    <c:v>ES</c:v>
                  </c:pt>
                  <c:pt idx="16">
                    <c:v>IT</c:v>
                  </c:pt>
                  <c:pt idx="17">
                    <c:v>IE</c:v>
                  </c:pt>
                  <c:pt idx="18">
                    <c:v>DK</c:v>
                  </c:pt>
                  <c:pt idx="19">
                    <c:v>AT</c:v>
                  </c:pt>
                  <c:pt idx="20">
                    <c:v>SE</c:v>
                  </c:pt>
                  <c:pt idx="21">
                    <c:v>NL</c:v>
                  </c:pt>
                  <c:pt idx="22">
                    <c:v>FI</c:v>
                  </c:pt>
                  <c:pt idx="23">
                    <c:v>BE</c:v>
                  </c:pt>
                  <c:pt idx="24">
                    <c:v>UK</c:v>
                  </c:pt>
                  <c:pt idx="25">
                    <c:v>DE</c:v>
                  </c:pt>
                  <c:pt idx="26">
                    <c:v>FR</c:v>
                  </c:pt>
                </c15:dlblRangeCache>
              </c15:datalabelsRange>
            </c:ext>
            <c:ext xmlns:c16="http://schemas.microsoft.com/office/drawing/2014/chart" uri="{C3380CC4-5D6E-409C-BE32-E72D297353CC}">
              <c16:uniqueId val="{0000001E-E495-49A0-A20C-1F80149F0BAC}"/>
            </c:ext>
          </c:extLst>
        </c:ser>
        <c:dLbls>
          <c:showLegendKey val="0"/>
          <c:showVal val="0"/>
          <c:showCatName val="0"/>
          <c:showSerName val="0"/>
          <c:showPercent val="0"/>
          <c:showBubbleSize val="0"/>
        </c:dLbls>
        <c:axId val="426821440"/>
        <c:axId val="426822424"/>
      </c:scatterChart>
      <c:valAx>
        <c:axId val="426821440"/>
        <c:scaling>
          <c:orientation val="minMax"/>
          <c:max val="14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GDP</a:t>
                </a:r>
                <a:r>
                  <a:rPr lang="hr-HR" baseline="0"/>
                  <a:t> per capita pps as of EU %, 2000</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822424"/>
        <c:crosses val="autoZero"/>
        <c:crossBetween val="midCat"/>
      </c:valAx>
      <c:valAx>
        <c:axId val="426822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GDP</a:t>
                </a:r>
                <a:r>
                  <a:rPr lang="hr-HR" baseline="0"/>
                  <a:t> per capita as of EU %,change 2019-2000</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6821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hr-HR" sz="1200" b="1">
                <a:solidFill>
                  <a:srgbClr val="002060"/>
                </a:solidFill>
                <a:latin typeface="Times New Roman" panose="02020603050405020304" pitchFamily="18" charset="0"/>
                <a:cs typeface="Times New Roman" panose="02020603050405020304" pitchFamily="18" charset="0"/>
              </a:rPr>
              <a:t>Institutional</a:t>
            </a:r>
            <a:r>
              <a:rPr lang="hr-HR" sz="1200" b="1" baseline="0">
                <a:solidFill>
                  <a:srgbClr val="002060"/>
                </a:solidFill>
                <a:latin typeface="Times New Roman" panose="02020603050405020304" pitchFamily="18" charset="0"/>
                <a:cs typeface="Times New Roman" panose="02020603050405020304" pitchFamily="18" charset="0"/>
              </a:rPr>
              <a:t> quality is decisive for economic prosperity (2000 - 2018) </a:t>
            </a:r>
            <a:endParaRPr lang="en-US" sz="1200" b="1">
              <a:solidFill>
                <a:srgbClr val="002060"/>
              </a:solidFill>
              <a:latin typeface="Times New Roman" panose="02020603050405020304" pitchFamily="18" charset="0"/>
              <a:cs typeface="Times New Roman" panose="02020603050405020304" pitchFamily="18" charset="0"/>
            </a:endParaRPr>
          </a:p>
        </c:rich>
      </c:tx>
      <c:layout>
        <c:manualLayout>
          <c:xMode val="edge"/>
          <c:yMode val="edge"/>
          <c:x val="0.15815971707281326"/>
          <c:y val="3.22268772155978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scatterChart>
        <c:scatterStyle val="lineMarker"/>
        <c:varyColors val="0"/>
        <c:ser>
          <c:idx val="0"/>
          <c:order val="0"/>
          <c:tx>
            <c:strRef>
              <c:f>'[BETA convergence.xlsx]Sheet2'!$C$1</c:f>
              <c:strCache>
                <c:ptCount val="1"/>
                <c:pt idx="0">
                  <c:v>Worldwide Governance Indicators Index</c:v>
                </c:pt>
              </c:strCache>
            </c:strRef>
          </c:tx>
          <c:spPr>
            <a:ln w="19050" cap="rnd">
              <a:noFill/>
              <a:round/>
            </a:ln>
            <a:effectLst/>
          </c:spPr>
          <c:marker>
            <c:symbol val="circle"/>
            <c:size val="5"/>
            <c:spPr>
              <a:solidFill>
                <a:schemeClr val="accent1"/>
              </a:solidFill>
              <a:ln w="9525">
                <a:solidFill>
                  <a:schemeClr val="accent1"/>
                </a:solidFill>
              </a:ln>
              <a:effectLst/>
            </c:spPr>
          </c:marker>
          <c:dPt>
            <c:idx val="10"/>
            <c:marker>
              <c:symbol val="circle"/>
              <c:size val="5"/>
              <c:spPr>
                <a:solidFill>
                  <a:schemeClr val="accent1"/>
                </a:solidFill>
                <a:ln w="9525">
                  <a:solidFill>
                    <a:schemeClr val="accent1"/>
                  </a:solidFill>
                </a:ln>
                <a:effectLst>
                  <a:glow rad="127000">
                    <a:srgbClr val="FF0000"/>
                  </a:glow>
                </a:effectLst>
              </c:spPr>
            </c:marker>
            <c:bubble3D val="0"/>
            <c:spPr>
              <a:ln w="19050" cap="rnd">
                <a:noFill/>
                <a:round/>
              </a:ln>
              <a:effectLst>
                <a:glow rad="127000">
                  <a:srgbClr val="FF0000"/>
                </a:glow>
              </a:effectLst>
            </c:spPr>
            <c:extLst>
              <c:ext xmlns:c16="http://schemas.microsoft.com/office/drawing/2014/chart" uri="{C3380CC4-5D6E-409C-BE32-E72D297353CC}">
                <c16:uniqueId val="{00000001-5050-4DEF-BABD-444D58C043F0}"/>
              </c:ext>
            </c:extLst>
          </c:dPt>
          <c:dLbls>
            <c:dLbl>
              <c:idx val="0"/>
              <c:tx>
                <c:rich>
                  <a:bodyPr/>
                  <a:lstStyle/>
                  <a:p>
                    <a:fld id="{27E055CE-9944-461D-B8C6-4EBCE4ADBE63}"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5050-4DEF-BABD-444D58C043F0}"/>
                </c:ext>
              </c:extLst>
            </c:dLbl>
            <c:dLbl>
              <c:idx val="1"/>
              <c:tx>
                <c:rich>
                  <a:bodyPr/>
                  <a:lstStyle/>
                  <a:p>
                    <a:fld id="{EF0869D3-8D15-4F2E-82EC-2A4AD85FD178}"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050-4DEF-BABD-444D58C043F0}"/>
                </c:ext>
              </c:extLst>
            </c:dLbl>
            <c:dLbl>
              <c:idx val="2"/>
              <c:tx>
                <c:rich>
                  <a:bodyPr/>
                  <a:lstStyle/>
                  <a:p>
                    <a:fld id="{F546F6B9-F7E2-45AA-AC1B-21B8DB211195}"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050-4DEF-BABD-444D58C043F0}"/>
                </c:ext>
              </c:extLst>
            </c:dLbl>
            <c:dLbl>
              <c:idx val="3"/>
              <c:tx>
                <c:rich>
                  <a:bodyPr/>
                  <a:lstStyle/>
                  <a:p>
                    <a:fld id="{80B5EABF-B71A-4EF0-B0AB-2BB0E522888B}"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050-4DEF-BABD-444D58C043F0}"/>
                </c:ext>
              </c:extLst>
            </c:dLbl>
            <c:dLbl>
              <c:idx val="4"/>
              <c:tx>
                <c:rich>
                  <a:bodyPr/>
                  <a:lstStyle/>
                  <a:p>
                    <a:fld id="{AC6566FF-C5C9-44C0-9724-97EE9EB94DE0}"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050-4DEF-BABD-444D58C043F0}"/>
                </c:ext>
              </c:extLst>
            </c:dLbl>
            <c:dLbl>
              <c:idx val="5"/>
              <c:tx>
                <c:rich>
                  <a:bodyPr/>
                  <a:lstStyle/>
                  <a:p>
                    <a:fld id="{2DE97357-4F0B-4771-AB08-9CB2126704C8}"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050-4DEF-BABD-444D58C043F0}"/>
                </c:ext>
              </c:extLst>
            </c:dLbl>
            <c:dLbl>
              <c:idx val="6"/>
              <c:tx>
                <c:rich>
                  <a:bodyPr/>
                  <a:lstStyle/>
                  <a:p>
                    <a:fld id="{18CDFB1F-227B-4BAD-8310-71EB3539970E}"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050-4DEF-BABD-444D58C043F0}"/>
                </c:ext>
              </c:extLst>
            </c:dLbl>
            <c:dLbl>
              <c:idx val="7"/>
              <c:tx>
                <c:rich>
                  <a:bodyPr/>
                  <a:lstStyle/>
                  <a:p>
                    <a:fld id="{D144CF9D-A18C-4387-9300-B5FCAC572535}"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050-4DEF-BABD-444D58C043F0}"/>
                </c:ext>
              </c:extLst>
            </c:dLbl>
            <c:dLbl>
              <c:idx val="8"/>
              <c:tx>
                <c:rich>
                  <a:bodyPr/>
                  <a:lstStyle/>
                  <a:p>
                    <a:fld id="{861A6DD5-B1AA-425F-AB76-698D98CF7072}"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050-4DEF-BABD-444D58C043F0}"/>
                </c:ext>
              </c:extLst>
            </c:dLbl>
            <c:dLbl>
              <c:idx val="9"/>
              <c:tx>
                <c:rich>
                  <a:bodyPr/>
                  <a:lstStyle/>
                  <a:p>
                    <a:fld id="{F3B70CF7-F41E-412D-ADEC-DB35CFB46588}"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5050-4DEF-BABD-444D58C043F0}"/>
                </c:ext>
              </c:extLst>
            </c:dLbl>
            <c:dLbl>
              <c:idx val="10"/>
              <c:tx>
                <c:rich>
                  <a:bodyPr/>
                  <a:lstStyle/>
                  <a:p>
                    <a:fld id="{61381E86-AAC7-4F1F-9FF9-220EBA5D402B}"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050-4DEF-BABD-444D58C043F0}"/>
                </c:ext>
              </c:extLst>
            </c:dLbl>
            <c:dLbl>
              <c:idx val="11"/>
              <c:tx>
                <c:rich>
                  <a:bodyPr/>
                  <a:lstStyle/>
                  <a:p>
                    <a:fld id="{38831973-5CC2-42F1-A4DD-D2AB1D19808C}"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050-4DEF-BABD-444D58C043F0}"/>
                </c:ext>
              </c:extLst>
            </c:dLbl>
            <c:dLbl>
              <c:idx val="12"/>
              <c:tx>
                <c:rich>
                  <a:bodyPr/>
                  <a:lstStyle/>
                  <a:p>
                    <a:fld id="{9BA2A702-A18F-47C7-AAE0-02AEBFBE2E67}"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5050-4DEF-BABD-444D58C043F0}"/>
                </c:ext>
              </c:extLst>
            </c:dLbl>
            <c:dLbl>
              <c:idx val="13"/>
              <c:layout>
                <c:manualLayout>
                  <c:x val="-4.4097222222222628E-3"/>
                  <c:y val="3.5277777777777776E-2"/>
                </c:manualLayout>
              </c:layout>
              <c:tx>
                <c:rich>
                  <a:bodyPr/>
                  <a:lstStyle/>
                  <a:p>
                    <a:fld id="{3D1889EE-C281-47DA-8F85-A2E52E0FBDA9}"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5050-4DEF-BABD-444D58C043F0}"/>
                </c:ext>
              </c:extLst>
            </c:dLbl>
            <c:dLbl>
              <c:idx val="14"/>
              <c:layout>
                <c:manualLayout>
                  <c:x val="-5.7326388888888927E-2"/>
                  <c:y val="-3.8484848484848427E-2"/>
                </c:manualLayout>
              </c:layout>
              <c:tx>
                <c:rich>
                  <a:bodyPr/>
                  <a:lstStyle/>
                  <a:p>
                    <a:fld id="{E70F5B52-C5A0-45D3-B62C-A97CAD085E9A}"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5050-4DEF-BABD-444D58C043F0}"/>
                </c:ext>
              </c:extLst>
            </c:dLbl>
            <c:dLbl>
              <c:idx val="15"/>
              <c:layout>
                <c:manualLayout>
                  <c:x val="-4.0421986745463479E-17"/>
                  <c:y val="-3.2070707070707069E-2"/>
                </c:manualLayout>
              </c:layout>
              <c:tx>
                <c:rich>
                  <a:bodyPr/>
                  <a:lstStyle/>
                  <a:p>
                    <a:fld id="{04B2090B-B88E-43FA-A1FB-6569EB4F8CE8}"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5050-4DEF-BABD-444D58C043F0}"/>
                </c:ext>
              </c:extLst>
            </c:dLbl>
            <c:dLbl>
              <c:idx val="16"/>
              <c:tx>
                <c:rich>
                  <a:bodyPr/>
                  <a:lstStyle/>
                  <a:p>
                    <a:fld id="{AC2F9726-86E0-4F60-876B-6DBFFEAE4DC1}"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5050-4DEF-BABD-444D58C043F0}"/>
                </c:ext>
              </c:extLst>
            </c:dLbl>
            <c:dLbl>
              <c:idx val="17"/>
              <c:tx>
                <c:rich>
                  <a:bodyPr/>
                  <a:lstStyle/>
                  <a:p>
                    <a:fld id="{4AE1A2A8-06DD-4915-85F1-80B829215955}"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050-4DEF-BABD-444D58C043F0}"/>
                </c:ext>
              </c:extLst>
            </c:dLbl>
            <c:dLbl>
              <c:idx val="18"/>
              <c:tx>
                <c:rich>
                  <a:bodyPr/>
                  <a:lstStyle/>
                  <a:p>
                    <a:fld id="{3468DDBD-E61A-44F7-B846-CB07E45D8060}"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5050-4DEF-BABD-444D58C043F0}"/>
                </c:ext>
              </c:extLst>
            </c:dLbl>
            <c:dLbl>
              <c:idx val="19"/>
              <c:layout>
                <c:manualLayout>
                  <c:x val="-4.4097222222222225E-2"/>
                  <c:y val="6.4141414141414138E-2"/>
                </c:manualLayout>
              </c:layout>
              <c:tx>
                <c:rich>
                  <a:bodyPr/>
                  <a:lstStyle/>
                  <a:p>
                    <a:fld id="{DBB951E6-D814-405D-9F43-E22C9DF191E3}"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5050-4DEF-BABD-444D58C043F0}"/>
                </c:ext>
              </c:extLst>
            </c:dLbl>
            <c:dLbl>
              <c:idx val="20"/>
              <c:tx>
                <c:rich>
                  <a:bodyPr/>
                  <a:lstStyle/>
                  <a:p>
                    <a:fld id="{0E201ADB-4A31-4F15-88BE-5C3AB9E66A8B}"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5050-4DEF-BABD-444D58C043F0}"/>
                </c:ext>
              </c:extLst>
            </c:dLbl>
            <c:dLbl>
              <c:idx val="21"/>
              <c:tx>
                <c:rich>
                  <a:bodyPr/>
                  <a:lstStyle/>
                  <a:p>
                    <a:fld id="{1FFFE333-5DD8-4F6B-B73E-8BA17A743C22}"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5050-4DEF-BABD-444D58C043F0}"/>
                </c:ext>
              </c:extLst>
            </c:dLbl>
            <c:dLbl>
              <c:idx val="22"/>
              <c:tx>
                <c:rich>
                  <a:bodyPr/>
                  <a:lstStyle/>
                  <a:p>
                    <a:fld id="{569A69B4-44E1-4F20-A9CF-798D2FF80819}"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5050-4DEF-BABD-444D58C043F0}"/>
                </c:ext>
              </c:extLst>
            </c:dLbl>
            <c:dLbl>
              <c:idx val="23"/>
              <c:layout>
                <c:manualLayout>
                  <c:x val="1.5434027777777777E-2"/>
                  <c:y val="7.0555555555555552E-2"/>
                </c:manualLayout>
              </c:layout>
              <c:tx>
                <c:rich>
                  <a:bodyPr/>
                  <a:lstStyle/>
                  <a:p>
                    <a:fld id="{143C2CDD-C59D-425D-99B4-45FB1C5EB6EA}" type="CELLRANGE">
                      <a:rPr lang="en-US"/>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5050-4DEF-BABD-444D58C043F0}"/>
                </c:ext>
              </c:extLst>
            </c:dLbl>
            <c:dLbl>
              <c:idx val="24"/>
              <c:tx>
                <c:rich>
                  <a:bodyPr/>
                  <a:lstStyle/>
                  <a:p>
                    <a:fld id="{AFC459AA-C3BF-4E78-9F89-EF8CD8FF94BF}"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5050-4DEF-BABD-444D58C043F0}"/>
                </c:ext>
              </c:extLst>
            </c:dLbl>
            <c:dLbl>
              <c:idx val="25"/>
              <c:tx>
                <c:rich>
                  <a:bodyPr/>
                  <a:lstStyle/>
                  <a:p>
                    <a:fld id="{6E4E5171-1205-4455-8786-D82C6D3418D0}"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5050-4DEF-BABD-444D58C043F0}"/>
                </c:ext>
              </c:extLst>
            </c:dLbl>
            <c:dLbl>
              <c:idx val="26"/>
              <c:tx>
                <c:rich>
                  <a:bodyPr/>
                  <a:lstStyle/>
                  <a:p>
                    <a:fld id="{6DAC7092-1EEB-4B50-9301-FF8D10A67591}" type="CELLRANGE">
                      <a:rPr lang="hr-HR"/>
                      <a:pPr/>
                      <a:t>[CELLRANGE]</a:t>
                    </a:fld>
                    <a:endParaRPr lang="hr-H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5050-4DEF-BABD-444D58C043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9.7282291666666673E-2"/>
                  <c:y val="0.2090654040404040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trendlineLbl>
          </c:trendline>
          <c:xVal>
            <c:numRef>
              <c:f>'[BETA convergence.xlsx]Sheet2'!$B$2:$B$28</c:f>
              <c:numCache>
                <c:formatCode>General</c:formatCode>
                <c:ptCount val="27"/>
                <c:pt idx="0">
                  <c:v>33227.777777777781</c:v>
                </c:pt>
                <c:pt idx="1">
                  <c:v>4933.333333333333</c:v>
                </c:pt>
                <c:pt idx="2">
                  <c:v>14705.555555555555</c:v>
                </c:pt>
                <c:pt idx="3">
                  <c:v>44688.888888888891</c:v>
                </c:pt>
                <c:pt idx="4">
                  <c:v>32272.222222222223</c:v>
                </c:pt>
                <c:pt idx="5">
                  <c:v>11927.777777777777</c:v>
                </c:pt>
                <c:pt idx="6">
                  <c:v>41150</c:v>
                </c:pt>
                <c:pt idx="7">
                  <c:v>19261.111111111109</c:v>
                </c:pt>
                <c:pt idx="8">
                  <c:v>23277.777777777777</c:v>
                </c:pt>
                <c:pt idx="9">
                  <c:v>30911.111111111109</c:v>
                </c:pt>
                <c:pt idx="10">
                  <c:v>10347.058823529413</c:v>
                </c:pt>
                <c:pt idx="11">
                  <c:v>27016.666666666668</c:v>
                </c:pt>
                <c:pt idx="12">
                  <c:v>22405.555555555555</c:v>
                </c:pt>
                <c:pt idx="13">
                  <c:v>9161.1111111111113</c:v>
                </c:pt>
                <c:pt idx="14">
                  <c:v>9544.4444444444453</c:v>
                </c:pt>
                <c:pt idx="15">
                  <c:v>10211.111111111111</c:v>
                </c:pt>
                <c:pt idx="16">
                  <c:v>16588.888888888891</c:v>
                </c:pt>
                <c:pt idx="17">
                  <c:v>38194.444444444445</c:v>
                </c:pt>
                <c:pt idx="18">
                  <c:v>35211.111111111109</c:v>
                </c:pt>
                <c:pt idx="19">
                  <c:v>9211.1111111111113</c:v>
                </c:pt>
                <c:pt idx="20">
                  <c:v>16738.888888888891</c:v>
                </c:pt>
                <c:pt idx="21">
                  <c:v>6255.5555555555557</c:v>
                </c:pt>
                <c:pt idx="22">
                  <c:v>17411.111111111109</c:v>
                </c:pt>
                <c:pt idx="23">
                  <c:v>12016.666666666666</c:v>
                </c:pt>
                <c:pt idx="24">
                  <c:v>34605.555555555555</c:v>
                </c:pt>
                <c:pt idx="25">
                  <c:v>39261.111111111109</c:v>
                </c:pt>
                <c:pt idx="26">
                  <c:v>30200</c:v>
                </c:pt>
              </c:numCache>
            </c:numRef>
          </c:xVal>
          <c:yVal>
            <c:numRef>
              <c:f>'[BETA convergence.xlsx]Sheet2'!$C$2:$C$28</c:f>
              <c:numCache>
                <c:formatCode>General</c:formatCode>
                <c:ptCount val="27"/>
                <c:pt idx="0">
                  <c:v>1.3235574323176951</c:v>
                </c:pt>
                <c:pt idx="1">
                  <c:v>0.20534244778136806</c:v>
                </c:pt>
                <c:pt idx="2">
                  <c:v>0.88704443106623798</c:v>
                </c:pt>
                <c:pt idx="3">
                  <c:v>1.8001011219915224</c:v>
                </c:pt>
                <c:pt idx="4">
                  <c:v>1.4962289744114106</c:v>
                </c:pt>
                <c:pt idx="5">
                  <c:v>1.0673533238018753</c:v>
                </c:pt>
                <c:pt idx="6">
                  <c:v>1.4901992940920943</c:v>
                </c:pt>
                <c:pt idx="7">
                  <c:v>0.50547843274141535</c:v>
                </c:pt>
                <c:pt idx="8">
                  <c:v>0.94873928630195237</c:v>
                </c:pt>
                <c:pt idx="9">
                  <c:v>1.1992679152106627</c:v>
                </c:pt>
                <c:pt idx="10">
                  <c:v>0.39338743886724836</c:v>
                </c:pt>
                <c:pt idx="11">
                  <c:v>0.60210432257077628</c:v>
                </c:pt>
                <c:pt idx="12">
                  <c:v>1.0149904435547679</c:v>
                </c:pt>
                <c:pt idx="13">
                  <c:v>0.68606165580000034</c:v>
                </c:pt>
                <c:pt idx="14">
                  <c:v>0.77721260654564994</c:v>
                </c:pt>
                <c:pt idx="15">
                  <c:v>0.77081252137275047</c:v>
                </c:pt>
                <c:pt idx="16">
                  <c:v>1.1669340947834534</c:v>
                </c:pt>
                <c:pt idx="17">
                  <c:v>1.6889709685106702</c:v>
                </c:pt>
                <c:pt idx="18">
                  <c:v>1.5581588154329344</c:v>
                </c:pt>
                <c:pt idx="19">
                  <c:v>0.71396189909165564</c:v>
                </c:pt>
                <c:pt idx="20">
                  <c:v>1.0728380457218745</c:v>
                </c:pt>
                <c:pt idx="21">
                  <c:v>9.5018653650847898E-2</c:v>
                </c:pt>
                <c:pt idx="22">
                  <c:v>0.95216435670143718</c:v>
                </c:pt>
                <c:pt idx="23">
                  <c:v>0.73884268685889909</c:v>
                </c:pt>
                <c:pt idx="24">
                  <c:v>1.8583850688693453</c:v>
                </c:pt>
                <c:pt idx="25">
                  <c:v>1.7588347213215831</c:v>
                </c:pt>
                <c:pt idx="26">
                  <c:v>1.4499461876539395</c:v>
                </c:pt>
              </c:numCache>
            </c:numRef>
          </c:yVal>
          <c:smooth val="0"/>
          <c:extLst>
            <c:ext xmlns:c15="http://schemas.microsoft.com/office/drawing/2012/chart" uri="{02D57815-91ED-43cb-92C2-25804820EDAC}">
              <c15:datalabelsRange>
                <c15:f>'[BETA convergence.xlsx]Sheet2'!$A$2:$A$28</c15:f>
                <c15:dlblRangeCache>
                  <c:ptCount val="27"/>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HU</c:v>
                  </c:pt>
                  <c:pt idx="16">
                    <c:v>MT</c:v>
                  </c:pt>
                  <c:pt idx="17">
                    <c:v>NL</c:v>
                  </c:pt>
                  <c:pt idx="18">
                    <c:v>AT</c:v>
                  </c:pt>
                  <c:pt idx="19">
                    <c:v>PL</c:v>
                  </c:pt>
                  <c:pt idx="20">
                    <c:v>PT</c:v>
                  </c:pt>
                  <c:pt idx="21">
                    <c:v>RO</c:v>
                  </c:pt>
                  <c:pt idx="22">
                    <c:v>SI</c:v>
                  </c:pt>
                  <c:pt idx="23">
                    <c:v>SK</c:v>
                  </c:pt>
                  <c:pt idx="24">
                    <c:v>FI</c:v>
                  </c:pt>
                  <c:pt idx="25">
                    <c:v>SE</c:v>
                  </c:pt>
                  <c:pt idx="26">
                    <c:v>UK</c:v>
                  </c:pt>
                </c15:dlblRangeCache>
              </c15:datalabelsRange>
            </c:ext>
            <c:ext xmlns:c16="http://schemas.microsoft.com/office/drawing/2014/chart" uri="{C3380CC4-5D6E-409C-BE32-E72D297353CC}">
              <c16:uniqueId val="{0000001E-5050-4DEF-BABD-444D58C043F0}"/>
            </c:ext>
          </c:extLst>
        </c:ser>
        <c:dLbls>
          <c:showLegendKey val="0"/>
          <c:showVal val="1"/>
          <c:showCatName val="0"/>
          <c:showSerName val="0"/>
          <c:showPercent val="0"/>
          <c:showBubbleSize val="0"/>
        </c:dLbls>
        <c:axId val="290332016"/>
        <c:axId val="290338248"/>
      </c:scatterChart>
      <c:valAx>
        <c:axId val="290332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Real</a:t>
                </a:r>
                <a:r>
                  <a:rPr lang="hr-HR" baseline="0"/>
                  <a:t> GDP per capita</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0338248"/>
        <c:crosses val="autoZero"/>
        <c:crossBetween val="midCat"/>
      </c:valAx>
      <c:valAx>
        <c:axId val="290338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Worldwide</a:t>
                </a:r>
                <a:r>
                  <a:rPr lang="hr-HR" baseline="0"/>
                  <a:t> Governane Indicators Index</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903320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05D4-ECEA-43CF-A2E5-94E71D58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Kotarski</dc:creator>
  <cp:keywords/>
  <dc:description/>
  <cp:lastModifiedBy>Kristijan Kotarski</cp:lastModifiedBy>
  <cp:revision>68</cp:revision>
  <dcterms:created xsi:type="dcterms:W3CDTF">2020-06-20T15:22:00Z</dcterms:created>
  <dcterms:modified xsi:type="dcterms:W3CDTF">2020-07-19T21:14:00Z</dcterms:modified>
</cp:coreProperties>
</file>