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A984" w14:textId="6D7E65ED" w:rsidR="00007B2D" w:rsidRDefault="00007B2D" w:rsidP="00C13928">
      <w:pPr>
        <w:jc w:val="both"/>
        <w:rPr>
          <w:rFonts w:ascii="Times New Roman" w:hAnsi="Times New Roman" w:cs="Times New Roman"/>
          <w:b/>
          <w:sz w:val="20"/>
          <w:szCs w:val="20"/>
          <w:lang w:val="en-GB"/>
        </w:rPr>
      </w:pPr>
    </w:p>
    <w:p w14:paraId="2A204C96" w14:textId="65C7334B" w:rsidR="00007B2D" w:rsidRPr="00697C07" w:rsidRDefault="00654F46" w:rsidP="00697C07">
      <w:pPr>
        <w:jc w:val="center"/>
        <w:rPr>
          <w:rFonts w:ascii="Times New Roman" w:hAnsi="Times New Roman" w:cs="Times New Roman"/>
          <w:b/>
          <w:sz w:val="28"/>
          <w:szCs w:val="28"/>
          <w:lang w:val="en-GB"/>
        </w:rPr>
      </w:pPr>
      <w:bookmarkStart w:id="0" w:name="_GoBack"/>
      <w:r>
        <w:rPr>
          <w:rFonts w:ascii="Times New Roman" w:hAnsi="Times New Roman" w:cs="Times New Roman"/>
          <w:b/>
          <w:sz w:val="28"/>
          <w:szCs w:val="28"/>
          <w:lang w:val="en-GB"/>
        </w:rPr>
        <w:t xml:space="preserve">Comparative </w:t>
      </w:r>
      <w:r w:rsidR="00697C07">
        <w:rPr>
          <w:rFonts w:ascii="Times New Roman" w:hAnsi="Times New Roman" w:cs="Times New Roman"/>
          <w:b/>
          <w:sz w:val="28"/>
          <w:szCs w:val="28"/>
          <w:lang w:val="en-GB"/>
        </w:rPr>
        <w:t>An</w:t>
      </w:r>
      <w:r w:rsidR="00967630">
        <w:rPr>
          <w:rFonts w:ascii="Times New Roman" w:hAnsi="Times New Roman" w:cs="Times New Roman"/>
          <w:b/>
          <w:sz w:val="28"/>
          <w:szCs w:val="28"/>
          <w:lang w:val="en-GB"/>
        </w:rPr>
        <w:t>alysis of Financial R</w:t>
      </w:r>
      <w:r w:rsidR="002B78BD" w:rsidRPr="00697C07">
        <w:rPr>
          <w:rFonts w:ascii="Times New Roman" w:hAnsi="Times New Roman" w:cs="Times New Roman"/>
          <w:b/>
          <w:sz w:val="28"/>
          <w:szCs w:val="28"/>
          <w:lang w:val="en-GB"/>
        </w:rPr>
        <w:t>e</w:t>
      </w:r>
      <w:r w:rsidR="00567C3F">
        <w:rPr>
          <w:rFonts w:ascii="Times New Roman" w:hAnsi="Times New Roman" w:cs="Times New Roman"/>
          <w:b/>
          <w:sz w:val="28"/>
          <w:szCs w:val="28"/>
          <w:lang w:val="en-GB"/>
        </w:rPr>
        <w:t>gulation US-UK</w:t>
      </w:r>
      <w:r>
        <w:rPr>
          <w:rFonts w:ascii="Times New Roman" w:hAnsi="Times New Roman" w:cs="Times New Roman"/>
          <w:b/>
          <w:sz w:val="28"/>
          <w:szCs w:val="28"/>
          <w:lang w:val="en-GB"/>
        </w:rPr>
        <w:t>-EU</w:t>
      </w:r>
    </w:p>
    <w:bookmarkEnd w:id="0"/>
    <w:p w14:paraId="07625BDB" w14:textId="77777777" w:rsidR="00967630" w:rsidRDefault="00967630" w:rsidP="00967630">
      <w:pPr>
        <w:jc w:val="center"/>
        <w:rPr>
          <w:rFonts w:ascii="Times New Roman" w:hAnsi="Times New Roman" w:cs="Times New Roman"/>
          <w:sz w:val="20"/>
          <w:szCs w:val="20"/>
        </w:rPr>
      </w:pPr>
    </w:p>
    <w:p w14:paraId="4B88988B" w14:textId="74EEC757" w:rsidR="00967630" w:rsidRPr="00E4483E" w:rsidRDefault="00967630" w:rsidP="00967630">
      <w:pPr>
        <w:jc w:val="center"/>
        <w:rPr>
          <w:rFonts w:ascii="Times New Roman" w:hAnsi="Times New Roman" w:cs="Times New Roman"/>
          <w:sz w:val="20"/>
          <w:szCs w:val="20"/>
        </w:rPr>
      </w:pPr>
      <w:r w:rsidRPr="00E4483E">
        <w:rPr>
          <w:rFonts w:ascii="Times New Roman" w:hAnsi="Times New Roman" w:cs="Times New Roman"/>
          <w:sz w:val="20"/>
          <w:szCs w:val="20"/>
        </w:rPr>
        <w:t xml:space="preserve">Anita PEŠA, </w:t>
      </w:r>
      <w:proofErr w:type="spellStart"/>
      <w:r w:rsidRPr="00E4483E">
        <w:rPr>
          <w:rFonts w:ascii="Times New Roman" w:hAnsi="Times New Roman" w:cs="Times New Roman"/>
          <w:sz w:val="20"/>
          <w:szCs w:val="20"/>
        </w:rPr>
        <w:t>Ph.D</w:t>
      </w:r>
      <w:proofErr w:type="spellEnd"/>
    </w:p>
    <w:p w14:paraId="5250DAB8" w14:textId="77777777" w:rsidR="00967630" w:rsidRPr="00E4483E" w:rsidRDefault="00967630" w:rsidP="00967630">
      <w:pPr>
        <w:ind w:firstLine="708"/>
        <w:jc w:val="center"/>
        <w:rPr>
          <w:rFonts w:ascii="Times New Roman" w:hAnsi="Times New Roman" w:cs="Times New Roman"/>
          <w:sz w:val="20"/>
          <w:szCs w:val="20"/>
        </w:rPr>
      </w:pPr>
      <w:r w:rsidRPr="00E4483E">
        <w:rPr>
          <w:rFonts w:ascii="Times New Roman" w:hAnsi="Times New Roman" w:cs="Times New Roman"/>
          <w:sz w:val="20"/>
          <w:szCs w:val="20"/>
        </w:rPr>
        <w:t xml:space="preserve">University </w:t>
      </w:r>
      <w:proofErr w:type="spellStart"/>
      <w:r w:rsidRPr="00E4483E">
        <w:rPr>
          <w:rFonts w:ascii="Times New Roman" w:hAnsi="Times New Roman" w:cs="Times New Roman"/>
          <w:sz w:val="20"/>
          <w:szCs w:val="20"/>
        </w:rPr>
        <w:t>of</w:t>
      </w:r>
      <w:proofErr w:type="spellEnd"/>
      <w:r w:rsidRPr="00E4483E">
        <w:rPr>
          <w:rFonts w:ascii="Times New Roman" w:hAnsi="Times New Roman" w:cs="Times New Roman"/>
          <w:sz w:val="20"/>
          <w:szCs w:val="20"/>
        </w:rPr>
        <w:t xml:space="preserve"> Zadar, Department </w:t>
      </w:r>
      <w:proofErr w:type="spellStart"/>
      <w:r w:rsidRPr="00E4483E">
        <w:rPr>
          <w:rFonts w:ascii="Times New Roman" w:hAnsi="Times New Roman" w:cs="Times New Roman"/>
          <w:sz w:val="20"/>
          <w:szCs w:val="20"/>
        </w:rPr>
        <w:t>of</w:t>
      </w:r>
      <w:proofErr w:type="spellEnd"/>
      <w:r w:rsidRPr="00E4483E">
        <w:rPr>
          <w:rFonts w:ascii="Times New Roman" w:hAnsi="Times New Roman" w:cs="Times New Roman"/>
          <w:sz w:val="20"/>
          <w:szCs w:val="20"/>
        </w:rPr>
        <w:t xml:space="preserve"> </w:t>
      </w:r>
      <w:proofErr w:type="spellStart"/>
      <w:r w:rsidRPr="00E4483E">
        <w:rPr>
          <w:rFonts w:ascii="Times New Roman" w:hAnsi="Times New Roman" w:cs="Times New Roman"/>
          <w:sz w:val="20"/>
          <w:szCs w:val="20"/>
        </w:rPr>
        <w:t>Economics</w:t>
      </w:r>
      <w:proofErr w:type="spellEnd"/>
      <w:r w:rsidRPr="00E4483E">
        <w:rPr>
          <w:rFonts w:ascii="Times New Roman" w:hAnsi="Times New Roman" w:cs="Times New Roman"/>
          <w:sz w:val="20"/>
          <w:szCs w:val="20"/>
        </w:rPr>
        <w:t>, Zadar, Croatia</w:t>
      </w:r>
    </w:p>
    <w:p w14:paraId="02E3B6F7" w14:textId="77777777" w:rsidR="00967630" w:rsidRPr="00E4483E" w:rsidRDefault="00910FC5" w:rsidP="00967630">
      <w:pPr>
        <w:jc w:val="center"/>
        <w:rPr>
          <w:rFonts w:ascii="Times New Roman" w:hAnsi="Times New Roman" w:cs="Times New Roman"/>
          <w:sz w:val="20"/>
          <w:szCs w:val="20"/>
        </w:rPr>
      </w:pPr>
      <w:hyperlink r:id="rId8" w:history="1">
        <w:r w:rsidR="00967630" w:rsidRPr="00E4483E">
          <w:rPr>
            <w:rStyle w:val="Hyperlink"/>
            <w:rFonts w:ascii="Times New Roman" w:hAnsi="Times New Roman" w:cs="Times New Roman"/>
            <w:sz w:val="20"/>
            <w:szCs w:val="20"/>
          </w:rPr>
          <w:t>apesa@unizd.hr</w:t>
        </w:r>
      </w:hyperlink>
    </w:p>
    <w:p w14:paraId="68F14D1D" w14:textId="6DDD4712" w:rsidR="00697C07" w:rsidRDefault="00697C07" w:rsidP="00C13928">
      <w:pPr>
        <w:jc w:val="both"/>
        <w:rPr>
          <w:rFonts w:ascii="Times New Roman" w:hAnsi="Times New Roman" w:cs="Times New Roman"/>
          <w:b/>
          <w:sz w:val="20"/>
          <w:szCs w:val="20"/>
          <w:lang w:val="en-GB"/>
        </w:rPr>
      </w:pPr>
    </w:p>
    <w:p w14:paraId="3709BF9D" w14:textId="303001C8" w:rsidR="00F905FA" w:rsidRDefault="00E7694F" w:rsidP="00C13928">
      <w:pPr>
        <w:jc w:val="both"/>
        <w:rPr>
          <w:rFonts w:ascii="Times New Roman" w:hAnsi="Times New Roman" w:cs="Times New Roman"/>
          <w:sz w:val="20"/>
          <w:szCs w:val="20"/>
          <w:lang w:val="en-GB"/>
        </w:rPr>
      </w:pPr>
      <w:r>
        <w:rPr>
          <w:rFonts w:ascii="Times New Roman" w:hAnsi="Times New Roman" w:cs="Times New Roman"/>
          <w:sz w:val="24"/>
          <w:szCs w:val="24"/>
          <w:lang w:val="en-GB"/>
        </w:rPr>
        <w:t>Abstract</w:t>
      </w:r>
    </w:p>
    <w:p w14:paraId="55155C18" w14:textId="0C5C7199" w:rsidR="004B3E23" w:rsidRPr="00353E7F" w:rsidRDefault="002C7A14" w:rsidP="00C13928">
      <w:pPr>
        <w:jc w:val="both"/>
        <w:rPr>
          <w:rFonts w:ascii="Times New Roman" w:hAnsi="Times New Roman" w:cs="Times New Roman"/>
          <w:sz w:val="20"/>
          <w:szCs w:val="20"/>
          <w:lang w:val="en-GB"/>
        </w:rPr>
      </w:pPr>
      <w:r w:rsidRPr="00353E7F">
        <w:rPr>
          <w:rFonts w:ascii="Times New Roman" w:hAnsi="Times New Roman" w:cs="Times New Roman"/>
          <w:sz w:val="20"/>
          <w:szCs w:val="20"/>
          <w:lang w:val="en-GB"/>
        </w:rPr>
        <w:t xml:space="preserve">The paper explores the level </w:t>
      </w:r>
      <w:r w:rsidR="00CD19B1" w:rsidRPr="00353E7F">
        <w:rPr>
          <w:rFonts w:ascii="Times New Roman" w:hAnsi="Times New Roman" w:cs="Times New Roman"/>
          <w:sz w:val="20"/>
          <w:szCs w:val="20"/>
          <w:lang w:val="en-GB"/>
        </w:rPr>
        <w:t xml:space="preserve">and direction </w:t>
      </w:r>
      <w:r w:rsidRPr="00353E7F">
        <w:rPr>
          <w:rFonts w:ascii="Times New Roman" w:hAnsi="Times New Roman" w:cs="Times New Roman"/>
          <w:sz w:val="20"/>
          <w:szCs w:val="20"/>
          <w:lang w:val="en-GB"/>
        </w:rPr>
        <w:t>of financial regulat</w:t>
      </w:r>
      <w:r w:rsidR="00654F46">
        <w:rPr>
          <w:rFonts w:ascii="Times New Roman" w:hAnsi="Times New Roman" w:cs="Times New Roman"/>
          <w:sz w:val="20"/>
          <w:szCs w:val="20"/>
          <w:lang w:val="en-GB"/>
        </w:rPr>
        <w:t>ion in EU</w:t>
      </w:r>
      <w:r w:rsidRPr="00353E7F">
        <w:rPr>
          <w:rFonts w:ascii="Times New Roman" w:hAnsi="Times New Roman" w:cs="Times New Roman"/>
          <w:sz w:val="20"/>
          <w:szCs w:val="20"/>
          <w:lang w:val="en-GB"/>
        </w:rPr>
        <w:t xml:space="preserve"> and gives insight in the steps of financial regulations through the paste decades. Financial markets and instruments are the most regulated industry due to explosion of the financial innovations</w:t>
      </w:r>
      <w:r w:rsidR="00CD19B1" w:rsidRPr="00353E7F">
        <w:rPr>
          <w:rFonts w:ascii="Times New Roman" w:hAnsi="Times New Roman" w:cs="Times New Roman"/>
          <w:sz w:val="20"/>
          <w:szCs w:val="20"/>
          <w:lang w:val="en-GB"/>
        </w:rPr>
        <w:t xml:space="preserve"> in the last decades and due to increase of global financial integration</w:t>
      </w:r>
      <w:r w:rsidRPr="00353E7F">
        <w:rPr>
          <w:rFonts w:ascii="Times New Roman" w:hAnsi="Times New Roman" w:cs="Times New Roman"/>
          <w:sz w:val="20"/>
          <w:szCs w:val="20"/>
          <w:lang w:val="en-GB"/>
        </w:rPr>
        <w:t xml:space="preserve">. </w:t>
      </w:r>
      <w:r w:rsidR="00CD19B1" w:rsidRPr="00353E7F">
        <w:rPr>
          <w:rFonts w:ascii="Times New Roman" w:hAnsi="Times New Roman" w:cs="Times New Roman"/>
          <w:sz w:val="20"/>
          <w:szCs w:val="20"/>
          <w:lang w:val="en-GB"/>
        </w:rPr>
        <w:t>N</w:t>
      </w:r>
      <w:r w:rsidRPr="00353E7F">
        <w:rPr>
          <w:rFonts w:ascii="Times New Roman" w:hAnsi="Times New Roman" w:cs="Times New Roman"/>
          <w:sz w:val="20"/>
          <w:szCs w:val="20"/>
          <w:lang w:val="en-GB"/>
        </w:rPr>
        <w:t>ew financi</w:t>
      </w:r>
      <w:r w:rsidR="00CD19B1" w:rsidRPr="00353E7F">
        <w:rPr>
          <w:rFonts w:ascii="Times New Roman" w:hAnsi="Times New Roman" w:cs="Times New Roman"/>
          <w:sz w:val="20"/>
          <w:szCs w:val="20"/>
          <w:lang w:val="en-GB"/>
        </w:rPr>
        <w:t xml:space="preserve">al </w:t>
      </w:r>
      <w:r w:rsidR="00305B71" w:rsidRPr="00353E7F">
        <w:rPr>
          <w:rFonts w:ascii="Times New Roman" w:hAnsi="Times New Roman" w:cs="Times New Roman"/>
          <w:sz w:val="20"/>
          <w:szCs w:val="20"/>
          <w:lang w:val="en-GB"/>
        </w:rPr>
        <w:t xml:space="preserve">instrument </w:t>
      </w:r>
      <w:r w:rsidR="008014CE" w:rsidRPr="00353E7F">
        <w:rPr>
          <w:rFonts w:ascii="Times New Roman" w:hAnsi="Times New Roman" w:cs="Times New Roman"/>
          <w:sz w:val="20"/>
          <w:szCs w:val="20"/>
          <w:lang w:val="en-GB"/>
        </w:rPr>
        <w:t>represents</w:t>
      </w:r>
      <w:r w:rsidR="00CD19B1" w:rsidRPr="00353E7F">
        <w:rPr>
          <w:rFonts w:ascii="Times New Roman" w:hAnsi="Times New Roman" w:cs="Times New Roman"/>
          <w:sz w:val="20"/>
          <w:szCs w:val="20"/>
          <w:lang w:val="en-GB"/>
        </w:rPr>
        <w:t xml:space="preserve"> </w:t>
      </w:r>
      <w:r w:rsidR="00305B71" w:rsidRPr="00353E7F">
        <w:rPr>
          <w:rFonts w:ascii="Times New Roman" w:hAnsi="Times New Roman" w:cs="Times New Roman"/>
          <w:sz w:val="20"/>
          <w:szCs w:val="20"/>
          <w:lang w:val="en-GB"/>
        </w:rPr>
        <w:t>dynamic</w:t>
      </w:r>
      <w:r w:rsidR="00CD19B1" w:rsidRPr="00353E7F">
        <w:rPr>
          <w:rFonts w:ascii="Times New Roman" w:hAnsi="Times New Roman" w:cs="Times New Roman"/>
          <w:sz w:val="20"/>
          <w:szCs w:val="20"/>
          <w:lang w:val="en-GB"/>
        </w:rPr>
        <w:t xml:space="preserve"> tool for increase whole economy</w:t>
      </w:r>
      <w:r w:rsidR="00DB44ED" w:rsidRPr="00353E7F">
        <w:rPr>
          <w:rFonts w:ascii="Times New Roman" w:hAnsi="Times New Roman" w:cs="Times New Roman"/>
          <w:sz w:val="20"/>
          <w:szCs w:val="20"/>
          <w:lang w:val="en-GB"/>
        </w:rPr>
        <w:t xml:space="preserve"> in</w:t>
      </w:r>
      <w:r w:rsidRPr="00353E7F">
        <w:rPr>
          <w:rFonts w:ascii="Times New Roman" w:hAnsi="Times New Roman" w:cs="Times New Roman"/>
          <w:sz w:val="20"/>
          <w:szCs w:val="20"/>
          <w:lang w:val="en-GB"/>
        </w:rPr>
        <w:t xml:space="preserve"> th</w:t>
      </w:r>
      <w:r w:rsidR="00CD19B1" w:rsidRPr="00353E7F">
        <w:rPr>
          <w:rFonts w:ascii="Times New Roman" w:hAnsi="Times New Roman" w:cs="Times New Roman"/>
          <w:sz w:val="20"/>
          <w:szCs w:val="20"/>
          <w:lang w:val="en-GB"/>
        </w:rPr>
        <w:t xml:space="preserve">e time of expansion but also </w:t>
      </w:r>
      <w:r w:rsidR="00305B71" w:rsidRPr="00353E7F">
        <w:rPr>
          <w:rFonts w:ascii="Times New Roman" w:hAnsi="Times New Roman" w:cs="Times New Roman"/>
          <w:sz w:val="20"/>
          <w:szCs w:val="20"/>
          <w:lang w:val="en-GB"/>
        </w:rPr>
        <w:t>represent threat</w:t>
      </w:r>
      <w:r w:rsidRPr="00353E7F">
        <w:rPr>
          <w:rFonts w:ascii="Times New Roman" w:hAnsi="Times New Roman" w:cs="Times New Roman"/>
          <w:sz w:val="20"/>
          <w:szCs w:val="20"/>
          <w:lang w:val="en-GB"/>
        </w:rPr>
        <w:t xml:space="preserve"> in the time </w:t>
      </w:r>
      <w:r w:rsidR="00CD19B1" w:rsidRPr="00353E7F">
        <w:rPr>
          <w:rFonts w:ascii="Times New Roman" w:hAnsi="Times New Roman" w:cs="Times New Roman"/>
          <w:sz w:val="20"/>
          <w:szCs w:val="20"/>
          <w:lang w:val="en-GB"/>
        </w:rPr>
        <w:t>of crises as we have fresh memories from the world crisis 2008.</w:t>
      </w:r>
      <w:r w:rsidRPr="00353E7F">
        <w:rPr>
          <w:rFonts w:ascii="Times New Roman" w:hAnsi="Times New Roman" w:cs="Times New Roman"/>
          <w:sz w:val="20"/>
          <w:szCs w:val="20"/>
          <w:lang w:val="en-GB"/>
        </w:rPr>
        <w:t xml:space="preserve"> Financial regulation should be </w:t>
      </w:r>
      <w:r w:rsidR="00305B71" w:rsidRPr="00353E7F">
        <w:rPr>
          <w:rFonts w:ascii="Times New Roman" w:hAnsi="Times New Roman" w:cs="Times New Roman"/>
          <w:sz w:val="20"/>
          <w:szCs w:val="20"/>
          <w:lang w:val="en-GB"/>
        </w:rPr>
        <w:t>analysed</w:t>
      </w:r>
      <w:r w:rsidRPr="00353E7F">
        <w:rPr>
          <w:rFonts w:ascii="Times New Roman" w:hAnsi="Times New Roman" w:cs="Times New Roman"/>
          <w:sz w:val="20"/>
          <w:szCs w:val="20"/>
          <w:lang w:val="en-GB"/>
        </w:rPr>
        <w:t xml:space="preserve"> from the global </w:t>
      </w:r>
      <w:proofErr w:type="gramStart"/>
      <w:r w:rsidR="00305B71" w:rsidRPr="00353E7F">
        <w:rPr>
          <w:rFonts w:ascii="Times New Roman" w:hAnsi="Times New Roman" w:cs="Times New Roman"/>
          <w:sz w:val="20"/>
          <w:szCs w:val="20"/>
          <w:lang w:val="en-GB"/>
        </w:rPr>
        <w:t>perspective</w:t>
      </w:r>
      <w:r w:rsidRPr="00353E7F">
        <w:rPr>
          <w:rFonts w:ascii="Times New Roman" w:hAnsi="Times New Roman" w:cs="Times New Roman"/>
          <w:sz w:val="20"/>
          <w:szCs w:val="20"/>
          <w:lang w:val="en-GB"/>
        </w:rPr>
        <w:t>,</w:t>
      </w:r>
      <w:proofErr w:type="gramEnd"/>
      <w:r w:rsidR="00DB44ED" w:rsidRPr="00353E7F">
        <w:rPr>
          <w:rFonts w:ascii="Times New Roman" w:hAnsi="Times New Roman" w:cs="Times New Roman"/>
          <w:sz w:val="20"/>
          <w:szCs w:val="20"/>
          <w:lang w:val="en-GB"/>
        </w:rPr>
        <w:t xml:space="preserve"> theref</w:t>
      </w:r>
      <w:r w:rsidRPr="00353E7F">
        <w:rPr>
          <w:rFonts w:ascii="Times New Roman" w:hAnsi="Times New Roman" w:cs="Times New Roman"/>
          <w:sz w:val="20"/>
          <w:szCs w:val="20"/>
          <w:lang w:val="en-GB"/>
        </w:rPr>
        <w:t xml:space="preserve">ore author </w:t>
      </w:r>
      <w:r w:rsidR="00DB44ED" w:rsidRPr="00353E7F">
        <w:rPr>
          <w:rFonts w:ascii="Times New Roman" w:hAnsi="Times New Roman" w:cs="Times New Roman"/>
          <w:sz w:val="20"/>
          <w:szCs w:val="20"/>
          <w:lang w:val="en-GB"/>
        </w:rPr>
        <w:t>use comparative methodologies of financial regulation in</w:t>
      </w:r>
      <w:r w:rsidRPr="00353E7F">
        <w:rPr>
          <w:rFonts w:ascii="Times New Roman" w:hAnsi="Times New Roman" w:cs="Times New Roman"/>
          <w:sz w:val="20"/>
          <w:szCs w:val="20"/>
          <w:lang w:val="en-GB"/>
        </w:rPr>
        <w:t xml:space="preserve"> EU</w:t>
      </w:r>
      <w:r w:rsidR="00DB44ED" w:rsidRPr="00353E7F">
        <w:rPr>
          <w:rFonts w:ascii="Times New Roman" w:hAnsi="Times New Roman" w:cs="Times New Roman"/>
          <w:sz w:val="20"/>
          <w:szCs w:val="20"/>
          <w:lang w:val="en-GB"/>
        </w:rPr>
        <w:t xml:space="preserve">, </w:t>
      </w:r>
      <w:r w:rsidRPr="00353E7F">
        <w:rPr>
          <w:rFonts w:ascii="Times New Roman" w:hAnsi="Times New Roman" w:cs="Times New Roman"/>
          <w:sz w:val="20"/>
          <w:szCs w:val="20"/>
          <w:lang w:val="en-GB"/>
        </w:rPr>
        <w:t>Great Britain and US to find the answer to the question regarding chan</w:t>
      </w:r>
      <w:r w:rsidR="00CD19B1" w:rsidRPr="00353E7F">
        <w:rPr>
          <w:rFonts w:ascii="Times New Roman" w:hAnsi="Times New Roman" w:cs="Times New Roman"/>
          <w:sz w:val="20"/>
          <w:szCs w:val="20"/>
          <w:lang w:val="en-GB"/>
        </w:rPr>
        <w:t xml:space="preserve">ges </w:t>
      </w:r>
      <w:r w:rsidR="00B07A90">
        <w:rPr>
          <w:rFonts w:ascii="Times New Roman" w:hAnsi="Times New Roman" w:cs="Times New Roman"/>
          <w:sz w:val="20"/>
          <w:szCs w:val="20"/>
          <w:lang w:val="en-GB"/>
        </w:rPr>
        <w:t xml:space="preserve">in global financial market. Main </w:t>
      </w:r>
      <w:r w:rsidR="00B07A90" w:rsidRPr="00353E7F">
        <w:rPr>
          <w:rFonts w:ascii="Times New Roman" w:hAnsi="Times New Roman" w:cs="Times New Roman"/>
          <w:sz w:val="20"/>
          <w:szCs w:val="20"/>
          <w:lang w:val="en-GB"/>
        </w:rPr>
        <w:t>finding</w:t>
      </w:r>
      <w:r w:rsidR="00CD19B1" w:rsidRPr="00353E7F">
        <w:rPr>
          <w:rFonts w:ascii="Times New Roman" w:hAnsi="Times New Roman" w:cs="Times New Roman"/>
          <w:sz w:val="20"/>
          <w:szCs w:val="20"/>
          <w:lang w:val="en-GB"/>
        </w:rPr>
        <w:t xml:space="preserve"> of the pape</w:t>
      </w:r>
      <w:r w:rsidR="00DC18F0" w:rsidRPr="00353E7F">
        <w:rPr>
          <w:rFonts w:ascii="Times New Roman" w:hAnsi="Times New Roman" w:cs="Times New Roman"/>
          <w:sz w:val="20"/>
          <w:szCs w:val="20"/>
          <w:lang w:val="en-GB"/>
        </w:rPr>
        <w:t>r</w:t>
      </w:r>
      <w:r w:rsidR="00CD19B1" w:rsidRPr="00353E7F">
        <w:rPr>
          <w:rFonts w:ascii="Times New Roman" w:hAnsi="Times New Roman" w:cs="Times New Roman"/>
          <w:sz w:val="20"/>
          <w:szCs w:val="20"/>
          <w:lang w:val="en-GB"/>
        </w:rPr>
        <w:t xml:space="preserve"> is the fact that, ironically, </w:t>
      </w:r>
      <w:r w:rsidR="00ED0FBD">
        <w:rPr>
          <w:rFonts w:ascii="Times New Roman" w:hAnsi="Times New Roman" w:cs="Times New Roman"/>
          <w:sz w:val="20"/>
          <w:szCs w:val="20"/>
          <w:lang w:val="en-GB"/>
        </w:rPr>
        <w:t>Covid-19</w:t>
      </w:r>
      <w:r w:rsidR="00CD19B1" w:rsidRPr="00353E7F">
        <w:rPr>
          <w:rFonts w:ascii="Times New Roman" w:hAnsi="Times New Roman" w:cs="Times New Roman"/>
          <w:sz w:val="20"/>
          <w:szCs w:val="20"/>
          <w:lang w:val="en-GB"/>
        </w:rPr>
        <w:t xml:space="preserve"> help financial</w:t>
      </w:r>
      <w:r w:rsidR="00B07A90">
        <w:rPr>
          <w:rFonts w:ascii="Times New Roman" w:hAnsi="Times New Roman" w:cs="Times New Roman"/>
          <w:sz w:val="20"/>
          <w:szCs w:val="20"/>
          <w:lang w:val="en-GB"/>
        </w:rPr>
        <w:t xml:space="preserve"> integration in general and more specific, </w:t>
      </w:r>
      <w:r w:rsidR="00B07A90" w:rsidRPr="00353E7F">
        <w:rPr>
          <w:rFonts w:ascii="Times New Roman" w:hAnsi="Times New Roman" w:cs="Times New Roman"/>
          <w:sz w:val="20"/>
          <w:szCs w:val="20"/>
          <w:lang w:val="en-GB"/>
        </w:rPr>
        <w:t>re</w:t>
      </w:r>
      <w:r w:rsidR="00DB07D2" w:rsidRPr="00353E7F">
        <w:rPr>
          <w:rFonts w:ascii="Times New Roman" w:hAnsi="Times New Roman" w:cs="Times New Roman"/>
          <w:sz w:val="20"/>
          <w:szCs w:val="20"/>
          <w:lang w:val="en-GB"/>
        </w:rPr>
        <w:t>-</w:t>
      </w:r>
      <w:r w:rsidR="00CD19B1" w:rsidRPr="00353E7F">
        <w:rPr>
          <w:rFonts w:ascii="Times New Roman" w:hAnsi="Times New Roman" w:cs="Times New Roman"/>
          <w:sz w:val="20"/>
          <w:szCs w:val="20"/>
          <w:lang w:val="en-GB"/>
        </w:rPr>
        <w:t xml:space="preserve">regulation in EU to became more </w:t>
      </w:r>
      <w:r w:rsidR="00305B71" w:rsidRPr="00353E7F">
        <w:rPr>
          <w:rFonts w:ascii="Times New Roman" w:hAnsi="Times New Roman" w:cs="Times New Roman"/>
          <w:sz w:val="20"/>
          <w:szCs w:val="20"/>
          <w:lang w:val="en-GB"/>
        </w:rPr>
        <w:t>dynamic</w:t>
      </w:r>
      <w:r w:rsidR="00CD19B1" w:rsidRPr="00353E7F">
        <w:rPr>
          <w:rFonts w:ascii="Times New Roman" w:hAnsi="Times New Roman" w:cs="Times New Roman"/>
          <w:sz w:val="20"/>
          <w:szCs w:val="20"/>
          <w:lang w:val="en-GB"/>
        </w:rPr>
        <w:t xml:space="preserve">, fluid (through </w:t>
      </w:r>
      <w:r w:rsidR="00E02C9A">
        <w:rPr>
          <w:rFonts w:ascii="Times New Roman" w:hAnsi="Times New Roman" w:cs="Times New Roman"/>
          <w:sz w:val="20"/>
          <w:szCs w:val="20"/>
          <w:lang w:val="en-GB"/>
        </w:rPr>
        <w:t>EU</w:t>
      </w:r>
      <w:r w:rsidR="00DC18F0" w:rsidRPr="00353E7F">
        <w:rPr>
          <w:rFonts w:ascii="Times New Roman" w:hAnsi="Times New Roman" w:cs="Times New Roman"/>
          <w:sz w:val="20"/>
          <w:szCs w:val="20"/>
          <w:lang w:val="en-GB"/>
        </w:rPr>
        <w:t xml:space="preserve"> financial</w:t>
      </w:r>
      <w:r w:rsidR="00DB07D2" w:rsidRPr="00353E7F">
        <w:rPr>
          <w:rFonts w:ascii="Times New Roman" w:hAnsi="Times New Roman" w:cs="Times New Roman"/>
          <w:sz w:val="20"/>
          <w:szCs w:val="20"/>
          <w:lang w:val="en-GB"/>
        </w:rPr>
        <w:t xml:space="preserve"> instruments</w:t>
      </w:r>
      <w:r w:rsidR="00DC18F0" w:rsidRPr="00353E7F">
        <w:rPr>
          <w:rFonts w:ascii="Times New Roman" w:hAnsi="Times New Roman" w:cs="Times New Roman"/>
          <w:sz w:val="20"/>
          <w:szCs w:val="20"/>
          <w:lang w:val="en-GB"/>
        </w:rPr>
        <w:t xml:space="preserve"> such as bonds</w:t>
      </w:r>
      <w:r w:rsidR="00DB07D2" w:rsidRPr="00353E7F">
        <w:rPr>
          <w:rFonts w:ascii="Times New Roman" w:hAnsi="Times New Roman" w:cs="Times New Roman"/>
          <w:sz w:val="20"/>
          <w:szCs w:val="20"/>
          <w:lang w:val="en-GB"/>
        </w:rPr>
        <w:t>) and applic</w:t>
      </w:r>
      <w:r w:rsidR="00DC18F0" w:rsidRPr="00353E7F">
        <w:rPr>
          <w:rFonts w:ascii="Times New Roman" w:hAnsi="Times New Roman" w:cs="Times New Roman"/>
          <w:sz w:val="20"/>
          <w:szCs w:val="20"/>
          <w:lang w:val="en-GB"/>
        </w:rPr>
        <w:t xml:space="preserve">able in each of EU member states. </w:t>
      </w:r>
    </w:p>
    <w:p w14:paraId="2F7ADC89" w14:textId="77777777" w:rsidR="00046E9D" w:rsidRPr="00353E7F" w:rsidRDefault="00046E9D" w:rsidP="00C13928">
      <w:pPr>
        <w:jc w:val="both"/>
        <w:rPr>
          <w:rFonts w:ascii="Times New Roman" w:hAnsi="Times New Roman" w:cs="Times New Roman"/>
          <w:sz w:val="20"/>
          <w:szCs w:val="20"/>
          <w:lang w:val="en-GB"/>
        </w:rPr>
      </w:pPr>
    </w:p>
    <w:p w14:paraId="176B491E" w14:textId="501DAD63" w:rsidR="00DB07D2" w:rsidRPr="00353E7F" w:rsidRDefault="00DB07D2" w:rsidP="00C13928">
      <w:pPr>
        <w:jc w:val="both"/>
        <w:rPr>
          <w:rFonts w:ascii="Times New Roman" w:hAnsi="Times New Roman" w:cs="Times New Roman"/>
          <w:sz w:val="20"/>
          <w:szCs w:val="20"/>
          <w:lang w:val="en-GB"/>
        </w:rPr>
      </w:pPr>
      <w:r w:rsidRPr="00E7694F">
        <w:rPr>
          <w:rFonts w:ascii="Times New Roman" w:hAnsi="Times New Roman" w:cs="Times New Roman"/>
          <w:sz w:val="24"/>
          <w:szCs w:val="24"/>
          <w:lang w:val="en-GB"/>
        </w:rPr>
        <w:t>Ke</w:t>
      </w:r>
      <w:r w:rsidR="00697C07" w:rsidRPr="00E7694F">
        <w:rPr>
          <w:rFonts w:ascii="Times New Roman" w:hAnsi="Times New Roman" w:cs="Times New Roman"/>
          <w:sz w:val="24"/>
          <w:szCs w:val="24"/>
          <w:lang w:val="en-GB"/>
        </w:rPr>
        <w:t>ywords</w:t>
      </w:r>
      <w:r w:rsidR="00697C07">
        <w:rPr>
          <w:rFonts w:ascii="Times New Roman" w:hAnsi="Times New Roman" w:cs="Times New Roman"/>
          <w:sz w:val="20"/>
          <w:szCs w:val="20"/>
          <w:lang w:val="en-GB"/>
        </w:rPr>
        <w:t xml:space="preserve">: </w:t>
      </w:r>
      <w:r w:rsidR="00E6281D">
        <w:rPr>
          <w:rFonts w:ascii="Times New Roman" w:hAnsi="Times New Roman" w:cs="Times New Roman"/>
          <w:sz w:val="20"/>
          <w:szCs w:val="20"/>
          <w:lang w:val="en-GB"/>
        </w:rPr>
        <w:t xml:space="preserve">financial regulation, </w:t>
      </w:r>
      <w:r w:rsidR="00697C07">
        <w:rPr>
          <w:rFonts w:ascii="Times New Roman" w:hAnsi="Times New Roman" w:cs="Times New Roman"/>
          <w:sz w:val="20"/>
          <w:szCs w:val="20"/>
          <w:lang w:val="en-GB"/>
        </w:rPr>
        <w:t>EU</w:t>
      </w:r>
      <w:r w:rsidR="00654F46">
        <w:rPr>
          <w:rFonts w:ascii="Times New Roman" w:hAnsi="Times New Roman" w:cs="Times New Roman"/>
          <w:sz w:val="20"/>
          <w:szCs w:val="20"/>
          <w:lang w:val="en-GB"/>
        </w:rPr>
        <w:t xml:space="preserve"> financial re-regulation,</w:t>
      </w:r>
      <w:r w:rsidR="008C08D4">
        <w:rPr>
          <w:rFonts w:ascii="Times New Roman" w:hAnsi="Times New Roman" w:cs="Times New Roman"/>
          <w:sz w:val="20"/>
          <w:szCs w:val="20"/>
          <w:lang w:val="en-GB"/>
        </w:rPr>
        <w:t xml:space="preserve"> </w:t>
      </w:r>
      <w:proofErr w:type="spellStart"/>
      <w:r w:rsidR="008C08D4">
        <w:rPr>
          <w:rFonts w:ascii="Times New Roman" w:hAnsi="Times New Roman" w:cs="Times New Roman"/>
          <w:sz w:val="20"/>
          <w:szCs w:val="20"/>
          <w:lang w:val="en-GB"/>
        </w:rPr>
        <w:t>NextGeneration</w:t>
      </w:r>
      <w:proofErr w:type="spellEnd"/>
      <w:r w:rsidR="008C08D4">
        <w:rPr>
          <w:rFonts w:ascii="Times New Roman" w:hAnsi="Times New Roman" w:cs="Times New Roman"/>
          <w:sz w:val="20"/>
          <w:szCs w:val="20"/>
          <w:lang w:val="en-GB"/>
        </w:rPr>
        <w:t xml:space="preserve"> EU</w:t>
      </w:r>
    </w:p>
    <w:p w14:paraId="09E0B31B" w14:textId="77777777" w:rsidR="00DB07D2" w:rsidRPr="00353E7F" w:rsidRDefault="00DB07D2" w:rsidP="00C13928">
      <w:pPr>
        <w:jc w:val="both"/>
        <w:rPr>
          <w:rFonts w:ascii="Times New Roman" w:hAnsi="Times New Roman" w:cs="Times New Roman"/>
          <w:sz w:val="20"/>
          <w:szCs w:val="20"/>
          <w:lang w:val="en-GB"/>
        </w:rPr>
      </w:pPr>
    </w:p>
    <w:p w14:paraId="0C43D6EC" w14:textId="5B424603" w:rsidR="00DB07D2" w:rsidRPr="00F905FA" w:rsidRDefault="00F905FA" w:rsidP="00C1392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DB07D2" w:rsidRPr="00F905FA">
        <w:rPr>
          <w:rFonts w:ascii="Times New Roman" w:hAnsi="Times New Roman" w:cs="Times New Roman"/>
          <w:sz w:val="24"/>
          <w:szCs w:val="24"/>
          <w:lang w:val="en-GB"/>
        </w:rPr>
        <w:t>Introduction</w:t>
      </w:r>
    </w:p>
    <w:p w14:paraId="3CC1B00A" w14:textId="1701A3A8" w:rsidR="00DB07D2" w:rsidRPr="00B07A90" w:rsidRDefault="00EF71FC" w:rsidP="00B07A90">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The financial in</w:t>
      </w:r>
      <w:r w:rsidR="00E07930" w:rsidRPr="00697C07">
        <w:rPr>
          <w:rFonts w:ascii="Times New Roman" w:hAnsi="Times New Roman" w:cs="Times New Roman"/>
          <w:sz w:val="20"/>
          <w:szCs w:val="20"/>
          <w:lang w:val="en-GB"/>
        </w:rPr>
        <w:t>dustry is the most</w:t>
      </w:r>
      <w:r w:rsidRPr="00697C07">
        <w:rPr>
          <w:rFonts w:ascii="Times New Roman" w:hAnsi="Times New Roman" w:cs="Times New Roman"/>
          <w:sz w:val="20"/>
          <w:szCs w:val="20"/>
          <w:lang w:val="en-GB"/>
        </w:rPr>
        <w:t xml:space="preserve"> </w:t>
      </w:r>
      <w:r w:rsidR="00E07930" w:rsidRPr="00697C07">
        <w:rPr>
          <w:rFonts w:ascii="Times New Roman" w:hAnsi="Times New Roman" w:cs="Times New Roman"/>
          <w:sz w:val="20"/>
          <w:szCs w:val="20"/>
          <w:lang w:val="en-GB"/>
        </w:rPr>
        <w:t xml:space="preserve">regulated industry </w:t>
      </w:r>
      <w:proofErr w:type="gramStart"/>
      <w:r w:rsidR="00B07A90">
        <w:rPr>
          <w:rFonts w:ascii="Times New Roman" w:hAnsi="Times New Roman" w:cs="Times New Roman"/>
          <w:sz w:val="20"/>
          <w:szCs w:val="20"/>
          <w:lang w:val="en-GB"/>
        </w:rPr>
        <w:t>this days</w:t>
      </w:r>
      <w:proofErr w:type="gramEnd"/>
      <w:r w:rsidRPr="00697C07">
        <w:rPr>
          <w:rFonts w:ascii="Times New Roman" w:hAnsi="Times New Roman" w:cs="Times New Roman"/>
          <w:sz w:val="20"/>
          <w:szCs w:val="20"/>
          <w:lang w:val="en-GB"/>
        </w:rPr>
        <w:t>, and yet this has not stopped the emergence of periodic crises and economic shocks. Are economic cycles followed by financial cycles a natural phenomenon of socio-economic systems or is human interference with regulations and laws necessary? H</w:t>
      </w:r>
      <w:r w:rsidR="00B07A90">
        <w:rPr>
          <w:rFonts w:ascii="Times New Roman" w:hAnsi="Times New Roman" w:cs="Times New Roman"/>
          <w:sz w:val="20"/>
          <w:szCs w:val="20"/>
          <w:lang w:val="en-GB"/>
        </w:rPr>
        <w:t xml:space="preserve">istory tells us that </w:t>
      </w:r>
      <w:proofErr w:type="spellStart"/>
      <w:r w:rsidR="00B07A90" w:rsidRPr="00B07A90">
        <w:rPr>
          <w:rFonts w:ascii="Times New Roman" w:hAnsi="Times New Roman" w:cs="Times New Roman"/>
          <w:sz w:val="20"/>
          <w:szCs w:val="20"/>
          <w:lang w:val="en-GB"/>
        </w:rPr>
        <w:t>laisser</w:t>
      </w:r>
      <w:proofErr w:type="spellEnd"/>
      <w:r w:rsidR="00B07A90" w:rsidRPr="00B07A90">
        <w:rPr>
          <w:rFonts w:ascii="Times New Roman" w:hAnsi="Times New Roman" w:cs="Times New Roman"/>
          <w:sz w:val="20"/>
          <w:szCs w:val="20"/>
          <w:lang w:val="en-GB"/>
        </w:rPr>
        <w:t xml:space="preserve"> faire,</w:t>
      </w:r>
      <w:r w:rsidR="00B07A90">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needs to be controlled and regulated</w:t>
      </w:r>
      <w:r w:rsidR="00B07A90">
        <w:rPr>
          <w:rFonts w:ascii="Times New Roman" w:hAnsi="Times New Roman" w:cs="Times New Roman"/>
          <w:sz w:val="20"/>
          <w:szCs w:val="20"/>
          <w:lang w:val="en-GB"/>
        </w:rPr>
        <w:t xml:space="preserve"> to some extent. </w:t>
      </w:r>
      <w:proofErr w:type="spellStart"/>
      <w:r w:rsidR="00B07A90">
        <w:rPr>
          <w:rFonts w:ascii="Times New Roman" w:hAnsi="Times New Roman" w:cs="Times New Roman"/>
          <w:sz w:val="20"/>
          <w:szCs w:val="20"/>
          <w:lang w:val="en-GB"/>
        </w:rPr>
        <w:t>Goverment</w:t>
      </w:r>
      <w:proofErr w:type="spellEnd"/>
      <w:r w:rsidR="00B07A90">
        <w:rPr>
          <w:rFonts w:ascii="Times New Roman" w:hAnsi="Times New Roman" w:cs="Times New Roman"/>
          <w:sz w:val="20"/>
          <w:szCs w:val="20"/>
          <w:lang w:val="en-GB"/>
        </w:rPr>
        <w:t xml:space="preserve"> interference</w:t>
      </w:r>
      <w:r w:rsidRPr="00697C07">
        <w:rPr>
          <w:rFonts w:ascii="Times New Roman" w:hAnsi="Times New Roman" w:cs="Times New Roman"/>
          <w:sz w:val="20"/>
          <w:szCs w:val="20"/>
          <w:lang w:val="en-GB"/>
        </w:rPr>
        <w:t xml:space="preserve"> should exist, but to what extent? These and similar issues are of concern to today's economists. The subject of the research of financial de (regulation) in this paper includes an overview of the most important financial regulations in order to compare the EU financia</w:t>
      </w:r>
      <w:r w:rsidR="00B07A90">
        <w:rPr>
          <w:rFonts w:ascii="Times New Roman" w:hAnsi="Times New Roman" w:cs="Times New Roman"/>
          <w:sz w:val="20"/>
          <w:szCs w:val="20"/>
          <w:lang w:val="en-GB"/>
        </w:rPr>
        <w:t>l regulations with the US and UK</w:t>
      </w:r>
      <w:r w:rsidRPr="00697C07">
        <w:rPr>
          <w:rFonts w:ascii="Times New Roman" w:hAnsi="Times New Roman" w:cs="Times New Roman"/>
          <w:sz w:val="20"/>
          <w:szCs w:val="20"/>
          <w:lang w:val="en-GB"/>
        </w:rPr>
        <w:t xml:space="preserve"> financial regulations as the leading countries when it comes to the financial industry. In addition, the aim of the paper is to check the state o</w:t>
      </w:r>
      <w:r w:rsidR="00F53127">
        <w:rPr>
          <w:rFonts w:ascii="Times New Roman" w:hAnsi="Times New Roman" w:cs="Times New Roman"/>
          <w:sz w:val="20"/>
          <w:szCs w:val="20"/>
          <w:lang w:val="en-GB"/>
        </w:rPr>
        <w:t xml:space="preserve">f financial regulations in the </w:t>
      </w:r>
      <w:r w:rsidR="00ED0FBD">
        <w:rPr>
          <w:rFonts w:ascii="Times New Roman" w:hAnsi="Times New Roman" w:cs="Times New Roman"/>
          <w:sz w:val="20"/>
          <w:szCs w:val="20"/>
          <w:lang w:val="en-GB"/>
        </w:rPr>
        <w:t>Covid-19</w:t>
      </w:r>
      <w:r w:rsidR="008C08D4">
        <w:rPr>
          <w:rFonts w:ascii="Times New Roman" w:hAnsi="Times New Roman" w:cs="Times New Roman"/>
          <w:sz w:val="20"/>
          <w:szCs w:val="20"/>
          <w:lang w:val="en-GB"/>
        </w:rPr>
        <w:t xml:space="preserve"> reality. </w:t>
      </w:r>
      <w:r w:rsidRPr="00697C07">
        <w:rPr>
          <w:rFonts w:ascii="Times New Roman" w:hAnsi="Times New Roman" w:cs="Times New Roman"/>
          <w:sz w:val="20"/>
          <w:szCs w:val="20"/>
          <w:lang w:val="en-GB"/>
        </w:rPr>
        <w:t>The research questions of the paper start from the assumption that the financial industry is regulated and deregulated following business cycles of growth and decline. Each crisis is followed by tighter regulation of the financial industry that society 'forgets', followed by financial de-regulation largely due to pressure from strong and large banks and their interest representatives (lobbyists, etc.). The reason leading large banks to limit regulation lies in the desire to</w:t>
      </w:r>
      <w:r w:rsidR="00E07930" w:rsidRPr="00697C07">
        <w:rPr>
          <w:rFonts w:ascii="Times New Roman" w:hAnsi="Times New Roman" w:cs="Times New Roman"/>
          <w:sz w:val="20"/>
          <w:szCs w:val="20"/>
          <w:lang w:val="en-GB"/>
        </w:rPr>
        <w:t xml:space="preserve"> develop </w:t>
      </w:r>
      <w:r w:rsidR="00990FC8" w:rsidRPr="00697C07">
        <w:rPr>
          <w:rFonts w:ascii="Times New Roman" w:hAnsi="Times New Roman" w:cs="Times New Roman"/>
          <w:sz w:val="20"/>
          <w:szCs w:val="20"/>
          <w:lang w:val="en-GB"/>
        </w:rPr>
        <w:t>their business through the new financial products and consequently</w:t>
      </w:r>
      <w:r w:rsidRPr="00697C07">
        <w:rPr>
          <w:rFonts w:ascii="Times New Roman" w:hAnsi="Times New Roman" w:cs="Times New Roman"/>
          <w:sz w:val="20"/>
          <w:szCs w:val="20"/>
          <w:lang w:val="en-GB"/>
        </w:rPr>
        <w:t xml:space="preserve"> make a profit, while the desire of regulators to regulate the financial industry is driven by concern for the sustainability of the financial system</w:t>
      </w:r>
      <w:r w:rsidR="00990FC8" w:rsidRPr="00697C07">
        <w:rPr>
          <w:rFonts w:ascii="Times New Roman" w:hAnsi="Times New Roman" w:cs="Times New Roman"/>
          <w:sz w:val="20"/>
          <w:szCs w:val="20"/>
          <w:lang w:val="en-GB"/>
        </w:rPr>
        <w:t xml:space="preserve"> in general</w:t>
      </w:r>
      <w:r w:rsidRPr="00697C07">
        <w:rPr>
          <w:rFonts w:ascii="Times New Roman" w:hAnsi="Times New Roman" w:cs="Times New Roman"/>
          <w:sz w:val="20"/>
          <w:szCs w:val="20"/>
          <w:lang w:val="en-GB"/>
        </w:rPr>
        <w:t>.</w:t>
      </w:r>
      <w:r w:rsidR="008154C9" w:rsidRPr="00697C07">
        <w:rPr>
          <w:rFonts w:ascii="Times New Roman" w:hAnsi="Times New Roman" w:cs="Times New Roman"/>
          <w:sz w:val="20"/>
          <w:szCs w:val="20"/>
          <w:lang w:val="en-GB"/>
        </w:rPr>
        <w:t xml:space="preserve"> </w:t>
      </w:r>
      <w:r w:rsidR="00B07A90">
        <w:rPr>
          <w:rFonts w:ascii="Times New Roman" w:hAnsi="Times New Roman" w:cs="Times New Roman"/>
          <w:sz w:val="20"/>
          <w:szCs w:val="20"/>
          <w:lang w:val="en-GB"/>
        </w:rPr>
        <w:t xml:space="preserve"> </w:t>
      </w:r>
      <w:r w:rsidR="00990FC8" w:rsidRPr="00697C07">
        <w:rPr>
          <w:rFonts w:ascii="Times New Roman" w:hAnsi="Times New Roman" w:cs="Times New Roman"/>
          <w:sz w:val="20"/>
          <w:szCs w:val="20"/>
          <w:lang w:val="en-GB"/>
        </w:rPr>
        <w:t xml:space="preserve">It </w:t>
      </w:r>
      <w:r w:rsidR="008C08D4">
        <w:rPr>
          <w:rFonts w:ascii="Times New Roman" w:hAnsi="Times New Roman" w:cs="Times New Roman"/>
          <w:sz w:val="20"/>
          <w:szCs w:val="20"/>
          <w:lang w:val="en-GB"/>
        </w:rPr>
        <w:t>i</w:t>
      </w:r>
      <w:r w:rsidR="00990FC8" w:rsidRPr="00697C07">
        <w:rPr>
          <w:rFonts w:ascii="Times New Roman" w:hAnsi="Times New Roman" w:cs="Times New Roman"/>
          <w:sz w:val="20"/>
          <w:szCs w:val="20"/>
          <w:lang w:val="en-GB"/>
        </w:rPr>
        <w:t>s important</w:t>
      </w:r>
      <w:r w:rsidRPr="00697C07">
        <w:rPr>
          <w:rFonts w:ascii="Times New Roman" w:hAnsi="Times New Roman" w:cs="Times New Roman"/>
          <w:sz w:val="20"/>
          <w:szCs w:val="20"/>
          <w:lang w:val="en-GB"/>
        </w:rPr>
        <w:t xml:space="preserve"> it to recall the first (1929) and second (2008) world crises and the consequences they brought globally: the economic downturn, rising inflation, rising unemployment, bank failures, investment failures, companies</w:t>
      </w:r>
      <w:r w:rsidR="00990FC8" w:rsidRPr="00697C07">
        <w:rPr>
          <w:rFonts w:ascii="Times New Roman" w:hAnsi="Times New Roman" w:cs="Times New Roman"/>
          <w:sz w:val="20"/>
          <w:szCs w:val="20"/>
          <w:lang w:val="en-GB"/>
        </w:rPr>
        <w:t xml:space="preserve"> turn off</w:t>
      </w:r>
      <w:r w:rsidRPr="00697C07">
        <w:rPr>
          <w:rFonts w:ascii="Times New Roman" w:hAnsi="Times New Roman" w:cs="Times New Roman"/>
          <w:sz w:val="20"/>
          <w:szCs w:val="20"/>
          <w:lang w:val="en-GB"/>
        </w:rPr>
        <w:t xml:space="preserve">, rising interest rates, etc. </w:t>
      </w:r>
      <w:r w:rsidRPr="00B07A90">
        <w:rPr>
          <w:rFonts w:ascii="Times New Roman" w:hAnsi="Times New Roman" w:cs="Times New Roman"/>
          <w:sz w:val="20"/>
          <w:szCs w:val="20"/>
          <w:lang w:val="en-GB"/>
        </w:rPr>
        <w:t xml:space="preserve">In 2021, the world is facing with </w:t>
      </w:r>
      <w:r w:rsidR="00990FC8" w:rsidRPr="00B07A90">
        <w:rPr>
          <w:rFonts w:ascii="Times New Roman" w:hAnsi="Times New Roman" w:cs="Times New Roman"/>
          <w:sz w:val="20"/>
          <w:szCs w:val="20"/>
          <w:lang w:val="en-GB"/>
        </w:rPr>
        <w:t xml:space="preserve">the </w:t>
      </w:r>
      <w:r w:rsidR="00E02C9A" w:rsidRPr="00B07A90">
        <w:rPr>
          <w:rFonts w:ascii="Times New Roman" w:hAnsi="Times New Roman" w:cs="Times New Roman"/>
          <w:sz w:val="20"/>
          <w:szCs w:val="20"/>
          <w:lang w:val="en-GB"/>
        </w:rPr>
        <w:t>typical</w:t>
      </w:r>
      <w:r w:rsidR="00990FC8" w:rsidRPr="00B07A90">
        <w:rPr>
          <w:rFonts w:ascii="Times New Roman" w:hAnsi="Times New Roman" w:cs="Times New Roman"/>
          <w:sz w:val="20"/>
          <w:szCs w:val="20"/>
          <w:lang w:val="en-GB"/>
        </w:rPr>
        <w:t xml:space="preserve"> black swan event – </w:t>
      </w:r>
      <w:r w:rsidR="00ED0FBD">
        <w:rPr>
          <w:rFonts w:ascii="Times New Roman" w:hAnsi="Times New Roman" w:cs="Times New Roman"/>
          <w:sz w:val="20"/>
          <w:szCs w:val="20"/>
          <w:lang w:val="en-GB"/>
        </w:rPr>
        <w:t>Covid-19</w:t>
      </w:r>
      <w:r w:rsidR="00FE0F5F" w:rsidRPr="00B07A90">
        <w:rPr>
          <w:rFonts w:ascii="Times New Roman" w:hAnsi="Times New Roman" w:cs="Times New Roman"/>
          <w:sz w:val="20"/>
          <w:szCs w:val="20"/>
          <w:lang w:val="en-GB"/>
        </w:rPr>
        <w:t xml:space="preserve"> - </w:t>
      </w:r>
      <w:r w:rsidR="00046E9D" w:rsidRPr="00B07A90">
        <w:rPr>
          <w:rFonts w:ascii="Times New Roman" w:hAnsi="Times New Roman" w:cs="Times New Roman"/>
          <w:sz w:val="20"/>
          <w:szCs w:val="20"/>
          <w:lang w:val="en-GB"/>
        </w:rPr>
        <w:t>“a very low-probability but very high-risk event.”</w:t>
      </w:r>
      <w:r w:rsidR="00B07A90">
        <w:rPr>
          <w:rFonts w:ascii="Times New Roman" w:hAnsi="Times New Roman" w:cs="Times New Roman"/>
          <w:sz w:val="20"/>
          <w:szCs w:val="20"/>
          <w:lang w:val="en-GB"/>
        </w:rPr>
        <w:t xml:space="preserve"> </w:t>
      </w:r>
      <w:r w:rsidR="005A6912" w:rsidRPr="00B07A90">
        <w:rPr>
          <w:rFonts w:ascii="Times New Roman" w:hAnsi="Times New Roman" w:cs="Times New Roman"/>
          <w:sz w:val="20"/>
          <w:szCs w:val="20"/>
          <w:lang w:val="en-GB"/>
        </w:rPr>
        <w:t>(</w:t>
      </w:r>
      <w:proofErr w:type="spellStart"/>
      <w:r w:rsidR="00990FC8" w:rsidRPr="00B07A90">
        <w:rPr>
          <w:rFonts w:ascii="Times New Roman" w:hAnsi="Times New Roman" w:cs="Times New Roman"/>
          <w:sz w:val="20"/>
          <w:szCs w:val="20"/>
          <w:lang w:val="en-GB"/>
        </w:rPr>
        <w:t>Taleb</w:t>
      </w:r>
      <w:proofErr w:type="spellEnd"/>
      <w:r w:rsidR="00990FC8" w:rsidRPr="00B07A90">
        <w:rPr>
          <w:rFonts w:ascii="Times New Roman" w:hAnsi="Times New Roman" w:cs="Times New Roman"/>
          <w:sz w:val="20"/>
          <w:szCs w:val="20"/>
          <w:lang w:val="en-GB"/>
        </w:rPr>
        <w:t>, 2010)</w:t>
      </w:r>
      <w:r w:rsidRPr="00B07A90">
        <w:rPr>
          <w:rFonts w:ascii="Times New Roman" w:hAnsi="Times New Roman" w:cs="Times New Roman"/>
          <w:sz w:val="20"/>
          <w:szCs w:val="20"/>
          <w:lang w:val="en-GB"/>
        </w:rPr>
        <w:t xml:space="preserve">. </w:t>
      </w:r>
      <w:r w:rsidRPr="00B07A90">
        <w:rPr>
          <w:rFonts w:ascii="Times New Roman" w:hAnsi="Times New Roman" w:cs="Times New Roman"/>
          <w:sz w:val="20"/>
          <w:szCs w:val="20"/>
          <w:lang w:val="en-GB"/>
        </w:rPr>
        <w:lastRenderedPageBreak/>
        <w:t>In</w:t>
      </w:r>
      <w:r w:rsidR="00F53127" w:rsidRPr="00B07A90">
        <w:rPr>
          <w:rFonts w:ascii="Times New Roman" w:hAnsi="Times New Roman" w:cs="Times New Roman"/>
          <w:sz w:val="20"/>
          <w:szCs w:val="20"/>
          <w:lang w:val="en-GB"/>
        </w:rPr>
        <w:t xml:space="preserve"> addition to the fight against </w:t>
      </w:r>
      <w:r w:rsidR="00ED0FBD">
        <w:rPr>
          <w:rFonts w:ascii="Times New Roman" w:hAnsi="Times New Roman" w:cs="Times New Roman"/>
          <w:sz w:val="20"/>
          <w:szCs w:val="20"/>
          <w:lang w:val="en-GB"/>
        </w:rPr>
        <w:t>Covid-19</w:t>
      </w:r>
      <w:r w:rsidRPr="00B07A90">
        <w:rPr>
          <w:rFonts w:ascii="Times New Roman" w:hAnsi="Times New Roman" w:cs="Times New Roman"/>
          <w:sz w:val="20"/>
          <w:szCs w:val="20"/>
          <w:lang w:val="en-GB"/>
        </w:rPr>
        <w:t>, the EU should also face Brexit. Both phenomena have accelerated the decision-making process and a certain degree of financial deregulation, which is reflected in the placement of European bonds in order to p</w:t>
      </w:r>
      <w:r w:rsidR="00F53127" w:rsidRPr="00B07A90">
        <w:rPr>
          <w:rFonts w:ascii="Times New Roman" w:hAnsi="Times New Roman" w:cs="Times New Roman"/>
          <w:sz w:val="20"/>
          <w:szCs w:val="20"/>
          <w:lang w:val="en-GB"/>
        </w:rPr>
        <w:t xml:space="preserve">rovide funds for recovery from </w:t>
      </w:r>
      <w:r w:rsidR="00ED0FBD">
        <w:rPr>
          <w:rFonts w:ascii="Times New Roman" w:hAnsi="Times New Roman" w:cs="Times New Roman"/>
          <w:sz w:val="20"/>
          <w:szCs w:val="20"/>
          <w:lang w:val="en-GB"/>
        </w:rPr>
        <w:t>Covid-19</w:t>
      </w:r>
      <w:r w:rsidR="00990FC8" w:rsidRPr="00B07A90">
        <w:rPr>
          <w:rFonts w:ascii="Times New Roman" w:hAnsi="Times New Roman" w:cs="Times New Roman"/>
          <w:sz w:val="20"/>
          <w:szCs w:val="20"/>
          <w:lang w:val="en-GB"/>
        </w:rPr>
        <w:t xml:space="preserve"> known as 'recovery bonds' or 'Next Generation EU Bonds' (</w:t>
      </w:r>
      <w:proofErr w:type="spellStart"/>
      <w:r w:rsidR="00990FC8" w:rsidRPr="00B07A90">
        <w:rPr>
          <w:rFonts w:ascii="Times New Roman" w:hAnsi="Times New Roman" w:cs="Times New Roman"/>
          <w:sz w:val="20"/>
          <w:szCs w:val="20"/>
          <w:lang w:val="en-GB"/>
        </w:rPr>
        <w:t>Gerich</w:t>
      </w:r>
      <w:proofErr w:type="spellEnd"/>
      <w:r w:rsidR="00990FC8" w:rsidRPr="00B07A90">
        <w:rPr>
          <w:rFonts w:ascii="Times New Roman" w:hAnsi="Times New Roman" w:cs="Times New Roman"/>
          <w:sz w:val="20"/>
          <w:szCs w:val="20"/>
          <w:lang w:val="en-GB"/>
        </w:rPr>
        <w:t>, 2020)</w:t>
      </w:r>
      <w:r w:rsidRPr="00B07A90">
        <w:rPr>
          <w:rFonts w:ascii="Times New Roman" w:hAnsi="Times New Roman" w:cs="Times New Roman"/>
          <w:sz w:val="20"/>
          <w:szCs w:val="20"/>
          <w:lang w:val="en-GB"/>
        </w:rPr>
        <w:t xml:space="preserve">. Also, no one is pointing a finger at </w:t>
      </w:r>
      <w:r w:rsidR="00E02C9A" w:rsidRPr="00B07A90">
        <w:rPr>
          <w:rFonts w:ascii="Times New Roman" w:hAnsi="Times New Roman" w:cs="Times New Roman"/>
          <w:sz w:val="20"/>
          <w:szCs w:val="20"/>
          <w:lang w:val="en-GB"/>
        </w:rPr>
        <w:t>government</w:t>
      </w:r>
      <w:r w:rsidRPr="00B07A90">
        <w:rPr>
          <w:rFonts w:ascii="Times New Roman" w:hAnsi="Times New Roman" w:cs="Times New Roman"/>
          <w:sz w:val="20"/>
          <w:szCs w:val="20"/>
          <w:lang w:val="en-GB"/>
        </w:rPr>
        <w:t xml:space="preserve"> debts that no one can stop given the economic slowdown due to the lockdown. For example, the Republic of Croatia continues its path towards the Eurozone, although it does not meet all the prescribed criteria it should have met (especially the government debt, wh</w:t>
      </w:r>
      <w:r w:rsidR="00B22E07" w:rsidRPr="00B07A90">
        <w:rPr>
          <w:rFonts w:ascii="Times New Roman" w:hAnsi="Times New Roman" w:cs="Times New Roman"/>
          <w:sz w:val="20"/>
          <w:szCs w:val="20"/>
          <w:lang w:val="en-GB"/>
        </w:rPr>
        <w:t>ich rose above the prescribed 60</w:t>
      </w:r>
      <w:r w:rsidRPr="00B07A90">
        <w:rPr>
          <w:rFonts w:ascii="Times New Roman" w:hAnsi="Times New Roman" w:cs="Times New Roman"/>
          <w:sz w:val="20"/>
          <w:szCs w:val="20"/>
          <w:lang w:val="en-GB"/>
        </w:rPr>
        <w:t>%</w:t>
      </w:r>
      <w:r w:rsidR="00B22E07" w:rsidRPr="00B07A90">
        <w:rPr>
          <w:rFonts w:ascii="Times New Roman" w:hAnsi="Times New Roman" w:cs="Times New Roman"/>
          <w:sz w:val="20"/>
          <w:szCs w:val="20"/>
          <w:lang w:val="en-GB"/>
        </w:rPr>
        <w:t xml:space="preserve"> of GDB</w:t>
      </w:r>
      <w:r w:rsidRPr="00B07A90">
        <w:rPr>
          <w:rFonts w:ascii="Times New Roman" w:hAnsi="Times New Roman" w:cs="Times New Roman"/>
          <w:sz w:val="20"/>
          <w:szCs w:val="20"/>
          <w:lang w:val="en-GB"/>
        </w:rPr>
        <w:t>), and in some normal conditions</w:t>
      </w:r>
      <w:r w:rsidR="008C08D4" w:rsidRPr="00B07A90">
        <w:rPr>
          <w:rFonts w:ascii="Times New Roman" w:hAnsi="Times New Roman" w:cs="Times New Roman"/>
          <w:sz w:val="20"/>
          <w:szCs w:val="20"/>
          <w:lang w:val="en-GB"/>
        </w:rPr>
        <w:t xml:space="preserve"> (old normality)</w:t>
      </w:r>
      <w:r w:rsidRPr="00B07A90">
        <w:rPr>
          <w:rFonts w:ascii="Times New Roman" w:hAnsi="Times New Roman" w:cs="Times New Roman"/>
          <w:sz w:val="20"/>
          <w:szCs w:val="20"/>
          <w:lang w:val="en-GB"/>
        </w:rPr>
        <w:t xml:space="preserve"> this debt would be a serious obstacle to Croatia's entry into the Eurozone. </w:t>
      </w:r>
      <w:proofErr w:type="spellStart"/>
      <w:r w:rsidR="00EC593C" w:rsidRPr="00B07A90">
        <w:rPr>
          <w:rFonts w:ascii="Times New Roman" w:hAnsi="Times New Roman" w:cs="Times New Roman"/>
          <w:color w:val="333333"/>
          <w:sz w:val="20"/>
          <w:szCs w:val="20"/>
        </w:rPr>
        <w:t>And</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this</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is</w:t>
      </w:r>
      <w:proofErr w:type="spellEnd"/>
      <w:r w:rsidR="00EC593C" w:rsidRPr="00B07A90">
        <w:rPr>
          <w:rFonts w:ascii="Times New Roman" w:hAnsi="Times New Roman" w:cs="Times New Roman"/>
          <w:color w:val="333333"/>
          <w:sz w:val="20"/>
          <w:szCs w:val="20"/>
        </w:rPr>
        <w:t xml:space="preserve"> no time to </w:t>
      </w:r>
      <w:proofErr w:type="spellStart"/>
      <w:r w:rsidR="00EC593C" w:rsidRPr="00B07A90">
        <w:rPr>
          <w:rFonts w:ascii="Times New Roman" w:hAnsi="Times New Roman" w:cs="Times New Roman"/>
          <w:color w:val="333333"/>
          <w:sz w:val="20"/>
          <w:szCs w:val="20"/>
        </w:rPr>
        <w:t>worry</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even</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slightly</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about</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the</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level</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of</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government</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debt</w:t>
      </w:r>
      <w:proofErr w:type="spellEnd"/>
      <w:r w:rsidR="00EC593C" w:rsidRPr="00B07A90">
        <w:rPr>
          <w:rFonts w:ascii="Times New Roman" w:hAnsi="Times New Roman" w:cs="Times New Roman"/>
          <w:color w:val="333333"/>
          <w:sz w:val="20"/>
          <w:szCs w:val="20"/>
        </w:rPr>
        <w:t xml:space="preserve"> </w:t>
      </w:r>
      <w:proofErr w:type="spellStart"/>
      <w:r w:rsidR="00EC593C" w:rsidRPr="00B07A90">
        <w:rPr>
          <w:rFonts w:ascii="Times New Roman" w:hAnsi="Times New Roman" w:cs="Times New Roman"/>
          <w:color w:val="333333"/>
          <w:sz w:val="20"/>
          <w:szCs w:val="20"/>
        </w:rPr>
        <w:t>Krugman</w:t>
      </w:r>
      <w:proofErr w:type="spellEnd"/>
      <w:r w:rsidR="00EC593C" w:rsidRPr="00B07A90">
        <w:rPr>
          <w:rFonts w:ascii="Times New Roman" w:hAnsi="Times New Roman" w:cs="Times New Roman"/>
          <w:color w:val="333333"/>
          <w:sz w:val="20"/>
          <w:szCs w:val="20"/>
        </w:rPr>
        <w:t xml:space="preserve">, 2020) </w:t>
      </w:r>
      <w:r w:rsidRPr="00B07A90">
        <w:rPr>
          <w:rFonts w:ascii="Times New Roman" w:hAnsi="Times New Roman" w:cs="Times New Roman"/>
          <w:sz w:val="20"/>
          <w:szCs w:val="20"/>
          <w:lang w:val="en-GB"/>
        </w:rPr>
        <w:t>The first chapter provides an overview of the m</w:t>
      </w:r>
      <w:r w:rsidR="00ED0FBD">
        <w:rPr>
          <w:rFonts w:ascii="Times New Roman" w:hAnsi="Times New Roman" w:cs="Times New Roman"/>
          <w:sz w:val="20"/>
          <w:szCs w:val="20"/>
          <w:lang w:val="en-GB"/>
        </w:rPr>
        <w:t>ain US</w:t>
      </w:r>
      <w:r w:rsidR="00B07A90">
        <w:rPr>
          <w:rFonts w:ascii="Times New Roman" w:hAnsi="Times New Roman" w:cs="Times New Roman"/>
          <w:sz w:val="20"/>
          <w:szCs w:val="20"/>
          <w:lang w:val="en-GB"/>
        </w:rPr>
        <w:t xml:space="preserve"> financial regulatory doctrine</w:t>
      </w:r>
      <w:r w:rsidRPr="00B07A90">
        <w:rPr>
          <w:rFonts w:ascii="Times New Roman" w:hAnsi="Times New Roman" w:cs="Times New Roman"/>
          <w:sz w:val="20"/>
          <w:szCs w:val="20"/>
          <w:lang w:val="en-GB"/>
        </w:rPr>
        <w:t>. In the second chapter the development o</w:t>
      </w:r>
      <w:r w:rsidR="00ED0FBD">
        <w:rPr>
          <w:rFonts w:ascii="Times New Roman" w:hAnsi="Times New Roman" w:cs="Times New Roman"/>
          <w:sz w:val="20"/>
          <w:szCs w:val="20"/>
          <w:lang w:val="en-GB"/>
        </w:rPr>
        <w:t>f financial regulation in the UK</w:t>
      </w:r>
      <w:r w:rsidRPr="00B07A90">
        <w:rPr>
          <w:rFonts w:ascii="Times New Roman" w:hAnsi="Times New Roman" w:cs="Times New Roman"/>
          <w:sz w:val="20"/>
          <w:szCs w:val="20"/>
          <w:lang w:val="en-GB"/>
        </w:rPr>
        <w:t xml:space="preserve"> and th</w:t>
      </w:r>
      <w:r w:rsidR="00ED0FBD">
        <w:rPr>
          <w:rFonts w:ascii="Times New Roman" w:hAnsi="Times New Roman" w:cs="Times New Roman"/>
          <w:sz w:val="20"/>
          <w:szCs w:val="20"/>
          <w:lang w:val="en-GB"/>
        </w:rPr>
        <w:t>en in the EU</w:t>
      </w:r>
      <w:r w:rsidRPr="00B07A90">
        <w:rPr>
          <w:rFonts w:ascii="Times New Roman" w:hAnsi="Times New Roman" w:cs="Times New Roman"/>
          <w:sz w:val="20"/>
          <w:szCs w:val="20"/>
          <w:lang w:val="en-GB"/>
        </w:rPr>
        <w:t>. The following is a chapter where</w:t>
      </w:r>
      <w:r w:rsidR="00B07A90">
        <w:rPr>
          <w:rFonts w:ascii="Times New Roman" w:hAnsi="Times New Roman" w:cs="Times New Roman"/>
          <w:sz w:val="20"/>
          <w:szCs w:val="20"/>
          <w:lang w:val="en-GB"/>
        </w:rPr>
        <w:t xml:space="preserve"> a comparative analysis of those</w:t>
      </w:r>
      <w:r w:rsidRPr="00B07A90">
        <w:rPr>
          <w:rFonts w:ascii="Times New Roman" w:hAnsi="Times New Roman" w:cs="Times New Roman"/>
          <w:sz w:val="20"/>
          <w:szCs w:val="20"/>
          <w:lang w:val="en-GB"/>
        </w:rPr>
        <w:t xml:space="preserve"> three financial markets is presented. This is followed by a chapter on the re-integration of the EU due to </w:t>
      </w:r>
      <w:r w:rsidR="00ED0FBD">
        <w:rPr>
          <w:rFonts w:ascii="Times New Roman" w:hAnsi="Times New Roman" w:cs="Times New Roman"/>
          <w:sz w:val="20"/>
          <w:szCs w:val="20"/>
          <w:lang w:val="en-GB"/>
        </w:rPr>
        <w:t>Covid-19</w:t>
      </w:r>
      <w:r w:rsidRPr="00B07A90">
        <w:rPr>
          <w:rFonts w:ascii="Times New Roman" w:hAnsi="Times New Roman" w:cs="Times New Roman"/>
          <w:sz w:val="20"/>
          <w:szCs w:val="20"/>
          <w:lang w:val="en-GB"/>
        </w:rPr>
        <w:t xml:space="preserve"> and a discussion and conclusion.</w:t>
      </w:r>
    </w:p>
    <w:p w14:paraId="010FCB26" w14:textId="45C812A6" w:rsidR="00B43A50" w:rsidRPr="00ED0FBD" w:rsidRDefault="00F905FA" w:rsidP="00C13928">
      <w:pPr>
        <w:jc w:val="both"/>
        <w:rPr>
          <w:rFonts w:ascii="Times New Roman" w:hAnsi="Times New Roman" w:cs="Times New Roman"/>
          <w:sz w:val="20"/>
          <w:szCs w:val="20"/>
          <w:lang w:val="en-GB"/>
        </w:rPr>
      </w:pPr>
      <w:r w:rsidRPr="00B07A90">
        <w:rPr>
          <w:rFonts w:ascii="Times New Roman" w:hAnsi="Times New Roman" w:cs="Times New Roman"/>
          <w:sz w:val="24"/>
          <w:szCs w:val="24"/>
          <w:lang w:val="en-GB"/>
        </w:rPr>
        <w:t xml:space="preserve">2   </w:t>
      </w:r>
      <w:r w:rsidR="00B43A50" w:rsidRPr="00F905FA">
        <w:rPr>
          <w:rFonts w:ascii="Times New Roman" w:hAnsi="Times New Roman" w:cs="Times New Roman"/>
          <w:sz w:val="24"/>
          <w:szCs w:val="24"/>
          <w:lang w:val="en-GB"/>
        </w:rPr>
        <w:t>Financial regulation in US</w:t>
      </w:r>
    </w:p>
    <w:p w14:paraId="1DBC3ED5" w14:textId="1F3B4A28" w:rsidR="0084532A" w:rsidRPr="00697C07" w:rsidRDefault="00463FBD" w:rsidP="00C13928">
      <w:pPr>
        <w:autoSpaceDE w:val="0"/>
        <w:autoSpaceDN w:val="0"/>
        <w:adjustRightInd w:val="0"/>
        <w:spacing w:after="0" w:line="240" w:lineRule="auto"/>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US financial market was born like very live and wild monster that led the world to the first Great World Depression in 1929. Many companies and banks were shut down, unemployment raised together with inflation, US dollar </w:t>
      </w:r>
      <w:r w:rsidR="005D39B9" w:rsidRPr="00697C07">
        <w:rPr>
          <w:rFonts w:ascii="Times New Roman" w:hAnsi="Times New Roman" w:cs="Times New Roman"/>
          <w:sz w:val="20"/>
          <w:szCs w:val="20"/>
          <w:lang w:val="en-GB"/>
        </w:rPr>
        <w:t>dropped</w:t>
      </w:r>
      <w:r w:rsidRPr="00697C07">
        <w:rPr>
          <w:rFonts w:ascii="Times New Roman" w:hAnsi="Times New Roman" w:cs="Times New Roman"/>
          <w:sz w:val="20"/>
          <w:szCs w:val="20"/>
          <w:lang w:val="en-GB"/>
        </w:rPr>
        <w:t>, stock market was in collapse. The financial regul</w:t>
      </w:r>
      <w:r w:rsidR="006F5ECF" w:rsidRPr="00697C07">
        <w:rPr>
          <w:rFonts w:ascii="Times New Roman" w:hAnsi="Times New Roman" w:cs="Times New Roman"/>
          <w:sz w:val="20"/>
          <w:szCs w:val="20"/>
          <w:lang w:val="en-GB"/>
        </w:rPr>
        <w:t>ation was urgently needed. The Glass-Steagall Act</w:t>
      </w:r>
      <w:r w:rsidR="00D3790E">
        <w:rPr>
          <w:rFonts w:ascii="Times New Roman" w:hAnsi="Times New Roman" w:cs="Times New Roman"/>
          <w:sz w:val="20"/>
          <w:szCs w:val="20"/>
          <w:lang w:val="en-GB"/>
        </w:rPr>
        <w:t xml:space="preserve"> (GSA)</w:t>
      </w:r>
      <w:r w:rsidR="006F5ECF" w:rsidRPr="00697C07">
        <w:rPr>
          <w:rFonts w:ascii="Times New Roman" w:hAnsi="Times New Roman" w:cs="Times New Roman"/>
          <w:sz w:val="20"/>
          <w:szCs w:val="20"/>
          <w:lang w:val="en-GB"/>
        </w:rPr>
        <w:t xml:space="preserve"> was passed in 1933 and separated investment and commercial banking activities to avoid potential speculative risks of the financial </w:t>
      </w:r>
      <w:r w:rsidR="005D39B9" w:rsidRPr="00697C07">
        <w:rPr>
          <w:rFonts w:ascii="Times New Roman" w:hAnsi="Times New Roman" w:cs="Times New Roman"/>
          <w:sz w:val="20"/>
          <w:szCs w:val="20"/>
          <w:lang w:val="en-GB"/>
        </w:rPr>
        <w:t>institutions</w:t>
      </w:r>
      <w:r w:rsidR="006F5ECF" w:rsidRPr="00697C07">
        <w:rPr>
          <w:rFonts w:ascii="Times New Roman" w:hAnsi="Times New Roman" w:cs="Times New Roman"/>
          <w:sz w:val="20"/>
          <w:szCs w:val="20"/>
          <w:lang w:val="en-GB"/>
        </w:rPr>
        <w:t xml:space="preserve"> (mostly banks) that should protect the </w:t>
      </w:r>
      <w:r w:rsidR="005D39B9" w:rsidRPr="00697C07">
        <w:rPr>
          <w:rFonts w:ascii="Times New Roman" w:hAnsi="Times New Roman" w:cs="Times New Roman"/>
          <w:sz w:val="20"/>
          <w:szCs w:val="20"/>
          <w:lang w:val="en-GB"/>
        </w:rPr>
        <w:t>deposits</w:t>
      </w:r>
      <w:r w:rsidR="006F5ECF" w:rsidRPr="00697C07">
        <w:rPr>
          <w:rFonts w:ascii="Times New Roman" w:hAnsi="Times New Roman" w:cs="Times New Roman"/>
          <w:sz w:val="20"/>
          <w:szCs w:val="20"/>
          <w:lang w:val="en-GB"/>
        </w:rPr>
        <w:t xml:space="preserve"> of their clients. </w:t>
      </w:r>
      <w:r w:rsidR="00547EBB" w:rsidRPr="00697C07">
        <w:rPr>
          <w:rFonts w:ascii="Times New Roman" w:hAnsi="Times New Roman" w:cs="Times New Roman"/>
          <w:sz w:val="20"/>
          <w:szCs w:val="20"/>
          <w:lang w:val="en-GB"/>
        </w:rPr>
        <w:t>The Gramm-Leach-Bliley Act eliminated the Glass-Steagall Act's restrictions against affiliations between commercial and investment banks in 1999 due to pressure from financial industry.</w:t>
      </w:r>
    </w:p>
    <w:p w14:paraId="23FF97F3" w14:textId="2B1A8D68" w:rsidR="009B55E0" w:rsidRPr="00697C07" w:rsidRDefault="0084532A" w:rsidP="00C13928">
      <w:pPr>
        <w:autoSpaceDE w:val="0"/>
        <w:autoSpaceDN w:val="0"/>
        <w:adjustRightInd w:val="0"/>
        <w:spacing w:after="0" w:line="240" w:lineRule="auto"/>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The beginning of the 21</w:t>
      </w:r>
      <w:r w:rsidRPr="005A6912">
        <w:rPr>
          <w:rFonts w:ascii="Times New Roman" w:hAnsi="Times New Roman" w:cs="Times New Roman"/>
          <w:sz w:val="20"/>
          <w:szCs w:val="20"/>
          <w:vertAlign w:val="superscript"/>
          <w:lang w:val="en-GB"/>
        </w:rPr>
        <w:t>st</w:t>
      </w:r>
      <w:r w:rsidRPr="00697C07">
        <w:rPr>
          <w:rFonts w:ascii="Times New Roman" w:hAnsi="Times New Roman" w:cs="Times New Roman"/>
          <w:sz w:val="20"/>
          <w:szCs w:val="20"/>
          <w:lang w:val="en-GB"/>
        </w:rPr>
        <w:t xml:space="preserve"> century was marked by the strong development of the IT industry, especially start-ups, the proliferation of new forms of financial products (financial </w:t>
      </w:r>
      <w:r w:rsidR="005D39B9" w:rsidRPr="00697C07">
        <w:rPr>
          <w:rFonts w:ascii="Times New Roman" w:hAnsi="Times New Roman" w:cs="Times New Roman"/>
          <w:sz w:val="20"/>
          <w:szCs w:val="20"/>
          <w:lang w:val="en-GB"/>
        </w:rPr>
        <w:t>Frankenstein’s</w:t>
      </w:r>
      <w:r w:rsidRPr="00697C07">
        <w:rPr>
          <w:rFonts w:ascii="Times New Roman" w:hAnsi="Times New Roman" w:cs="Times New Roman"/>
          <w:sz w:val="20"/>
          <w:szCs w:val="20"/>
          <w:lang w:val="en-GB"/>
        </w:rPr>
        <w:t xml:space="preserve"> such as CDO and </w:t>
      </w:r>
      <w:r w:rsidR="004533C1" w:rsidRPr="00697C07">
        <w:rPr>
          <w:rFonts w:ascii="Times New Roman" w:hAnsi="Times New Roman" w:cs="Times New Roman"/>
          <w:sz w:val="20"/>
          <w:szCs w:val="20"/>
          <w:lang w:val="en-GB"/>
        </w:rPr>
        <w:t>Mortgage-Backed</w:t>
      </w:r>
      <w:r w:rsidRPr="00697C07">
        <w:rPr>
          <w:rFonts w:ascii="Times New Roman" w:hAnsi="Times New Roman" w:cs="Times New Roman"/>
          <w:sz w:val="20"/>
          <w:szCs w:val="20"/>
          <w:lang w:val="en-GB"/>
        </w:rPr>
        <w:t xml:space="preserve"> Sec</w:t>
      </w:r>
      <w:r w:rsidR="00552503" w:rsidRPr="00697C07">
        <w:rPr>
          <w:rFonts w:ascii="Times New Roman" w:hAnsi="Times New Roman" w:cs="Times New Roman"/>
          <w:sz w:val="20"/>
          <w:szCs w:val="20"/>
          <w:lang w:val="en-GB"/>
        </w:rPr>
        <w:t>urities MBS) and the strong stock market volatility</w:t>
      </w:r>
      <w:r w:rsidRPr="00697C07">
        <w:rPr>
          <w:rFonts w:ascii="Times New Roman" w:hAnsi="Times New Roman" w:cs="Times New Roman"/>
          <w:sz w:val="20"/>
          <w:szCs w:val="20"/>
          <w:lang w:val="en-GB"/>
        </w:rPr>
        <w:t xml:space="preserve">. </w:t>
      </w:r>
      <w:r w:rsidR="005D39B9" w:rsidRPr="00697C07">
        <w:rPr>
          <w:rFonts w:ascii="Times New Roman" w:hAnsi="Times New Roman" w:cs="Times New Roman"/>
          <w:sz w:val="20"/>
          <w:szCs w:val="20"/>
          <w:lang w:val="en-GB"/>
        </w:rPr>
        <w:t>The combination of revived stock market activities</w:t>
      </w:r>
      <w:r w:rsidRPr="00697C07">
        <w:rPr>
          <w:rFonts w:ascii="Times New Roman" w:hAnsi="Times New Roman" w:cs="Times New Roman"/>
          <w:sz w:val="20"/>
          <w:szCs w:val="20"/>
          <w:lang w:val="en-GB"/>
        </w:rPr>
        <w:t xml:space="preserve"> misjudged financial packages and soft regulation led to the Second World Crisis in 2008 which was almost as devastating as the First World Cri</w:t>
      </w:r>
      <w:r w:rsidR="00552503" w:rsidRPr="00697C07">
        <w:rPr>
          <w:rFonts w:ascii="Times New Roman" w:hAnsi="Times New Roman" w:cs="Times New Roman"/>
          <w:sz w:val="20"/>
          <w:szCs w:val="20"/>
          <w:lang w:val="en-GB"/>
        </w:rPr>
        <w:t>sis. Regulatory rearrangement was</w:t>
      </w:r>
      <w:r w:rsidRPr="00697C07">
        <w:rPr>
          <w:rFonts w:ascii="Times New Roman" w:hAnsi="Times New Roman" w:cs="Times New Roman"/>
          <w:sz w:val="20"/>
          <w:szCs w:val="20"/>
          <w:lang w:val="en-GB"/>
        </w:rPr>
        <w:t xml:space="preserve"> expected again.</w:t>
      </w:r>
      <w:r w:rsidR="007C660F" w:rsidRPr="00697C07">
        <w:rPr>
          <w:rFonts w:ascii="Times New Roman" w:hAnsi="Times New Roman" w:cs="Times New Roman"/>
          <w:sz w:val="20"/>
          <w:szCs w:val="20"/>
          <w:lang w:val="en-GB"/>
        </w:rPr>
        <w:t xml:space="preserve"> </w:t>
      </w:r>
      <w:r w:rsidR="00470401" w:rsidRPr="00697C07">
        <w:rPr>
          <w:rFonts w:ascii="Times New Roman" w:hAnsi="Times New Roman" w:cs="Times New Roman"/>
          <w:sz w:val="20"/>
          <w:szCs w:val="20"/>
          <w:lang w:val="en-GB"/>
        </w:rPr>
        <w:t>One of the first regulatory reactions was to start to reinstate a version of Glass–Steagall to isolate</w:t>
      </w:r>
      <w:r w:rsidR="00DC18F0" w:rsidRPr="00697C07">
        <w:rPr>
          <w:rFonts w:ascii="Times New Roman" w:hAnsi="Times New Roman" w:cs="Times New Roman"/>
          <w:sz w:val="20"/>
          <w:szCs w:val="20"/>
          <w:lang w:val="en-GB"/>
        </w:rPr>
        <w:t xml:space="preserve"> </w:t>
      </w:r>
      <w:r w:rsidR="00470401" w:rsidRPr="00697C07">
        <w:rPr>
          <w:rFonts w:ascii="Times New Roman" w:hAnsi="Times New Roman" w:cs="Times New Roman"/>
          <w:sz w:val="20"/>
          <w:szCs w:val="20"/>
          <w:lang w:val="en-GB"/>
        </w:rPr>
        <w:t xml:space="preserve">risky </w:t>
      </w:r>
      <w:r w:rsidR="00027D06" w:rsidRPr="00697C07">
        <w:rPr>
          <w:rFonts w:ascii="Times New Roman" w:hAnsi="Times New Roman" w:cs="Times New Roman"/>
          <w:sz w:val="20"/>
          <w:szCs w:val="20"/>
          <w:lang w:val="en-GB"/>
        </w:rPr>
        <w:t xml:space="preserve">investment </w:t>
      </w:r>
      <w:r w:rsidR="00027D06">
        <w:rPr>
          <w:rFonts w:ascii="Times New Roman" w:hAnsi="Times New Roman" w:cs="Times New Roman"/>
          <w:sz w:val="20"/>
          <w:szCs w:val="20"/>
          <w:lang w:val="en-GB"/>
        </w:rPr>
        <w:t>banking</w:t>
      </w:r>
      <w:r w:rsidR="00470401" w:rsidRPr="00697C07">
        <w:rPr>
          <w:rFonts w:ascii="Times New Roman" w:hAnsi="Times New Roman" w:cs="Times New Roman"/>
          <w:sz w:val="20"/>
          <w:szCs w:val="20"/>
          <w:lang w:val="en-GB"/>
        </w:rPr>
        <w:t>. After exceptionally complicated drafting and amendments, the Dodd–Frank Wall Street Reform and Consumer Protect</w:t>
      </w:r>
      <w:r w:rsidR="00027D06">
        <w:rPr>
          <w:rFonts w:ascii="Times New Roman" w:hAnsi="Times New Roman" w:cs="Times New Roman"/>
          <w:sz w:val="20"/>
          <w:szCs w:val="20"/>
          <w:lang w:val="en-GB"/>
        </w:rPr>
        <w:t xml:space="preserve">ion Act passed into law in 2011 </w:t>
      </w:r>
      <w:r w:rsidR="00470401" w:rsidRPr="00697C07">
        <w:rPr>
          <w:rFonts w:ascii="Times New Roman" w:hAnsi="Times New Roman" w:cs="Times New Roman"/>
          <w:sz w:val="20"/>
          <w:szCs w:val="20"/>
          <w:lang w:val="en-GB"/>
        </w:rPr>
        <w:t>with the ‘Volcker</w:t>
      </w:r>
      <w:r w:rsidR="007C660F" w:rsidRPr="00697C07">
        <w:rPr>
          <w:rFonts w:ascii="Times New Roman" w:hAnsi="Times New Roman" w:cs="Times New Roman"/>
          <w:sz w:val="20"/>
          <w:szCs w:val="20"/>
          <w:lang w:val="en-GB"/>
        </w:rPr>
        <w:t xml:space="preserve"> </w:t>
      </w:r>
      <w:r w:rsidR="00470401" w:rsidRPr="00697C07">
        <w:rPr>
          <w:rFonts w:ascii="Times New Roman" w:hAnsi="Times New Roman" w:cs="Times New Roman"/>
          <w:sz w:val="20"/>
          <w:szCs w:val="20"/>
          <w:lang w:val="en-GB"/>
        </w:rPr>
        <w:t xml:space="preserve">Rule’ isolating risky proprietary trading from standard retail and commercial banking. </w:t>
      </w:r>
      <w:r w:rsidR="009B55E0" w:rsidRPr="00697C07">
        <w:rPr>
          <w:rFonts w:ascii="Times New Roman" w:hAnsi="Times New Roman" w:cs="Times New Roman"/>
          <w:sz w:val="20"/>
          <w:szCs w:val="20"/>
          <w:lang w:val="en-GB"/>
        </w:rPr>
        <w:t>Dodd</w:t>
      </w:r>
      <w:r w:rsidR="008E473E" w:rsidRPr="00697C07">
        <w:rPr>
          <w:rFonts w:ascii="Times New Roman" w:hAnsi="Times New Roman" w:cs="Times New Roman"/>
          <w:sz w:val="20"/>
          <w:szCs w:val="20"/>
          <w:lang w:val="en-GB"/>
        </w:rPr>
        <w:t>-Frank</w:t>
      </w:r>
      <w:r w:rsidR="009B55E0" w:rsidRPr="00697C07">
        <w:rPr>
          <w:rFonts w:ascii="Times New Roman" w:hAnsi="Times New Roman" w:cs="Times New Roman"/>
          <w:sz w:val="20"/>
          <w:szCs w:val="20"/>
          <w:lang w:val="en-GB"/>
        </w:rPr>
        <w:t xml:space="preserve"> and Volcker</w:t>
      </w:r>
      <w:r w:rsidR="004533C1" w:rsidRPr="00697C07">
        <w:rPr>
          <w:rFonts w:ascii="Times New Roman" w:hAnsi="Times New Roman" w:cs="Times New Roman"/>
          <w:sz w:val="20"/>
          <w:szCs w:val="20"/>
          <w:lang w:val="en-GB"/>
        </w:rPr>
        <w:t xml:space="preserve"> regulation</w:t>
      </w:r>
      <w:r w:rsidR="009B55E0" w:rsidRPr="00697C07">
        <w:rPr>
          <w:rFonts w:ascii="Times New Roman" w:hAnsi="Times New Roman" w:cs="Times New Roman"/>
          <w:sz w:val="20"/>
          <w:szCs w:val="20"/>
          <w:lang w:val="en-GB"/>
        </w:rPr>
        <w:t xml:space="preserve"> was adopted </w:t>
      </w:r>
      <w:r w:rsidR="008E473E" w:rsidRPr="00697C07">
        <w:rPr>
          <w:rFonts w:ascii="Times New Roman" w:hAnsi="Times New Roman" w:cs="Times New Roman"/>
          <w:sz w:val="20"/>
          <w:szCs w:val="20"/>
          <w:lang w:val="en-GB"/>
        </w:rPr>
        <w:t>during</w:t>
      </w:r>
      <w:r w:rsidR="009B55E0" w:rsidRPr="00697C07">
        <w:rPr>
          <w:rFonts w:ascii="Times New Roman" w:hAnsi="Times New Roman" w:cs="Times New Roman"/>
          <w:sz w:val="20"/>
          <w:szCs w:val="20"/>
          <w:lang w:val="en-GB"/>
        </w:rPr>
        <w:t xml:space="preserve"> the president Obama's </w:t>
      </w:r>
      <w:r w:rsidR="008E473E" w:rsidRPr="00697C07">
        <w:rPr>
          <w:rFonts w:ascii="Times New Roman" w:hAnsi="Times New Roman" w:cs="Times New Roman"/>
          <w:sz w:val="20"/>
          <w:szCs w:val="20"/>
          <w:lang w:val="en-GB"/>
        </w:rPr>
        <w:t>first</w:t>
      </w:r>
      <w:r w:rsidR="009B55E0" w:rsidRPr="00697C07">
        <w:rPr>
          <w:rFonts w:ascii="Times New Roman" w:hAnsi="Times New Roman" w:cs="Times New Roman"/>
          <w:sz w:val="20"/>
          <w:szCs w:val="20"/>
          <w:lang w:val="en-GB"/>
        </w:rPr>
        <w:t xml:space="preserve"> term</w:t>
      </w:r>
      <w:r w:rsidR="00027D06">
        <w:rPr>
          <w:rFonts w:ascii="Times New Roman" w:hAnsi="Times New Roman" w:cs="Times New Roman"/>
          <w:sz w:val="20"/>
          <w:szCs w:val="20"/>
          <w:lang w:val="en-GB"/>
        </w:rPr>
        <w:t>.</w:t>
      </w:r>
      <w:r w:rsidR="009B55E0" w:rsidRPr="00697C07">
        <w:rPr>
          <w:rFonts w:ascii="Times New Roman" w:hAnsi="Times New Roman" w:cs="Times New Roman"/>
          <w:sz w:val="20"/>
          <w:szCs w:val="20"/>
          <w:lang w:val="en-GB"/>
        </w:rPr>
        <w:t xml:space="preserve"> </w:t>
      </w:r>
    </w:p>
    <w:p w14:paraId="67FBB8D0" w14:textId="6C7C42D6" w:rsidR="00470401" w:rsidRDefault="00470401" w:rsidP="008C08D4">
      <w:pPr>
        <w:autoSpaceDE w:val="0"/>
        <w:autoSpaceDN w:val="0"/>
        <w:adjustRightInd w:val="0"/>
        <w:spacing w:after="0" w:line="240" w:lineRule="auto"/>
        <w:jc w:val="both"/>
      </w:pPr>
      <w:r w:rsidRPr="00697C07">
        <w:rPr>
          <w:rFonts w:ascii="Times New Roman" w:hAnsi="Times New Roman" w:cs="Times New Roman"/>
          <w:sz w:val="20"/>
          <w:szCs w:val="20"/>
          <w:lang w:val="en-GB"/>
        </w:rPr>
        <w:t>Under the</w:t>
      </w:r>
      <w:r w:rsidR="009B55E0" w:rsidRPr="00697C07">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Trump administration, since 2016 many aspects of Dodd–Frank have been watered down in a</w:t>
      </w:r>
      <w:r w:rsidR="007C660F" w:rsidRPr="00697C07">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renewed round of deregulation.</w:t>
      </w:r>
      <w:r w:rsidRPr="00697C07">
        <w:rPr>
          <w:rFonts w:ascii="Times New Roman" w:eastAsia="Times New Roman" w:hAnsi="Times New Roman" w:cs="Times New Roman"/>
          <w:sz w:val="20"/>
          <w:szCs w:val="20"/>
          <w:lang w:val="en-GB" w:eastAsia="hr-HR"/>
        </w:rPr>
        <w:t xml:space="preserve"> (Schenk, 2020) </w:t>
      </w:r>
      <w:r w:rsidRPr="00697C07">
        <w:rPr>
          <w:rFonts w:ascii="Times New Roman" w:hAnsi="Times New Roman" w:cs="Times New Roman"/>
          <w:sz w:val="20"/>
          <w:szCs w:val="20"/>
          <w:lang w:val="en-GB"/>
        </w:rPr>
        <w:t>The Volcker Rule prohibits banks from engaging in certain non-traditional banking activities. More specifically, the Volcker Rule prohibits banks from engaging in two types of non-banking activities: (</w:t>
      </w:r>
      <w:proofErr w:type="spellStart"/>
      <w:r w:rsidRPr="00697C07">
        <w:rPr>
          <w:rFonts w:ascii="Times New Roman" w:hAnsi="Times New Roman" w:cs="Times New Roman"/>
          <w:sz w:val="20"/>
          <w:szCs w:val="20"/>
          <w:lang w:val="en-GB"/>
        </w:rPr>
        <w:t>i</w:t>
      </w:r>
      <w:proofErr w:type="spellEnd"/>
      <w:r w:rsidRPr="00697C07">
        <w:rPr>
          <w:rFonts w:ascii="Times New Roman" w:hAnsi="Times New Roman" w:cs="Times New Roman"/>
          <w:sz w:val="20"/>
          <w:szCs w:val="20"/>
          <w:lang w:val="en-GB"/>
        </w:rPr>
        <w:t>) proprietary trading and (ii) investment in hedge funds and private equity funds, subject to a list of</w:t>
      </w:r>
      <w:r w:rsidR="007C660F" w:rsidRPr="00697C07">
        <w:rPr>
          <w:rFonts w:ascii="Times New Roman" w:hAnsi="Times New Roman" w:cs="Times New Roman"/>
          <w:sz w:val="20"/>
          <w:szCs w:val="20"/>
          <w:lang w:val="en-GB"/>
        </w:rPr>
        <w:t xml:space="preserve"> </w:t>
      </w:r>
      <w:r w:rsidR="008C08D4">
        <w:rPr>
          <w:rFonts w:ascii="Times New Roman" w:hAnsi="Times New Roman" w:cs="Times New Roman"/>
          <w:sz w:val="20"/>
          <w:szCs w:val="20"/>
          <w:lang w:val="en-GB"/>
        </w:rPr>
        <w:t>exemptions (</w:t>
      </w:r>
      <w:r w:rsidRPr="00697C07">
        <w:rPr>
          <w:rFonts w:ascii="Times New Roman" w:hAnsi="Times New Roman" w:cs="Times New Roman"/>
          <w:sz w:val="20"/>
          <w:szCs w:val="20"/>
          <w:lang w:val="en-GB"/>
        </w:rPr>
        <w:t>Li et al, 2020</w:t>
      </w:r>
      <w:r w:rsidR="008C08D4">
        <w:rPr>
          <w:rFonts w:ascii="Times New Roman" w:hAnsi="Times New Roman" w:cs="Times New Roman"/>
          <w:sz w:val="20"/>
          <w:szCs w:val="20"/>
          <w:lang w:val="en-GB"/>
        </w:rPr>
        <w:t>)</w:t>
      </w:r>
      <w:r w:rsidRPr="00697C07">
        <w:rPr>
          <w:rFonts w:ascii="Times New Roman" w:hAnsi="Times New Roman" w:cs="Times New Roman"/>
          <w:sz w:val="20"/>
          <w:szCs w:val="20"/>
          <w:lang w:val="en-GB"/>
        </w:rPr>
        <w:t>.</w:t>
      </w:r>
      <w:r w:rsidR="007C660F" w:rsidRPr="00697C07">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Innovations reflect a shift to macro-prudential supervision, that is, identifying systemic risks rather than just examining the bala</w:t>
      </w:r>
      <w:r w:rsidR="00914529" w:rsidRPr="00697C07">
        <w:rPr>
          <w:rFonts w:ascii="Times New Roman" w:hAnsi="Times New Roman" w:cs="Times New Roman"/>
          <w:sz w:val="20"/>
          <w:szCs w:val="20"/>
          <w:lang w:val="en-GB"/>
        </w:rPr>
        <w:t>nce sheets of individual banks</w:t>
      </w:r>
      <w:r w:rsidRPr="00697C07">
        <w:rPr>
          <w:rFonts w:ascii="Times New Roman" w:hAnsi="Times New Roman" w:cs="Times New Roman"/>
          <w:sz w:val="20"/>
          <w:szCs w:val="20"/>
          <w:lang w:val="en-GB"/>
        </w:rPr>
        <w:t>, interest rates (sometimes even negative) and relatively low inflation created a highly unusual financial and economic environment that has privileged borrowers over savers. In response, corporate debt issues increased as did household debt, while equity markets soared. Unconventional monetary policy has also renewed academic attention on the impact of US monetary p</w:t>
      </w:r>
      <w:r w:rsidR="00027D06">
        <w:rPr>
          <w:rFonts w:ascii="Times New Roman" w:hAnsi="Times New Roman" w:cs="Times New Roman"/>
          <w:sz w:val="20"/>
          <w:szCs w:val="20"/>
          <w:lang w:val="en-GB"/>
        </w:rPr>
        <w:t>olicy on global financial flows (</w:t>
      </w:r>
      <w:r w:rsidRPr="00697C07">
        <w:rPr>
          <w:rFonts w:ascii="Times New Roman" w:hAnsi="Times New Roman" w:cs="Times New Roman"/>
          <w:sz w:val="20"/>
          <w:szCs w:val="20"/>
          <w:lang w:val="en-GB"/>
        </w:rPr>
        <w:t>Schenk, 2020</w:t>
      </w:r>
      <w:r w:rsidR="00027D06">
        <w:rPr>
          <w:rFonts w:ascii="Times New Roman" w:hAnsi="Times New Roman" w:cs="Times New Roman"/>
          <w:sz w:val="20"/>
          <w:szCs w:val="20"/>
          <w:lang w:val="en-GB"/>
        </w:rPr>
        <w:t>)</w:t>
      </w:r>
      <w:r w:rsidRPr="00697C07">
        <w:rPr>
          <w:rFonts w:ascii="Times New Roman" w:hAnsi="Times New Roman" w:cs="Times New Roman"/>
          <w:sz w:val="20"/>
          <w:szCs w:val="20"/>
          <w:lang w:val="en-GB"/>
        </w:rPr>
        <w:t>.</w:t>
      </w:r>
      <w:r w:rsidR="0084532A" w:rsidRPr="00697C07">
        <w:rPr>
          <w:rFonts w:ascii="Times New Roman" w:hAnsi="Times New Roman" w:cs="Times New Roman"/>
          <w:sz w:val="20"/>
          <w:szCs w:val="20"/>
          <w:lang w:val="en-GB"/>
        </w:rPr>
        <w:t xml:space="preserve">  Financial regulation is unlikely to be one of the top </w:t>
      </w:r>
      <w:r w:rsidR="00552503" w:rsidRPr="00697C07">
        <w:rPr>
          <w:rFonts w:ascii="Times New Roman" w:hAnsi="Times New Roman" w:cs="Times New Roman"/>
          <w:sz w:val="20"/>
          <w:szCs w:val="20"/>
          <w:lang w:val="en-GB"/>
        </w:rPr>
        <w:t xml:space="preserve">priorities for President Biden. </w:t>
      </w:r>
      <w:r w:rsidR="0084532A" w:rsidRPr="00697C07">
        <w:rPr>
          <w:rFonts w:ascii="Times New Roman" w:hAnsi="Times New Roman" w:cs="Times New Roman"/>
          <w:sz w:val="20"/>
          <w:szCs w:val="20"/>
          <w:lang w:val="en-GB"/>
        </w:rPr>
        <w:t>Covid-19, the economic recovery, healthcare, social justice, the climate transition, and troubled foreign relations will already more than occupy</w:t>
      </w:r>
      <w:r w:rsidR="00552503" w:rsidRPr="00697C07">
        <w:rPr>
          <w:rFonts w:ascii="Times New Roman" w:hAnsi="Times New Roman" w:cs="Times New Roman"/>
          <w:sz w:val="20"/>
          <w:szCs w:val="20"/>
          <w:lang w:val="en-GB"/>
        </w:rPr>
        <w:t xml:space="preserve"> the new President’s attention. </w:t>
      </w:r>
      <w:r w:rsidR="0084532A" w:rsidRPr="00697C07">
        <w:rPr>
          <w:rFonts w:ascii="Times New Roman" w:hAnsi="Times New Roman" w:cs="Times New Roman"/>
          <w:sz w:val="20"/>
          <w:szCs w:val="20"/>
          <w:lang w:val="en-GB"/>
        </w:rPr>
        <w:t xml:space="preserve">Wyman (2020)  </w:t>
      </w:r>
    </w:p>
    <w:p w14:paraId="29C12100" w14:textId="77777777" w:rsidR="008C08D4" w:rsidRPr="00697C07" w:rsidRDefault="008C08D4" w:rsidP="008C08D4">
      <w:pPr>
        <w:autoSpaceDE w:val="0"/>
        <w:autoSpaceDN w:val="0"/>
        <w:adjustRightInd w:val="0"/>
        <w:spacing w:after="0" w:line="240" w:lineRule="auto"/>
        <w:jc w:val="both"/>
        <w:rPr>
          <w:rFonts w:ascii="Times New Roman" w:hAnsi="Times New Roman" w:cs="Times New Roman"/>
          <w:sz w:val="20"/>
          <w:szCs w:val="20"/>
          <w:lang w:val="en-GB"/>
        </w:rPr>
      </w:pPr>
    </w:p>
    <w:p w14:paraId="3EEE00EB" w14:textId="6B1564B9" w:rsidR="00B43A50" w:rsidRPr="00F905FA" w:rsidRDefault="00ED0FBD" w:rsidP="00C13928">
      <w:pPr>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F905FA" w:rsidRPr="00F905FA">
        <w:rPr>
          <w:rFonts w:ascii="Times New Roman" w:hAnsi="Times New Roman" w:cs="Times New Roman"/>
          <w:sz w:val="24"/>
          <w:szCs w:val="24"/>
          <w:lang w:val="en-GB"/>
        </w:rPr>
        <w:t xml:space="preserve">   </w:t>
      </w:r>
      <w:r w:rsidR="00B43A50" w:rsidRPr="00F905FA">
        <w:rPr>
          <w:rFonts w:ascii="Times New Roman" w:hAnsi="Times New Roman" w:cs="Times New Roman"/>
          <w:sz w:val="24"/>
          <w:szCs w:val="24"/>
          <w:lang w:val="en-GB"/>
        </w:rPr>
        <w:t>Finan</w:t>
      </w:r>
      <w:r w:rsidR="007C660F" w:rsidRPr="00F905FA">
        <w:rPr>
          <w:rFonts w:ascii="Times New Roman" w:hAnsi="Times New Roman" w:cs="Times New Roman"/>
          <w:sz w:val="24"/>
          <w:szCs w:val="24"/>
          <w:lang w:val="en-GB"/>
        </w:rPr>
        <w:t>cial regulation in UK</w:t>
      </w:r>
    </w:p>
    <w:p w14:paraId="4BA60CCA" w14:textId="5A6FD971" w:rsidR="00892AD0" w:rsidRPr="00697C07" w:rsidRDefault="00027D06" w:rsidP="00552503">
      <w:pPr>
        <w:pStyle w:val="NormalWeb"/>
        <w:spacing w:before="0" w:beforeAutospacing="0" w:after="0" w:afterAutospacing="0"/>
        <w:jc w:val="both"/>
        <w:textAlignment w:val="bottom"/>
        <w:rPr>
          <w:sz w:val="20"/>
          <w:szCs w:val="20"/>
          <w:lang w:val="en-GB"/>
        </w:rPr>
      </w:pPr>
      <w:r>
        <w:rPr>
          <w:sz w:val="20"/>
          <w:szCs w:val="20"/>
          <w:lang w:val="en-GB"/>
        </w:rPr>
        <w:t>First World Crisis</w:t>
      </w:r>
      <w:r w:rsidR="00552503" w:rsidRPr="00697C07">
        <w:rPr>
          <w:sz w:val="20"/>
          <w:szCs w:val="20"/>
          <w:lang w:val="en-GB"/>
        </w:rPr>
        <w:t xml:space="preserve"> of 2029 spilled over to the entire world, including the UK, as many European countries invested in the US stock market. British regulation followed American because the US has always been a role model to all other countries when it comes to financial innovation. </w:t>
      </w:r>
      <w:r w:rsidR="009B55E0" w:rsidRPr="00697C07">
        <w:rPr>
          <w:sz w:val="20"/>
          <w:szCs w:val="20"/>
          <w:lang w:val="en-GB"/>
        </w:rPr>
        <w:t xml:space="preserve">After the banks almost </w:t>
      </w:r>
      <w:r w:rsidR="008E473E" w:rsidRPr="00697C07">
        <w:rPr>
          <w:sz w:val="20"/>
          <w:szCs w:val="20"/>
          <w:lang w:val="en-GB"/>
        </w:rPr>
        <w:t>failed</w:t>
      </w:r>
      <w:r w:rsidR="009B55E0" w:rsidRPr="00697C07">
        <w:rPr>
          <w:sz w:val="20"/>
          <w:szCs w:val="20"/>
          <w:lang w:val="en-GB"/>
        </w:rPr>
        <w:t xml:space="preserve"> in 2008 in the UK, the </w:t>
      </w:r>
      <w:r w:rsidR="008E473E" w:rsidRPr="00697C07">
        <w:rPr>
          <w:sz w:val="20"/>
          <w:szCs w:val="20"/>
          <w:lang w:val="en-GB"/>
        </w:rPr>
        <w:t>Government</w:t>
      </w:r>
      <w:r w:rsidR="009B55E0" w:rsidRPr="00697C07">
        <w:rPr>
          <w:sz w:val="20"/>
          <w:szCs w:val="20"/>
          <w:lang w:val="en-GB"/>
        </w:rPr>
        <w:t xml:space="preserve"> created the Vickers </w:t>
      </w:r>
      <w:r w:rsidR="008E473E" w:rsidRPr="00697C07">
        <w:rPr>
          <w:sz w:val="20"/>
          <w:szCs w:val="20"/>
          <w:lang w:val="en-GB"/>
        </w:rPr>
        <w:t>Commission</w:t>
      </w:r>
      <w:r>
        <w:rPr>
          <w:sz w:val="20"/>
          <w:szCs w:val="20"/>
          <w:lang w:val="en-GB"/>
        </w:rPr>
        <w:t xml:space="preserve"> (Lord John Vickers) </w:t>
      </w:r>
      <w:r>
        <w:rPr>
          <w:sz w:val="20"/>
          <w:szCs w:val="20"/>
          <w:lang w:val="en-GB"/>
        </w:rPr>
        <w:lastRenderedPageBreak/>
        <w:t xml:space="preserve">and </w:t>
      </w:r>
      <w:r w:rsidR="00470401" w:rsidRPr="00697C07">
        <w:rPr>
          <w:sz w:val="20"/>
          <w:szCs w:val="20"/>
          <w:lang w:val="en-GB"/>
        </w:rPr>
        <w:t>the Financial Services</w:t>
      </w:r>
      <w:r w:rsidR="00892AD0" w:rsidRPr="00697C07">
        <w:rPr>
          <w:sz w:val="20"/>
          <w:szCs w:val="20"/>
          <w:lang w:val="en-GB"/>
        </w:rPr>
        <w:t xml:space="preserve"> Act</w:t>
      </w:r>
      <w:r w:rsidR="009B55E0" w:rsidRPr="00697C07">
        <w:rPr>
          <w:sz w:val="20"/>
          <w:szCs w:val="20"/>
          <w:lang w:val="en-GB"/>
        </w:rPr>
        <w:t xml:space="preserve"> </w:t>
      </w:r>
      <w:r w:rsidR="00470401" w:rsidRPr="00697C07">
        <w:rPr>
          <w:sz w:val="20"/>
          <w:szCs w:val="20"/>
          <w:lang w:val="en-GB"/>
        </w:rPr>
        <w:t>(Banking Reform) Act of 2013 required large banks to ring-fence their retail and commercial</w:t>
      </w:r>
      <w:r w:rsidR="009B55E0" w:rsidRPr="00697C07">
        <w:rPr>
          <w:sz w:val="20"/>
          <w:szCs w:val="20"/>
          <w:lang w:val="en-GB"/>
        </w:rPr>
        <w:t xml:space="preserve"> </w:t>
      </w:r>
      <w:r w:rsidR="00470401" w:rsidRPr="00697C07">
        <w:rPr>
          <w:sz w:val="20"/>
          <w:szCs w:val="20"/>
          <w:lang w:val="en-GB"/>
        </w:rPr>
        <w:t xml:space="preserve">banking </w:t>
      </w:r>
      <w:r w:rsidR="008C08D4">
        <w:rPr>
          <w:sz w:val="20"/>
          <w:szCs w:val="20"/>
          <w:lang w:val="en-GB"/>
        </w:rPr>
        <w:t xml:space="preserve">from investment banking by 2019 </w:t>
      </w:r>
      <w:r w:rsidR="00892AD0" w:rsidRPr="00697C07">
        <w:rPr>
          <w:sz w:val="20"/>
          <w:szCs w:val="20"/>
          <w:lang w:val="en-GB"/>
        </w:rPr>
        <w:t>(Toussaint, 2015</w:t>
      </w:r>
      <w:r w:rsidR="008B5D9B">
        <w:rPr>
          <w:sz w:val="20"/>
          <w:szCs w:val="20"/>
          <w:lang w:val="en-GB"/>
        </w:rPr>
        <w:t xml:space="preserve"> and </w:t>
      </w:r>
      <w:proofErr w:type="spellStart"/>
      <w:r w:rsidR="008B5D9B">
        <w:rPr>
          <w:sz w:val="20"/>
          <w:szCs w:val="20"/>
          <w:lang w:val="en-GB"/>
        </w:rPr>
        <w:t>Chavaz</w:t>
      </w:r>
      <w:proofErr w:type="spellEnd"/>
      <w:r w:rsidR="008B5D9B">
        <w:rPr>
          <w:sz w:val="20"/>
          <w:szCs w:val="20"/>
          <w:lang w:val="en-GB"/>
        </w:rPr>
        <w:t xml:space="preserve"> and Elliott, 2020</w:t>
      </w:r>
      <w:r w:rsidR="008C08D4">
        <w:rPr>
          <w:sz w:val="20"/>
          <w:szCs w:val="20"/>
          <w:lang w:val="en-GB"/>
        </w:rPr>
        <w:t>).</w:t>
      </w:r>
    </w:p>
    <w:p w14:paraId="3C457DEB" w14:textId="2C3F73AA" w:rsidR="00B43A50" w:rsidRPr="00697C07" w:rsidRDefault="00892AD0" w:rsidP="00CF7832">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 </w:t>
      </w:r>
      <w:r w:rsidR="007C660F" w:rsidRPr="00697C07">
        <w:rPr>
          <w:rFonts w:ascii="Times New Roman" w:hAnsi="Times New Roman" w:cs="Times New Roman"/>
          <w:sz w:val="20"/>
          <w:szCs w:val="20"/>
          <w:lang w:val="en-GB"/>
        </w:rPr>
        <w:t xml:space="preserve">Ring-fencing came into force on 1 January 2019. It requires the largest banking </w:t>
      </w:r>
      <w:r w:rsidR="002C7C4E" w:rsidRPr="00697C07">
        <w:rPr>
          <w:rFonts w:ascii="Times New Roman" w:hAnsi="Times New Roman" w:cs="Times New Roman"/>
          <w:sz w:val="20"/>
          <w:szCs w:val="20"/>
          <w:lang w:val="en-GB"/>
        </w:rPr>
        <w:t>groups</w:t>
      </w:r>
      <w:r w:rsidR="007C660F" w:rsidRPr="00697C07">
        <w:rPr>
          <w:rFonts w:ascii="Times New Roman" w:hAnsi="Times New Roman" w:cs="Times New Roman"/>
          <w:sz w:val="20"/>
          <w:szCs w:val="20"/>
          <w:lang w:val="en-GB"/>
        </w:rPr>
        <w:t xml:space="preserve"> to separate core retail banking services from activities such as investment and international banking. Ring-fencing is the way of universal banking approach to find the way of reducing the </w:t>
      </w:r>
      <w:r w:rsidR="008E473E" w:rsidRPr="00697C07">
        <w:rPr>
          <w:rFonts w:ascii="Times New Roman" w:hAnsi="Times New Roman" w:cs="Times New Roman"/>
          <w:sz w:val="20"/>
          <w:szCs w:val="20"/>
          <w:lang w:val="en-GB"/>
        </w:rPr>
        <w:t>risk</w:t>
      </w:r>
      <w:r w:rsidR="007C660F" w:rsidRPr="00697C07">
        <w:rPr>
          <w:rFonts w:ascii="Times New Roman" w:hAnsi="Times New Roman" w:cs="Times New Roman"/>
          <w:sz w:val="20"/>
          <w:szCs w:val="20"/>
          <w:lang w:val="en-GB"/>
        </w:rPr>
        <w:t xml:space="preserve"> without </w:t>
      </w:r>
      <w:r w:rsidR="007B1EC4" w:rsidRPr="00697C07">
        <w:rPr>
          <w:rFonts w:ascii="Times New Roman" w:hAnsi="Times New Roman" w:cs="Times New Roman"/>
          <w:sz w:val="20"/>
          <w:szCs w:val="20"/>
          <w:lang w:val="en-GB"/>
        </w:rPr>
        <w:t>full separating of commercial banking activities from in</w:t>
      </w:r>
      <w:r w:rsidR="00027D06">
        <w:rPr>
          <w:rFonts w:ascii="Times New Roman" w:hAnsi="Times New Roman" w:cs="Times New Roman"/>
          <w:sz w:val="20"/>
          <w:szCs w:val="20"/>
          <w:lang w:val="en-GB"/>
        </w:rPr>
        <w:t>vestment activities</w:t>
      </w:r>
      <w:r w:rsidR="007B1EC4" w:rsidRPr="00697C07">
        <w:rPr>
          <w:rFonts w:ascii="Times New Roman" w:hAnsi="Times New Roman" w:cs="Times New Roman"/>
          <w:sz w:val="20"/>
          <w:szCs w:val="20"/>
          <w:lang w:val="en-GB"/>
        </w:rPr>
        <w:t xml:space="preserve">. </w:t>
      </w:r>
      <w:r w:rsidR="00110DAA" w:rsidRPr="00697C07">
        <w:rPr>
          <w:rFonts w:ascii="Times New Roman" w:hAnsi="Times New Roman" w:cs="Times New Roman"/>
          <w:sz w:val="20"/>
          <w:szCs w:val="20"/>
          <w:lang w:val="en-GB"/>
        </w:rPr>
        <w:t xml:space="preserve">The UK ring-fencing provisions permit retail banks to remain part of a banking group that also engages in investment banking activities. This means that an RFB </w:t>
      </w:r>
      <w:r w:rsidR="00D3790E">
        <w:rPr>
          <w:rFonts w:ascii="Times New Roman" w:hAnsi="Times New Roman" w:cs="Times New Roman"/>
          <w:sz w:val="20"/>
          <w:szCs w:val="20"/>
          <w:lang w:val="en-GB"/>
        </w:rPr>
        <w:t xml:space="preserve">(Ring-fencing bank) </w:t>
      </w:r>
      <w:r w:rsidR="00110DAA" w:rsidRPr="00697C07">
        <w:rPr>
          <w:rFonts w:ascii="Times New Roman" w:hAnsi="Times New Roman" w:cs="Times New Roman"/>
          <w:sz w:val="20"/>
          <w:szCs w:val="20"/>
          <w:lang w:val="en-GB"/>
        </w:rPr>
        <w:t>is likely to be controlled by a holding company that also controls an investment bank. UK policymakers have acknowledged that for this policy to succeed, the corporate governance regime applicable to the RFB must ensure that it is able to make decisions ‘independently’ of the parent company</w:t>
      </w:r>
      <w:r w:rsidR="00967630" w:rsidRPr="00967630">
        <w:rPr>
          <w:rFonts w:ascii="Times New Roman" w:hAnsi="Times New Roman" w:cs="Times New Roman"/>
          <w:sz w:val="20"/>
          <w:szCs w:val="20"/>
          <w:vertAlign w:val="superscript"/>
          <w:lang w:val="en-GB"/>
        </w:rPr>
        <w:t>1</w:t>
      </w:r>
      <w:r w:rsidR="00811229" w:rsidRPr="00697C07">
        <w:rPr>
          <w:rFonts w:ascii="Times New Roman" w:hAnsi="Times New Roman" w:cs="Times New Roman"/>
          <w:sz w:val="20"/>
          <w:szCs w:val="20"/>
          <w:lang w:val="en-GB"/>
        </w:rPr>
        <w:t xml:space="preserve">. </w:t>
      </w:r>
      <w:r w:rsidR="00552503" w:rsidRPr="00697C07">
        <w:rPr>
          <w:rFonts w:ascii="Times New Roman" w:hAnsi="Times New Roman" w:cs="Times New Roman"/>
          <w:sz w:val="20"/>
          <w:szCs w:val="20"/>
          <w:lang w:val="en-GB"/>
        </w:rPr>
        <w:t xml:space="preserve"> </w:t>
      </w:r>
      <w:proofErr w:type="spellStart"/>
      <w:r w:rsidR="00552503" w:rsidRPr="00697C07">
        <w:rPr>
          <w:rFonts w:ascii="Times New Roman" w:hAnsi="Times New Roman" w:cs="Times New Roman"/>
          <w:sz w:val="20"/>
          <w:szCs w:val="20"/>
          <w:lang w:val="en-GB"/>
        </w:rPr>
        <w:t>Ringe</w:t>
      </w:r>
      <w:proofErr w:type="spellEnd"/>
      <w:r w:rsidR="00552503" w:rsidRPr="00697C07">
        <w:rPr>
          <w:rFonts w:ascii="Times New Roman" w:hAnsi="Times New Roman" w:cs="Times New Roman"/>
          <w:sz w:val="20"/>
          <w:szCs w:val="20"/>
          <w:lang w:val="en-GB"/>
        </w:rPr>
        <w:t>-fencing in the</w:t>
      </w:r>
      <w:r w:rsidR="00914529" w:rsidRPr="00697C07">
        <w:rPr>
          <w:rFonts w:ascii="Times New Roman" w:hAnsi="Times New Roman" w:cs="Times New Roman"/>
          <w:sz w:val="20"/>
          <w:szCs w:val="20"/>
          <w:lang w:val="en-GB"/>
        </w:rPr>
        <w:t xml:space="preserve"> UK </w:t>
      </w:r>
      <w:r w:rsidR="00552503" w:rsidRPr="00697C07">
        <w:rPr>
          <w:rFonts w:ascii="Times New Roman" w:hAnsi="Times New Roman" w:cs="Times New Roman"/>
          <w:sz w:val="20"/>
          <w:szCs w:val="20"/>
          <w:lang w:val="en-GB"/>
        </w:rPr>
        <w:t>need to be research in the light of Brexit but</w:t>
      </w:r>
      <w:r w:rsidR="00D3790E">
        <w:rPr>
          <w:rFonts w:ascii="Times New Roman" w:hAnsi="Times New Roman" w:cs="Times New Roman"/>
          <w:sz w:val="20"/>
          <w:szCs w:val="20"/>
          <w:lang w:val="en-GB"/>
        </w:rPr>
        <w:t xml:space="preserve"> it</w:t>
      </w:r>
      <w:r w:rsidR="00552503" w:rsidRPr="00697C07">
        <w:rPr>
          <w:rFonts w:ascii="Times New Roman" w:hAnsi="Times New Roman" w:cs="Times New Roman"/>
          <w:sz w:val="20"/>
          <w:szCs w:val="20"/>
          <w:lang w:val="en-GB"/>
        </w:rPr>
        <w:t xml:space="preserve"> goes beyond the scope of this paper. </w:t>
      </w:r>
      <w:r w:rsidR="00CF7832" w:rsidRPr="00CF7832">
        <w:rPr>
          <w:rFonts w:ascii="Times New Roman" w:hAnsi="Times New Roman" w:cs="Times New Roman"/>
          <w:sz w:val="20"/>
          <w:szCs w:val="20"/>
          <w:lang w:val="en-GB"/>
        </w:rPr>
        <w:t>UK’s withdra</w:t>
      </w:r>
      <w:r w:rsidR="00CF7832">
        <w:rPr>
          <w:rFonts w:ascii="Times New Roman" w:hAnsi="Times New Roman" w:cs="Times New Roman"/>
          <w:sz w:val="20"/>
          <w:szCs w:val="20"/>
          <w:lang w:val="en-GB"/>
        </w:rPr>
        <w:t xml:space="preserve">wal from the EU will inevitably </w:t>
      </w:r>
      <w:r w:rsidR="00CF7832" w:rsidRPr="00CF7832">
        <w:rPr>
          <w:rFonts w:ascii="Times New Roman" w:hAnsi="Times New Roman" w:cs="Times New Roman"/>
          <w:sz w:val="20"/>
          <w:szCs w:val="20"/>
          <w:lang w:val="en-GB"/>
        </w:rPr>
        <w:t>create a financial hole i</w:t>
      </w:r>
      <w:r w:rsidR="00CF7832">
        <w:rPr>
          <w:rFonts w:ascii="Times New Roman" w:hAnsi="Times New Roman" w:cs="Times New Roman"/>
          <w:sz w:val="20"/>
          <w:szCs w:val="20"/>
          <w:lang w:val="en-GB"/>
        </w:rPr>
        <w:t xml:space="preserve">n the EU budget. The Commission </w:t>
      </w:r>
      <w:r w:rsidR="00CF7832" w:rsidRPr="00CF7832">
        <w:rPr>
          <w:rFonts w:ascii="Times New Roman" w:hAnsi="Times New Roman" w:cs="Times New Roman"/>
          <w:sz w:val="20"/>
          <w:szCs w:val="20"/>
          <w:lang w:val="en-GB"/>
        </w:rPr>
        <w:t xml:space="preserve">puts it at </w:t>
      </w:r>
      <w:r w:rsidR="00CF7832">
        <w:rPr>
          <w:rFonts w:ascii="Times New Roman" w:hAnsi="Times New Roman" w:cs="Times New Roman"/>
          <w:sz w:val="20"/>
          <w:szCs w:val="20"/>
          <w:lang w:val="en-GB"/>
        </w:rPr>
        <w:t>around 13 to 14 billion euros a year (</w:t>
      </w:r>
      <w:r w:rsidR="00CF7832" w:rsidRPr="00CF7832">
        <w:rPr>
          <w:rFonts w:ascii="Times New Roman" w:hAnsi="Times New Roman" w:cs="Times New Roman"/>
          <w:noProof/>
          <w:sz w:val="20"/>
          <w:szCs w:val="20"/>
          <w:lang w:val="en-GB"/>
        </w:rPr>
        <w:t xml:space="preserve">Oettinger, </w:t>
      </w:r>
      <w:r w:rsidR="00CF7832">
        <w:rPr>
          <w:rFonts w:ascii="Times New Roman" w:hAnsi="Times New Roman" w:cs="Times New Roman"/>
          <w:noProof/>
          <w:sz w:val="20"/>
          <w:szCs w:val="20"/>
          <w:lang w:val="en-GB"/>
        </w:rPr>
        <w:t>2018 cited by Becker, 2019)</w:t>
      </w:r>
      <w:r w:rsidR="00CF7832">
        <w:rPr>
          <w:rFonts w:ascii="Times New Roman" w:hAnsi="Times New Roman" w:cs="Times New Roman"/>
          <w:sz w:val="20"/>
          <w:szCs w:val="20"/>
          <w:lang w:val="en-GB"/>
        </w:rPr>
        <w:t xml:space="preserve"> </w:t>
      </w:r>
    </w:p>
    <w:p w14:paraId="1E3E859F" w14:textId="7BB5ECA7" w:rsidR="00ED0FBD" w:rsidRPr="00B07A90" w:rsidRDefault="00ED0FBD" w:rsidP="00ED0FB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Pr="00B07A90">
        <w:rPr>
          <w:rFonts w:ascii="Times New Roman" w:hAnsi="Times New Roman" w:cs="Times New Roman"/>
          <w:sz w:val="24"/>
          <w:szCs w:val="24"/>
          <w:lang w:val="en-GB"/>
        </w:rPr>
        <w:t xml:space="preserve">Financial regulation in EU </w:t>
      </w:r>
    </w:p>
    <w:p w14:paraId="083330BD" w14:textId="77777777" w:rsidR="00ED0FBD" w:rsidRDefault="00ED0FBD" w:rsidP="00ED0FBD">
      <w:pPr>
        <w:jc w:val="both"/>
        <w:rPr>
          <w:rStyle w:val="Hyperlink"/>
          <w:rFonts w:ascii="Times New Roman" w:hAnsi="Times New Roman" w:cs="Times New Roman"/>
          <w:color w:val="auto"/>
          <w:sz w:val="20"/>
          <w:szCs w:val="20"/>
          <w:u w:val="none"/>
          <w:lang w:val="en-GB"/>
        </w:rPr>
      </w:pPr>
      <w:r>
        <w:rPr>
          <w:rFonts w:ascii="Times New Roman" w:hAnsi="Times New Roman" w:cs="Times New Roman"/>
          <w:sz w:val="20"/>
          <w:szCs w:val="20"/>
          <w:lang w:val="en-GB"/>
        </w:rPr>
        <w:t>Financial regulation has been</w:t>
      </w:r>
      <w:r w:rsidRPr="00B07A90">
        <w:rPr>
          <w:rFonts w:ascii="Times New Roman" w:hAnsi="Times New Roman" w:cs="Times New Roman"/>
          <w:sz w:val="20"/>
          <w:szCs w:val="20"/>
          <w:lang w:val="en-GB"/>
        </w:rPr>
        <w:t xml:space="preserve"> developed</w:t>
      </w:r>
      <w:r w:rsidRPr="00697C07">
        <w:rPr>
          <w:rFonts w:ascii="Times New Roman" w:hAnsi="Times New Roman" w:cs="Times New Roman"/>
          <w:sz w:val="20"/>
          <w:szCs w:val="20"/>
          <w:lang w:val="en-GB"/>
        </w:rPr>
        <w:t xml:space="preserve"> over the years following the development of the European Union. It relied heavily on soft regulations in the sense of a recommendation (Basel 1,2,3) to address this issue in more detail in the last ten years through the adoption of the Financial Services Action Plan, See: </w:t>
      </w:r>
      <w:hyperlink r:id="rId9" w:history="1">
        <w:r w:rsidRPr="00697C07">
          <w:rPr>
            <w:rStyle w:val="Hyperlink"/>
            <w:rFonts w:ascii="Times New Roman" w:hAnsi="Times New Roman" w:cs="Times New Roman"/>
            <w:color w:val="auto"/>
            <w:sz w:val="20"/>
            <w:szCs w:val="20"/>
            <w:lang w:val="en-GB"/>
          </w:rPr>
          <w:t>http://ec.europa.eu/internal_market/fi nances/actionplan/index_en.htm</w:t>
        </w:r>
      </w:hyperlink>
      <w:r w:rsidRPr="00697C07">
        <w:rPr>
          <w:rStyle w:val="Hyperlink"/>
          <w:rFonts w:ascii="Times New Roman" w:hAnsi="Times New Roman" w:cs="Times New Roman"/>
          <w:color w:val="auto"/>
          <w:sz w:val="20"/>
          <w:szCs w:val="20"/>
          <w:lang w:val="en-GB"/>
        </w:rPr>
        <w:t xml:space="preserve">. </w:t>
      </w:r>
      <w:r w:rsidRPr="00697C07">
        <w:rPr>
          <w:rStyle w:val="Hyperlink"/>
          <w:rFonts w:ascii="Times New Roman" w:hAnsi="Times New Roman" w:cs="Times New Roman"/>
          <w:color w:val="auto"/>
          <w:sz w:val="20"/>
          <w:szCs w:val="20"/>
          <w:u w:val="none"/>
          <w:lang w:val="en-GB"/>
        </w:rPr>
        <w:t xml:space="preserve">In this context, in November 2011, Commissioner </w:t>
      </w:r>
      <w:proofErr w:type="spellStart"/>
      <w:r w:rsidRPr="00697C07">
        <w:rPr>
          <w:rStyle w:val="Hyperlink"/>
          <w:rFonts w:ascii="Times New Roman" w:hAnsi="Times New Roman" w:cs="Times New Roman"/>
          <w:color w:val="auto"/>
          <w:sz w:val="20"/>
          <w:szCs w:val="20"/>
          <w:u w:val="none"/>
          <w:lang w:val="en-GB"/>
        </w:rPr>
        <w:t>Barnier</w:t>
      </w:r>
      <w:proofErr w:type="spellEnd"/>
      <w:r w:rsidRPr="00697C07">
        <w:rPr>
          <w:rStyle w:val="Hyperlink"/>
          <w:rFonts w:ascii="Times New Roman" w:hAnsi="Times New Roman" w:cs="Times New Roman"/>
          <w:color w:val="auto"/>
          <w:sz w:val="20"/>
          <w:szCs w:val="20"/>
          <w:u w:val="none"/>
          <w:lang w:val="en-GB"/>
        </w:rPr>
        <w:t xml:space="preserve"> announced the establishment of a High-Level Expert Group (HLEG) to assess the need for structural reform of the Union's banking sector and chaired by the Governor of the Central Bank of Finland, </w:t>
      </w:r>
      <w:proofErr w:type="spellStart"/>
      <w:r w:rsidRPr="00697C07">
        <w:rPr>
          <w:rStyle w:val="Hyperlink"/>
          <w:rFonts w:ascii="Times New Roman" w:hAnsi="Times New Roman" w:cs="Times New Roman"/>
          <w:color w:val="auto"/>
          <w:sz w:val="20"/>
          <w:szCs w:val="20"/>
          <w:u w:val="none"/>
          <w:lang w:val="en-GB"/>
        </w:rPr>
        <w:t>Erkki</w:t>
      </w:r>
      <w:proofErr w:type="spellEnd"/>
      <w:r>
        <w:rPr>
          <w:rStyle w:val="Hyperlink"/>
          <w:rFonts w:ascii="Times New Roman" w:hAnsi="Times New Roman" w:cs="Times New Roman"/>
          <w:color w:val="auto"/>
          <w:sz w:val="20"/>
          <w:szCs w:val="20"/>
          <w:u w:val="none"/>
          <w:lang w:val="en-GB"/>
        </w:rPr>
        <w:t xml:space="preserve"> </w:t>
      </w:r>
      <w:proofErr w:type="spellStart"/>
      <w:r>
        <w:rPr>
          <w:rStyle w:val="Hyperlink"/>
          <w:rFonts w:ascii="Times New Roman" w:hAnsi="Times New Roman" w:cs="Times New Roman"/>
          <w:color w:val="auto"/>
          <w:sz w:val="20"/>
          <w:szCs w:val="20"/>
          <w:u w:val="none"/>
          <w:lang w:val="en-GB"/>
        </w:rPr>
        <w:t>Liikanen</w:t>
      </w:r>
      <w:proofErr w:type="spellEnd"/>
      <w:r w:rsidRPr="00697C07">
        <w:rPr>
          <w:rStyle w:val="Hyperlink"/>
          <w:rFonts w:ascii="Times New Roman" w:hAnsi="Times New Roman" w:cs="Times New Roman"/>
          <w:color w:val="auto"/>
          <w:sz w:val="20"/>
          <w:szCs w:val="20"/>
          <w:u w:val="none"/>
          <w:lang w:val="en-GB"/>
        </w:rPr>
        <w:t xml:space="preserve">. The report was published in October 2012, stating that bank restructuring is needed to complement existing reforms and recommending the mandatory separation of own-account trading and other high-risk trading activities into a separate legal entity within the banking group. Unbundling would be mandatory only for those banks in which the activities being unbundled make up a significant </w:t>
      </w:r>
      <w:r>
        <w:rPr>
          <w:rStyle w:val="Hyperlink"/>
          <w:rFonts w:ascii="Times New Roman" w:hAnsi="Times New Roman" w:cs="Times New Roman"/>
          <w:color w:val="auto"/>
          <w:sz w:val="20"/>
          <w:szCs w:val="20"/>
          <w:u w:val="none"/>
          <w:lang w:val="en-GB"/>
        </w:rPr>
        <w:t>share of the bank's operations.</w:t>
      </w:r>
      <w:r w:rsidRPr="00697C07">
        <w:rPr>
          <w:rStyle w:val="Hyperlink"/>
          <w:rFonts w:ascii="Times New Roman" w:hAnsi="Times New Roman" w:cs="Times New Roman"/>
          <w:color w:val="auto"/>
          <w:sz w:val="20"/>
          <w:szCs w:val="20"/>
          <w:u w:val="none"/>
          <w:lang w:val="en-GB"/>
        </w:rPr>
        <w:t xml:space="preserve"> On 3 July 2013, the European Parliament adopted by a large majority an own-initiative report entitled “Reforming the structure of the EU banking sector” welcoming structural reform measures at Union level to address banking problems. "Which are too large to allow their decay"</w:t>
      </w:r>
      <w:r>
        <w:rPr>
          <w:rStyle w:val="Hyperlink"/>
          <w:rFonts w:ascii="Times New Roman" w:hAnsi="Times New Roman" w:cs="Times New Roman"/>
          <w:color w:val="auto"/>
          <w:sz w:val="20"/>
          <w:szCs w:val="20"/>
          <w:u w:val="none"/>
          <w:lang w:val="en-GB"/>
        </w:rPr>
        <w:t xml:space="preserve"> (too big to fail idea) (see: </w:t>
      </w:r>
      <w:r w:rsidRPr="00B07A90">
        <w:rPr>
          <w:rStyle w:val="Hyperlink"/>
          <w:rFonts w:ascii="Times New Roman" w:hAnsi="Times New Roman" w:cs="Times New Roman"/>
          <w:color w:val="auto"/>
          <w:sz w:val="20"/>
          <w:szCs w:val="20"/>
          <w:u w:val="none"/>
          <w:lang w:val="en-GB"/>
        </w:rPr>
        <w:t>https://www.europarl.europa.eu/RegData/etudes/BRIE/2014/542145/EPRS_BRI(2014)542145_REV1_EN.pdf</w:t>
      </w:r>
      <w:r>
        <w:rPr>
          <w:rStyle w:val="Hyperlink"/>
          <w:rFonts w:ascii="Times New Roman" w:hAnsi="Times New Roman" w:cs="Times New Roman"/>
          <w:color w:val="auto"/>
          <w:sz w:val="20"/>
          <w:szCs w:val="20"/>
          <w:u w:val="none"/>
          <w:lang w:val="en-GB"/>
        </w:rPr>
        <w:t xml:space="preserve">.  </w:t>
      </w:r>
    </w:p>
    <w:p w14:paraId="2EE16F2B" w14:textId="7F5FEA8E" w:rsidR="00ED0FBD" w:rsidRPr="0004583D" w:rsidRDefault="00ED0FBD" w:rsidP="00ED0FBD">
      <w:pPr>
        <w:jc w:val="both"/>
        <w:rPr>
          <w:rStyle w:val="Hyperlink"/>
          <w:rFonts w:ascii="Times New Roman" w:hAnsi="Times New Roman" w:cs="Times New Roman"/>
          <w:color w:val="auto"/>
          <w:sz w:val="20"/>
          <w:szCs w:val="20"/>
          <w:u w:val="none"/>
          <w:lang w:val="en-GB"/>
        </w:rPr>
      </w:pPr>
      <w:r w:rsidRPr="00697C07">
        <w:rPr>
          <w:rFonts w:ascii="Times New Roman" w:hAnsi="Times New Roman" w:cs="Times New Roman"/>
          <w:sz w:val="20"/>
          <w:szCs w:val="20"/>
          <w:lang w:val="en-GB"/>
        </w:rPr>
        <w:t>In the post-crisis environment</w:t>
      </w:r>
      <w:r>
        <w:rPr>
          <w:rFonts w:ascii="Times New Roman" w:hAnsi="Times New Roman" w:cs="Times New Roman"/>
          <w:sz w:val="20"/>
          <w:szCs w:val="20"/>
          <w:lang w:val="en-GB"/>
        </w:rPr>
        <w:t xml:space="preserve"> (after the Second World Crisis 2008)</w:t>
      </w:r>
      <w:r w:rsidRPr="00697C07">
        <w:rPr>
          <w:rFonts w:ascii="Times New Roman" w:hAnsi="Times New Roman" w:cs="Times New Roman"/>
          <w:sz w:val="20"/>
          <w:szCs w:val="20"/>
          <w:lang w:val="en-GB"/>
        </w:rPr>
        <w:t>, governance of the EU financial sector has largely been characterised by centralisation of decision-making as well as by the proliferation of Union specific agencies in this sector. Agencies are a favourable organisational form that can be ‘ring-fenced’ from national political pressures, and committed to the common, European objectives (i.e., the Single Market project and financial integration), which is why recently</w:t>
      </w:r>
      <w:r>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their number has increased in the financial sector. Agency governance is the way forward in re-conceptualising EU’s mode of governance in the financial sector, and the main framework for its institutional re-design (</w:t>
      </w:r>
      <w:proofErr w:type="spellStart"/>
      <w:r w:rsidRPr="00697C07">
        <w:rPr>
          <w:rFonts w:ascii="Times New Roman" w:hAnsi="Times New Roman" w:cs="Times New Roman"/>
          <w:sz w:val="20"/>
          <w:szCs w:val="20"/>
          <w:lang w:val="en-GB"/>
        </w:rPr>
        <w:t>Bajakić</w:t>
      </w:r>
      <w:proofErr w:type="spellEnd"/>
      <w:r w:rsidRPr="00697C07">
        <w:rPr>
          <w:rFonts w:ascii="Times New Roman" w:hAnsi="Times New Roman" w:cs="Times New Roman"/>
          <w:sz w:val="20"/>
          <w:szCs w:val="20"/>
          <w:lang w:val="en-GB"/>
        </w:rPr>
        <w:t xml:space="preserve">, </w:t>
      </w:r>
      <w:proofErr w:type="spellStart"/>
      <w:r w:rsidRPr="00697C07">
        <w:rPr>
          <w:rFonts w:ascii="Times New Roman" w:hAnsi="Times New Roman" w:cs="Times New Roman"/>
          <w:sz w:val="20"/>
          <w:szCs w:val="20"/>
          <w:lang w:val="en-GB"/>
        </w:rPr>
        <w:t>Božina</w:t>
      </w:r>
      <w:proofErr w:type="spellEnd"/>
      <w:r w:rsidRPr="00697C07">
        <w:rPr>
          <w:rFonts w:ascii="Times New Roman" w:hAnsi="Times New Roman" w:cs="Times New Roman"/>
          <w:sz w:val="20"/>
          <w:szCs w:val="20"/>
          <w:lang w:val="en-GB"/>
        </w:rPr>
        <w:t xml:space="preserve"> </w:t>
      </w:r>
      <w:proofErr w:type="spellStart"/>
      <w:r w:rsidRPr="00697C07">
        <w:rPr>
          <w:rFonts w:ascii="Times New Roman" w:hAnsi="Times New Roman" w:cs="Times New Roman"/>
          <w:sz w:val="20"/>
          <w:szCs w:val="20"/>
          <w:lang w:val="en-GB"/>
        </w:rPr>
        <w:t>Beroš</w:t>
      </w:r>
      <w:proofErr w:type="spellEnd"/>
      <w:r w:rsidRPr="00697C07">
        <w:rPr>
          <w:rFonts w:ascii="Times New Roman" w:hAnsi="Times New Roman" w:cs="Times New Roman"/>
          <w:sz w:val="20"/>
          <w:szCs w:val="20"/>
          <w:lang w:val="en-GB"/>
        </w:rPr>
        <w:t>, 2017).</w:t>
      </w:r>
      <w:r>
        <w:rPr>
          <w:rFonts w:ascii="Times New Roman" w:hAnsi="Times New Roman" w:cs="Times New Roman"/>
          <w:sz w:val="20"/>
          <w:szCs w:val="20"/>
          <w:lang w:val="en-GB"/>
        </w:rPr>
        <w:t xml:space="preserve"> </w:t>
      </w:r>
      <w:r w:rsidRPr="00697C07">
        <w:rPr>
          <w:rFonts w:ascii="Times New Roman" w:eastAsia="Times New Roman" w:hAnsi="Times New Roman" w:cs="Times New Roman"/>
          <w:sz w:val="20"/>
          <w:szCs w:val="20"/>
          <w:lang w:val="en-GB" w:eastAsia="hr-HR"/>
        </w:rPr>
        <w:t xml:space="preserve">The EU banking system is also a highly diversified eco-system made up by around 8000 banks that operate according to different business models and different ownership structures. However, over time the market evolved to produce a few very large, complex, interconnected banking groups that offer a diversified set of services such as commercial banking, traditional investment banking, asset and wealth management services, and capital market activities such as market making, brokerage services, securitisation and proprietary trading. </w:t>
      </w:r>
      <w:r w:rsidRPr="00697C07">
        <w:rPr>
          <w:rFonts w:ascii="Times New Roman" w:eastAsia="Times New Roman" w:hAnsi="Times New Roman" w:cs="Times New Roman"/>
          <w:sz w:val="20"/>
          <w:szCs w:val="20"/>
          <w:lang w:val="en" w:eastAsia="en-GB"/>
        </w:rPr>
        <w:t xml:space="preserve">The trend is today that big banks are getting bigger and joining financial conglomerates. In the EU, The German and French Banks are the most powerful financial institutions to oppose the EC's attempts to separate </w:t>
      </w:r>
      <w:r w:rsidRPr="00697C07">
        <w:rPr>
          <w:rFonts w:ascii="Times New Roman" w:eastAsia="Times New Roman" w:hAnsi="Times New Roman" w:cs="Times New Roman"/>
          <w:sz w:val="20"/>
          <w:szCs w:val="20"/>
          <w:lang w:val="en-GB" w:eastAsia="hr-HR"/>
        </w:rPr>
        <w:t xml:space="preserve">retail from investment banking through </w:t>
      </w:r>
      <w:proofErr w:type="spellStart"/>
      <w:r w:rsidRPr="00697C07">
        <w:rPr>
          <w:rFonts w:ascii="Times New Roman" w:eastAsia="Times New Roman" w:hAnsi="Times New Roman" w:cs="Times New Roman"/>
          <w:sz w:val="20"/>
          <w:szCs w:val="20"/>
          <w:lang w:val="en-GB" w:eastAsia="hr-HR"/>
        </w:rPr>
        <w:t>Liikanen</w:t>
      </w:r>
      <w:proofErr w:type="spellEnd"/>
      <w:r w:rsidRPr="00697C07">
        <w:rPr>
          <w:rFonts w:ascii="Times New Roman" w:eastAsia="Times New Roman" w:hAnsi="Times New Roman" w:cs="Times New Roman"/>
          <w:sz w:val="20"/>
          <w:szCs w:val="20"/>
          <w:lang w:val="en-GB" w:eastAsia="hr-HR"/>
        </w:rPr>
        <w:t xml:space="preserve"> report. (Schenk, 2020). In Brussels, there are around 1,500 representatives of the banks with a budget of 300 million EUR. </w:t>
      </w:r>
      <w:r w:rsidRPr="00697C07">
        <w:rPr>
          <w:rFonts w:ascii="Times New Roman" w:hAnsi="Times New Roman" w:cs="Times New Roman"/>
          <w:sz w:val="20"/>
          <w:szCs w:val="20"/>
          <w:lang w:val="en"/>
        </w:rPr>
        <w:t xml:space="preserve">Nevertheless, special attention is given </w:t>
      </w:r>
      <w:r w:rsidRPr="00697C07">
        <w:rPr>
          <w:rFonts w:ascii="Times New Roman" w:hAnsi="Times New Roman" w:cs="Times New Roman"/>
          <w:sz w:val="20"/>
          <w:szCs w:val="20"/>
          <w:lang w:val="en"/>
        </w:rPr>
        <w:lastRenderedPageBreak/>
        <w:t>to</w:t>
      </w:r>
      <w:r w:rsidRPr="00697C07">
        <w:rPr>
          <w:rFonts w:ascii="Times New Roman" w:eastAsia="Times New Roman" w:hAnsi="Times New Roman" w:cs="Times New Roman"/>
          <w:sz w:val="20"/>
          <w:szCs w:val="20"/>
          <w:lang w:val="en-GB" w:eastAsia="hr-HR"/>
        </w:rPr>
        <w:t xml:space="preserve"> Systematically Important Financial Institutions (SIFIs) that attract a higher level of supervision by ECB.</w:t>
      </w:r>
      <w:r w:rsidR="00967630" w:rsidRPr="00967630">
        <w:rPr>
          <w:rFonts w:ascii="Times New Roman" w:eastAsia="Times New Roman" w:hAnsi="Times New Roman" w:cs="Times New Roman"/>
          <w:sz w:val="20"/>
          <w:szCs w:val="20"/>
          <w:vertAlign w:val="superscript"/>
          <w:lang w:val="en-GB" w:eastAsia="hr-HR"/>
        </w:rPr>
        <w:t>3</w:t>
      </w:r>
      <w:r w:rsidRPr="00697C07">
        <w:rPr>
          <w:rFonts w:ascii="Times New Roman" w:eastAsia="Times New Roman" w:hAnsi="Times New Roman" w:cs="Times New Roman"/>
          <w:sz w:val="20"/>
          <w:szCs w:val="20"/>
          <w:lang w:val="en-GB" w:eastAsia="hr-HR"/>
        </w:rPr>
        <w:t xml:space="preserve">  </w:t>
      </w:r>
    </w:p>
    <w:p w14:paraId="19729A6B" w14:textId="538FBF7A" w:rsidR="00ED0FBD" w:rsidRDefault="00ED0FBD" w:rsidP="00ED0FBD">
      <w:pPr>
        <w:jc w:val="both"/>
        <w:rPr>
          <w:rStyle w:val="Hyperlink"/>
          <w:color w:val="auto"/>
          <w:u w:val="none"/>
        </w:rPr>
      </w:pPr>
      <w:r w:rsidRPr="00697C07">
        <w:rPr>
          <w:rFonts w:ascii="Times New Roman" w:hAnsi="Times New Roman" w:cs="Times New Roman"/>
          <w:sz w:val="20"/>
          <w:szCs w:val="20"/>
          <w:lang w:val="en-GB"/>
        </w:rPr>
        <w:t xml:space="preserve">Furthermore, the last reform initiated by the Wise Men committee through the so-called </w:t>
      </w:r>
      <w:proofErr w:type="spellStart"/>
      <w:r w:rsidRPr="00697C07">
        <w:rPr>
          <w:rFonts w:ascii="Times New Roman" w:hAnsi="Times New Roman" w:cs="Times New Roman"/>
          <w:sz w:val="20"/>
          <w:szCs w:val="20"/>
          <w:lang w:val="en-GB"/>
        </w:rPr>
        <w:t>Lamfalussy's</w:t>
      </w:r>
      <w:proofErr w:type="spellEnd"/>
      <w:r w:rsidRPr="00697C07">
        <w:rPr>
          <w:rFonts w:ascii="Times New Roman" w:hAnsi="Times New Roman" w:cs="Times New Roman"/>
          <w:sz w:val="20"/>
          <w:szCs w:val="20"/>
          <w:lang w:val="en-GB"/>
        </w:rPr>
        <w:t xml:space="preserve"> report from 2019 that is the last report on the EC's public presentation of financial regulation.</w:t>
      </w:r>
      <w:r>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 xml:space="preserve">The </w:t>
      </w:r>
      <w:proofErr w:type="spellStart"/>
      <w:r w:rsidRPr="00697C07">
        <w:rPr>
          <w:rFonts w:ascii="Times New Roman" w:hAnsi="Times New Roman" w:cs="Times New Roman"/>
          <w:sz w:val="20"/>
          <w:szCs w:val="20"/>
          <w:lang w:val="en-GB"/>
        </w:rPr>
        <w:t>Lamfalussy</w:t>
      </w:r>
      <w:proofErr w:type="spellEnd"/>
      <w:r w:rsidRPr="00697C07">
        <w:rPr>
          <w:rFonts w:ascii="Times New Roman" w:hAnsi="Times New Roman" w:cs="Times New Roman"/>
          <w:sz w:val="20"/>
          <w:szCs w:val="20"/>
          <w:lang w:val="en-GB"/>
        </w:rPr>
        <w:t xml:space="preserve"> report</w:t>
      </w:r>
      <w:r>
        <w:rPr>
          <w:rFonts w:ascii="Times New Roman" w:hAnsi="Times New Roman" w:cs="Times New Roman"/>
          <w:sz w:val="20"/>
          <w:szCs w:val="20"/>
          <w:lang w:val="en-GB"/>
        </w:rPr>
        <w:t xml:space="preserve"> (LR)</w:t>
      </w:r>
      <w:r w:rsidRPr="00697C07">
        <w:rPr>
          <w:rFonts w:ascii="Times New Roman" w:hAnsi="Times New Roman" w:cs="Times New Roman"/>
          <w:sz w:val="20"/>
          <w:szCs w:val="20"/>
          <w:lang w:val="en-GB"/>
        </w:rPr>
        <w:t xml:space="preserve"> was first conceived as a measure for the European securities market, and further brings us to the overall reform of the single financial territory. The measures mainly include easier and more transparent cooperation between the ECB and the central banks of the member states, more effective supervision. LR implies a comitology procedure, i.e. committee procedures through 4 levels. The committee procedure presupposes easier and more transparent operational decision-making regarding financial regulation.</w:t>
      </w:r>
      <w:r w:rsidR="00967630">
        <w:rPr>
          <w:rFonts w:ascii="Times New Roman" w:hAnsi="Times New Roman" w:cs="Times New Roman"/>
          <w:sz w:val="20"/>
          <w:szCs w:val="20"/>
          <w:vertAlign w:val="superscript"/>
          <w:lang w:val="en-GB"/>
        </w:rPr>
        <w:t>4</w:t>
      </w:r>
      <w:r w:rsidR="00967630">
        <w:rPr>
          <w:rFonts w:ascii="Times New Roman" w:hAnsi="Times New Roman" w:cs="Times New Roman"/>
          <w:sz w:val="20"/>
          <w:szCs w:val="20"/>
          <w:lang w:val="en-GB"/>
        </w:rPr>
        <w:t xml:space="preserve"> </w:t>
      </w:r>
      <w:r w:rsidRPr="0068261C">
        <w:rPr>
          <w:rStyle w:val="Hyperlink"/>
          <w:rFonts w:ascii="Times New Roman" w:hAnsi="Times New Roman" w:cs="Times New Roman"/>
          <w:color w:val="auto"/>
          <w:sz w:val="20"/>
          <w:szCs w:val="20"/>
          <w:u w:val="none"/>
          <w:lang w:val="en-GB"/>
        </w:rPr>
        <w:t xml:space="preserve">The Comitology structure, initially proposed for the securities industry and subsequently extended to the other financial sectors, is based on different types of Committee: Regulatory and Supervisory, with different tasks in the </w:t>
      </w:r>
      <w:r>
        <w:rPr>
          <w:rStyle w:val="Hyperlink"/>
          <w:rFonts w:ascii="Times New Roman" w:hAnsi="Times New Roman" w:cs="Times New Roman"/>
          <w:color w:val="auto"/>
          <w:sz w:val="20"/>
          <w:szCs w:val="20"/>
          <w:u w:val="none"/>
          <w:lang w:val="en-GB"/>
        </w:rPr>
        <w:t>various levels (</w:t>
      </w:r>
      <w:proofErr w:type="spellStart"/>
      <w:r>
        <w:rPr>
          <w:rFonts w:ascii="Times New Roman" w:hAnsi="Times New Roman" w:cs="Times New Roman"/>
          <w:noProof/>
          <w:sz w:val="20"/>
          <w:szCs w:val="20"/>
          <w:lang w:val="en-GB"/>
        </w:rPr>
        <w:t>Gualandri</w:t>
      </w:r>
      <w:proofErr w:type="spellEnd"/>
      <w:r>
        <w:rPr>
          <w:rFonts w:ascii="Times New Roman" w:hAnsi="Times New Roman" w:cs="Times New Roman"/>
          <w:noProof/>
          <w:sz w:val="20"/>
          <w:szCs w:val="20"/>
          <w:lang w:val="en-GB"/>
        </w:rPr>
        <w:t xml:space="preserve"> and Grasso, </w:t>
      </w:r>
      <w:r w:rsidRPr="0068261C">
        <w:rPr>
          <w:rFonts w:ascii="Times New Roman" w:hAnsi="Times New Roman" w:cs="Times New Roman"/>
          <w:noProof/>
          <w:sz w:val="20"/>
          <w:szCs w:val="20"/>
          <w:lang w:val="en-GB"/>
        </w:rPr>
        <w:t>2006</w:t>
      </w:r>
      <w:r>
        <w:rPr>
          <w:rFonts w:ascii="Times New Roman" w:hAnsi="Times New Roman" w:cs="Times New Roman"/>
          <w:noProof/>
          <w:sz w:val="20"/>
          <w:szCs w:val="20"/>
          <w:lang w:val="en-GB"/>
        </w:rPr>
        <w:t>)</w:t>
      </w:r>
    </w:p>
    <w:p w14:paraId="5C9AAD85" w14:textId="77777777" w:rsidR="00ED0FBD" w:rsidRPr="0004583D" w:rsidRDefault="00ED0FBD" w:rsidP="00ED0FBD">
      <w:pPr>
        <w:jc w:val="both"/>
      </w:pPr>
      <w:r w:rsidRPr="0068261C">
        <w:rPr>
          <w:rStyle w:val="Hyperlink"/>
          <w:rFonts w:ascii="Times New Roman" w:hAnsi="Times New Roman" w:cs="Times New Roman"/>
          <w:color w:val="auto"/>
          <w:sz w:val="20"/>
          <w:szCs w:val="20"/>
          <w:u w:val="none"/>
          <w:lang w:val="en-GB"/>
        </w:rPr>
        <w:t>The Comitology structure</w:t>
      </w:r>
      <w:r>
        <w:rPr>
          <w:rStyle w:val="Hyperlink"/>
          <w:rFonts w:ascii="Times New Roman" w:hAnsi="Times New Roman" w:cs="Times New Roman"/>
          <w:color w:val="auto"/>
          <w:sz w:val="20"/>
          <w:szCs w:val="20"/>
          <w:u w:val="none"/>
          <w:lang w:val="en-GB"/>
        </w:rPr>
        <w:t xml:space="preserve"> follow 4 levels:</w:t>
      </w:r>
    </w:p>
    <w:p w14:paraId="34FFBF6D" w14:textId="77777777" w:rsidR="00ED0FBD" w:rsidRPr="0004583D" w:rsidRDefault="00ED0FBD" w:rsidP="00ED0F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val="en-GB" w:eastAsia="hr-HR"/>
        </w:rPr>
      </w:pPr>
      <w:r w:rsidRPr="0004583D">
        <w:rPr>
          <w:rFonts w:ascii="Times New Roman" w:eastAsia="Times New Roman" w:hAnsi="Times New Roman" w:cs="Times New Roman"/>
          <w:sz w:val="18"/>
          <w:szCs w:val="18"/>
          <w:lang w:val="en-GB" w:eastAsia="hr-HR"/>
        </w:rPr>
        <w:t xml:space="preserve">At level 1 the European Parliament and Council adopt the basic laws proposed by the Commission, in the traditional co-decision procedure. As this procedure is usually complex and time-consuming, the </w:t>
      </w:r>
      <w:proofErr w:type="spellStart"/>
      <w:r w:rsidRPr="0004583D">
        <w:rPr>
          <w:rFonts w:ascii="Times New Roman" w:eastAsia="Times New Roman" w:hAnsi="Times New Roman" w:cs="Times New Roman"/>
          <w:sz w:val="18"/>
          <w:szCs w:val="18"/>
          <w:lang w:val="en-GB" w:eastAsia="hr-HR"/>
        </w:rPr>
        <w:t>Lamfalussy</w:t>
      </w:r>
      <w:proofErr w:type="spellEnd"/>
      <w:r w:rsidRPr="0004583D">
        <w:rPr>
          <w:rFonts w:ascii="Times New Roman" w:eastAsia="Times New Roman" w:hAnsi="Times New Roman" w:cs="Times New Roman"/>
          <w:sz w:val="18"/>
          <w:szCs w:val="18"/>
          <w:lang w:val="en-GB" w:eastAsia="hr-HR"/>
        </w:rPr>
        <w:t xml:space="preserve"> report recommends using it only for setting out framework principles.</w:t>
      </w:r>
    </w:p>
    <w:p w14:paraId="525F98F4" w14:textId="77777777" w:rsidR="00ED0FBD" w:rsidRPr="0004583D" w:rsidRDefault="00ED0FBD" w:rsidP="00ED0F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val="en-GB" w:eastAsia="hr-HR"/>
        </w:rPr>
      </w:pPr>
      <w:r w:rsidRPr="0004583D">
        <w:rPr>
          <w:rFonts w:ascii="Times New Roman" w:eastAsia="Times New Roman" w:hAnsi="Times New Roman" w:cs="Times New Roman"/>
          <w:sz w:val="18"/>
          <w:szCs w:val="18"/>
          <w:lang w:val="en-GB" w:eastAsia="hr-HR"/>
        </w:rPr>
        <w:t>At level 2 the Commission can adopt, adapt and update technical implementing measures with the help of consultative bodies composed mainly of EU countries representatives. This allows the Council and Parliament to focus on the key political decisions, while technical implementing details can be worked out afterwards by the Commission.</w:t>
      </w:r>
    </w:p>
    <w:p w14:paraId="387BB91C" w14:textId="77777777" w:rsidR="00ED0FBD" w:rsidRPr="0004583D" w:rsidRDefault="00ED0FBD" w:rsidP="00ED0F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val="en-GB" w:eastAsia="hr-HR"/>
        </w:rPr>
      </w:pPr>
      <w:r w:rsidRPr="0004583D">
        <w:rPr>
          <w:rFonts w:ascii="Times New Roman" w:eastAsia="Times New Roman" w:hAnsi="Times New Roman" w:cs="Times New Roman"/>
          <w:sz w:val="18"/>
          <w:szCs w:val="18"/>
          <w:lang w:val="en-GB" w:eastAsia="hr-HR"/>
        </w:rPr>
        <w:t>At level 3, committees of national supervisors are responsible for advising the Commission in the adoption of level 1 and 2 acts and for issuing guidelines on the implementation of the rules.</w:t>
      </w:r>
    </w:p>
    <w:p w14:paraId="7D79334C" w14:textId="081BD371" w:rsidR="00ED0FBD" w:rsidRPr="00697C07" w:rsidRDefault="00ED0FBD" w:rsidP="00ED0F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r-HR"/>
        </w:rPr>
      </w:pPr>
      <w:r w:rsidRPr="0004583D">
        <w:rPr>
          <w:rFonts w:ascii="Times New Roman" w:eastAsia="Times New Roman" w:hAnsi="Times New Roman" w:cs="Times New Roman"/>
          <w:sz w:val="18"/>
          <w:szCs w:val="18"/>
          <w:lang w:val="en-GB" w:eastAsia="hr-HR"/>
        </w:rPr>
        <w:t>At level 4 the report advocates a stronger role for the Commission in ensuring the correct enforcement of EU rules by national governments</w:t>
      </w:r>
      <w:r w:rsidRPr="00697C07">
        <w:rPr>
          <w:rFonts w:ascii="Times New Roman" w:eastAsia="Times New Roman" w:hAnsi="Times New Roman" w:cs="Times New Roman"/>
          <w:sz w:val="20"/>
          <w:szCs w:val="20"/>
          <w:lang w:val="en-GB" w:eastAsia="hr-HR"/>
        </w:rPr>
        <w:t>.</w:t>
      </w:r>
      <w:r w:rsidR="00967630">
        <w:rPr>
          <w:rFonts w:ascii="Times New Roman" w:eastAsia="Times New Roman" w:hAnsi="Times New Roman" w:cs="Times New Roman"/>
          <w:sz w:val="20"/>
          <w:szCs w:val="20"/>
          <w:lang w:val="en-GB" w:eastAsia="hr-HR"/>
        </w:rPr>
        <w:t xml:space="preserve"> </w:t>
      </w:r>
      <w:r w:rsidR="00967630">
        <w:rPr>
          <w:rFonts w:ascii="Times New Roman" w:eastAsia="Times New Roman" w:hAnsi="Times New Roman" w:cs="Times New Roman"/>
          <w:sz w:val="20"/>
          <w:szCs w:val="20"/>
          <w:vertAlign w:val="superscript"/>
          <w:lang w:val="en-GB" w:eastAsia="hr-HR"/>
        </w:rPr>
        <w:t>5</w:t>
      </w:r>
      <w:r w:rsidRPr="00697C07">
        <w:rPr>
          <w:rFonts w:ascii="Times New Roman" w:eastAsia="Times New Roman" w:hAnsi="Times New Roman" w:cs="Times New Roman"/>
          <w:sz w:val="20"/>
          <w:szCs w:val="20"/>
          <w:lang w:val="en-GB" w:eastAsia="hr-HR"/>
        </w:rPr>
        <w:t xml:space="preserve"> </w:t>
      </w:r>
    </w:p>
    <w:p w14:paraId="2DB1D96E" w14:textId="77777777" w:rsidR="00ED0FBD" w:rsidRPr="00697C07" w:rsidRDefault="00ED0FBD" w:rsidP="00ED0FBD">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Following the financial crisis, the EU reformed its framework for financial supervision. It established a new European Systemic Risk Board (ESRB) for monitoring macro-prudential risks and transformed the level 3 </w:t>
      </w:r>
      <w:proofErr w:type="spellStart"/>
      <w:r w:rsidRPr="00697C07">
        <w:rPr>
          <w:rFonts w:ascii="Times New Roman" w:hAnsi="Times New Roman" w:cs="Times New Roman"/>
          <w:sz w:val="20"/>
          <w:szCs w:val="20"/>
          <w:lang w:val="en-GB"/>
        </w:rPr>
        <w:t>Lamfalussy</w:t>
      </w:r>
      <w:proofErr w:type="spellEnd"/>
      <w:r w:rsidRPr="00697C07">
        <w:rPr>
          <w:rFonts w:ascii="Times New Roman" w:hAnsi="Times New Roman" w:cs="Times New Roman"/>
          <w:sz w:val="20"/>
          <w:szCs w:val="20"/>
          <w:lang w:val="en-GB"/>
        </w:rPr>
        <w:t xml:space="preserve"> committees into independent authorities with enhanced powers. The purpose of recovery plan is to assure business continuity. Recovery measure is preventive activity to </w:t>
      </w:r>
      <w:r>
        <w:rPr>
          <w:rFonts w:ascii="Times New Roman" w:hAnsi="Times New Roman" w:cs="Times New Roman"/>
          <w:sz w:val="20"/>
          <w:szCs w:val="20"/>
          <w:lang w:val="en-GB"/>
        </w:rPr>
        <w:t>avoid resolution (</w:t>
      </w:r>
      <w:proofErr w:type="spellStart"/>
      <w:r>
        <w:rPr>
          <w:rFonts w:ascii="Times New Roman" w:hAnsi="Times New Roman" w:cs="Times New Roman"/>
          <w:sz w:val="20"/>
          <w:szCs w:val="20"/>
          <w:lang w:val="en-GB"/>
        </w:rPr>
        <w:t>Festić</w:t>
      </w:r>
      <w:proofErr w:type="spellEnd"/>
      <w:r>
        <w:rPr>
          <w:rFonts w:ascii="Times New Roman" w:hAnsi="Times New Roman" w:cs="Times New Roman"/>
          <w:sz w:val="20"/>
          <w:szCs w:val="20"/>
          <w:lang w:val="en-GB"/>
        </w:rPr>
        <w:t xml:space="preserve"> 2019).</w:t>
      </w:r>
      <w:r w:rsidRPr="00697C07">
        <w:rPr>
          <w:rFonts w:ascii="Times New Roman" w:hAnsi="Times New Roman" w:cs="Times New Roman"/>
          <w:sz w:val="20"/>
          <w:szCs w:val="20"/>
          <w:lang w:val="en-GB"/>
        </w:rPr>
        <w:t xml:space="preserve"> The three European supervisory authorities (ESAs) which were set up in this process are: the European Banking Authority (EBA), the European Securities and Markets Authority (ESMA) and the European Insurance and Occupational Pensions Authority (EIOPA). </w:t>
      </w:r>
      <w:r w:rsidRPr="00697C07">
        <w:rPr>
          <w:rFonts w:ascii="Times New Roman" w:eastAsia="Times New Roman" w:hAnsi="Times New Roman" w:cs="Times New Roman"/>
          <w:sz w:val="20"/>
          <w:szCs w:val="20"/>
          <w:lang w:val="en-GB" w:eastAsia="hr-HR"/>
        </w:rPr>
        <w:t>Decentralization needs to be worked on where the power and influence of the most powerful banking giants (mostly from Germany and France)</w:t>
      </w:r>
      <w:r>
        <w:rPr>
          <w:rFonts w:ascii="Times New Roman" w:eastAsia="Times New Roman" w:hAnsi="Times New Roman" w:cs="Times New Roman"/>
          <w:sz w:val="20"/>
          <w:szCs w:val="20"/>
          <w:lang w:val="en-GB" w:eastAsia="hr-HR"/>
        </w:rPr>
        <w:t xml:space="preserve"> are evident</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But what was more important, the EP’s assessment put forward an</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unexpected indictment; namely from all three supervisory authorities, ESMA was the one</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that scored the lowest regarding independence. The criticism was primarily directed to</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ESMA’s main executive bodies (i.e., the Management Board and the Board of Supervisors),</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and more concretely, to NRAs’</w:t>
      </w:r>
      <w:r>
        <w:rPr>
          <w:rFonts w:ascii="Times New Roman" w:hAnsi="Times New Roman" w:cs="Times New Roman"/>
          <w:sz w:val="20"/>
          <w:szCs w:val="20"/>
          <w:lang w:val="en-GB"/>
        </w:rPr>
        <w:t xml:space="preserve"> (National Competent Authorities)</w:t>
      </w:r>
      <w:r w:rsidRPr="00697C07">
        <w:rPr>
          <w:rFonts w:ascii="Times New Roman" w:hAnsi="Times New Roman" w:cs="Times New Roman"/>
          <w:sz w:val="20"/>
          <w:szCs w:val="20"/>
          <w:lang w:val="en-GB"/>
        </w:rPr>
        <w:t xml:space="preserve"> work therein, which was deemed far too ‘national’ in order</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to represent the ‘int</w:t>
      </w:r>
      <w:r>
        <w:rPr>
          <w:rFonts w:ascii="Times New Roman" w:hAnsi="Times New Roman" w:cs="Times New Roman"/>
          <w:sz w:val="20"/>
          <w:szCs w:val="20"/>
          <w:lang w:val="en-GB"/>
        </w:rPr>
        <w:t>erests of the Union’ (</w:t>
      </w:r>
      <w:proofErr w:type="spellStart"/>
      <w:r>
        <w:rPr>
          <w:rFonts w:ascii="Times New Roman" w:hAnsi="Times New Roman" w:cs="Times New Roman"/>
          <w:sz w:val="20"/>
          <w:szCs w:val="20"/>
          <w:lang w:val="en-GB"/>
        </w:rPr>
        <w:t>Andenas</w:t>
      </w:r>
      <w:proofErr w:type="spellEnd"/>
      <w:r>
        <w:rPr>
          <w:rFonts w:ascii="Times New Roman" w:hAnsi="Times New Roman" w:cs="Times New Roman"/>
          <w:sz w:val="20"/>
          <w:szCs w:val="20"/>
          <w:lang w:val="en-GB"/>
        </w:rPr>
        <w:t xml:space="preserve"> and </w:t>
      </w:r>
      <w:proofErr w:type="spellStart"/>
      <w:r w:rsidRPr="00697C07">
        <w:rPr>
          <w:rFonts w:ascii="Times New Roman" w:hAnsi="Times New Roman" w:cs="Times New Roman"/>
          <w:sz w:val="20"/>
          <w:szCs w:val="20"/>
          <w:lang w:val="en-GB"/>
        </w:rPr>
        <w:t>Deipenbrock</w:t>
      </w:r>
      <w:proofErr w:type="spellEnd"/>
      <w:r w:rsidRPr="00697C07">
        <w:rPr>
          <w:rFonts w:ascii="Times New Roman" w:hAnsi="Times New Roman" w:cs="Times New Roman"/>
          <w:sz w:val="20"/>
          <w:szCs w:val="20"/>
          <w:lang w:val="en-GB"/>
        </w:rPr>
        <w:t>, 2016).</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 xml:space="preserve">In the aftermath of the sovereign-debt crisis, when projects such as the Banking Union exacerbated differentiation tensions between Eurozone and non-Eurozone MS, ESAs’ independence consolidates democratic credentials of financial sector governance. </w:t>
      </w:r>
      <w:r>
        <w:rPr>
          <w:rFonts w:ascii="Times New Roman" w:hAnsi="Times New Roman" w:cs="Times New Roman"/>
          <w:sz w:val="20"/>
          <w:szCs w:val="20"/>
          <w:lang w:val="en-GB"/>
        </w:rPr>
        <w:t xml:space="preserve">However, </w:t>
      </w:r>
      <w:proofErr w:type="spellStart"/>
      <w:r w:rsidRPr="00697C07">
        <w:rPr>
          <w:rFonts w:ascii="Times New Roman" w:hAnsi="Times New Roman" w:cs="Times New Roman"/>
          <w:sz w:val="20"/>
          <w:szCs w:val="20"/>
          <w:lang w:val="en-GB"/>
        </w:rPr>
        <w:t>Bajakić</w:t>
      </w:r>
      <w:proofErr w:type="spellEnd"/>
      <w:r w:rsidRPr="00697C07">
        <w:rPr>
          <w:rFonts w:ascii="Times New Roman" w:hAnsi="Times New Roman" w:cs="Times New Roman"/>
          <w:sz w:val="20"/>
          <w:szCs w:val="20"/>
          <w:lang w:val="en-GB"/>
        </w:rPr>
        <w:t xml:space="preserve">, </w:t>
      </w:r>
      <w:proofErr w:type="spellStart"/>
      <w:r w:rsidRPr="00697C07">
        <w:rPr>
          <w:rFonts w:ascii="Times New Roman" w:hAnsi="Times New Roman" w:cs="Times New Roman"/>
          <w:sz w:val="20"/>
          <w:szCs w:val="20"/>
          <w:lang w:val="en-GB"/>
        </w:rPr>
        <w:t>Božina</w:t>
      </w:r>
      <w:proofErr w:type="spellEnd"/>
      <w:r w:rsidRPr="00697C07">
        <w:rPr>
          <w:rFonts w:ascii="Times New Roman" w:hAnsi="Times New Roman" w:cs="Times New Roman"/>
          <w:sz w:val="20"/>
          <w:szCs w:val="20"/>
          <w:lang w:val="en-GB"/>
        </w:rPr>
        <w:t xml:space="preserve"> </w:t>
      </w:r>
      <w:proofErr w:type="spellStart"/>
      <w:r w:rsidRPr="00697C07">
        <w:rPr>
          <w:rFonts w:ascii="Times New Roman" w:hAnsi="Times New Roman" w:cs="Times New Roman"/>
          <w:sz w:val="20"/>
          <w:szCs w:val="20"/>
          <w:lang w:val="en-GB"/>
        </w:rPr>
        <w:t>Beroš</w:t>
      </w:r>
      <w:proofErr w:type="spellEnd"/>
      <w:r w:rsidRPr="00697C07">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697C07">
        <w:rPr>
          <w:rFonts w:ascii="Times New Roman" w:hAnsi="Times New Roman" w:cs="Times New Roman"/>
          <w:sz w:val="20"/>
          <w:szCs w:val="20"/>
          <w:lang w:val="en-GB"/>
        </w:rPr>
        <w:t>2017</w:t>
      </w:r>
      <w:r>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 xml:space="preserve">demonstrated that the governance framework is the weakest link of ESMA’s independence, with its Board of Supervisors often criticised for favouring national interests and for regulatory capture. In this sense it is crucial that the Board of Supervisors is re-directed away from the national interests and more towards EU interests, while the budget financing structure needs to be carefully crafted in order to evade capture traps. </w:t>
      </w:r>
      <w:r w:rsidRPr="00697C07">
        <w:rPr>
          <w:rFonts w:ascii="Times New Roman" w:eastAsia="Times New Roman" w:hAnsi="Times New Roman" w:cs="Times New Roman"/>
          <w:sz w:val="20"/>
          <w:szCs w:val="20"/>
          <w:lang w:val="en-GB" w:eastAsia="hr-HR"/>
        </w:rPr>
        <w:t xml:space="preserve">Attempts have been made, among other things, to solve the problem of post-transition countries, which are mostly oriented towards commercial banks of foreign representative offices, the supply of financial instruments (primary products) is weak, and businesses and citizens are insufficiently financially literate and sufficiently protected </w:t>
      </w:r>
      <w:r>
        <w:rPr>
          <w:rFonts w:ascii="Times New Roman" w:eastAsia="Times New Roman" w:hAnsi="Times New Roman" w:cs="Times New Roman"/>
          <w:sz w:val="20"/>
          <w:szCs w:val="20"/>
          <w:lang w:val="en-GB" w:eastAsia="hr-HR"/>
        </w:rPr>
        <w:t>through civic associations.</w:t>
      </w:r>
      <w:r w:rsidRPr="00697C07">
        <w:rPr>
          <w:rFonts w:ascii="Times New Roman" w:eastAsia="Times New Roman" w:hAnsi="Times New Roman" w:cs="Times New Roman"/>
          <w:sz w:val="20"/>
          <w:szCs w:val="20"/>
          <w:lang w:val="en-GB" w:eastAsia="hr-HR"/>
        </w:rPr>
        <w:t xml:space="preserve"> </w:t>
      </w:r>
      <w:r w:rsidRPr="00697C07">
        <w:rPr>
          <w:rFonts w:ascii="Times New Roman" w:hAnsi="Times New Roman" w:cs="Times New Roman"/>
          <w:sz w:val="20"/>
          <w:szCs w:val="20"/>
          <w:lang w:val="en-GB"/>
        </w:rPr>
        <w:t xml:space="preserve">While for the Eurozone members exists a European Stabilization Mechanism (ESM) from which funds banks can be recapitalized and which </w:t>
      </w:r>
      <w:r w:rsidRPr="00697C07">
        <w:rPr>
          <w:rFonts w:ascii="Times New Roman" w:hAnsi="Times New Roman" w:cs="Times New Roman"/>
          <w:sz w:val="20"/>
          <w:szCs w:val="20"/>
          <w:lang w:val="en-GB"/>
        </w:rPr>
        <w:lastRenderedPageBreak/>
        <w:t>serves as a common protection mechanism, member states of banking union outside the Eurozone cannot rely on its use (</w:t>
      </w:r>
      <w:proofErr w:type="spellStart"/>
      <w:r w:rsidRPr="00697C07">
        <w:rPr>
          <w:rFonts w:ascii="Times New Roman" w:hAnsi="Times New Roman" w:cs="Times New Roman"/>
          <w:sz w:val="20"/>
          <w:szCs w:val="20"/>
          <w:lang w:val="en-GB"/>
        </w:rPr>
        <w:t>Vujč</w:t>
      </w:r>
      <w:r>
        <w:rPr>
          <w:rFonts w:ascii="Times New Roman" w:hAnsi="Times New Roman" w:cs="Times New Roman"/>
          <w:sz w:val="20"/>
          <w:szCs w:val="20"/>
          <w:lang w:val="en-GB"/>
        </w:rPr>
        <w:t>ić</w:t>
      </w:r>
      <w:proofErr w:type="spellEnd"/>
      <w:r>
        <w:rPr>
          <w:rFonts w:ascii="Times New Roman" w:hAnsi="Times New Roman" w:cs="Times New Roman"/>
          <w:sz w:val="20"/>
          <w:szCs w:val="20"/>
          <w:lang w:val="en-GB"/>
        </w:rPr>
        <w:t xml:space="preserve"> 2016). According </w:t>
      </w:r>
      <w:proofErr w:type="spellStart"/>
      <w:r>
        <w:rPr>
          <w:rFonts w:ascii="Times New Roman" w:hAnsi="Times New Roman" w:cs="Times New Roman"/>
          <w:sz w:val="20"/>
          <w:szCs w:val="20"/>
          <w:lang w:val="en-GB"/>
        </w:rPr>
        <w:t>Belke</w:t>
      </w:r>
      <w:proofErr w:type="spellEnd"/>
      <w:r>
        <w:rPr>
          <w:rFonts w:ascii="Times New Roman" w:hAnsi="Times New Roman" w:cs="Times New Roman"/>
          <w:sz w:val="20"/>
          <w:szCs w:val="20"/>
          <w:lang w:val="en-GB"/>
        </w:rPr>
        <w:t xml:space="preserve"> et al. (2016</w:t>
      </w:r>
      <w:r w:rsidRPr="00697C07">
        <w:rPr>
          <w:rFonts w:ascii="Times New Roman" w:hAnsi="Times New Roman" w:cs="Times New Roman"/>
          <w:sz w:val="20"/>
          <w:szCs w:val="20"/>
          <w:lang w:val="en-GB"/>
        </w:rPr>
        <w:t xml:space="preserve">), due to treaty constraints, non-euro countries participating in the banking union will not be on equal footing with euro members’ area. Their analyses suggest non-euro countries to join banking union upon the euro adoption, as opt-ins are also excluded from the access to credible backstops.   </w:t>
      </w:r>
    </w:p>
    <w:p w14:paraId="50FC86B9" w14:textId="3CC12382" w:rsidR="00B43A50" w:rsidRPr="00E7694F" w:rsidRDefault="00F905FA" w:rsidP="00C13928">
      <w:pPr>
        <w:jc w:val="both"/>
        <w:rPr>
          <w:rFonts w:ascii="Times New Roman" w:hAnsi="Times New Roman" w:cs="Times New Roman"/>
          <w:sz w:val="24"/>
          <w:szCs w:val="24"/>
          <w:lang w:val="en-GB"/>
        </w:rPr>
      </w:pPr>
      <w:r w:rsidRPr="00E7694F">
        <w:rPr>
          <w:rFonts w:ascii="Times New Roman" w:hAnsi="Times New Roman" w:cs="Times New Roman"/>
          <w:sz w:val="24"/>
          <w:szCs w:val="24"/>
          <w:lang w:val="en-GB"/>
        </w:rPr>
        <w:t xml:space="preserve">5   </w:t>
      </w:r>
      <w:r w:rsidR="00B43A50" w:rsidRPr="00E7694F">
        <w:rPr>
          <w:rFonts w:ascii="Times New Roman" w:hAnsi="Times New Roman" w:cs="Times New Roman"/>
          <w:sz w:val="24"/>
          <w:szCs w:val="24"/>
          <w:lang w:val="en-GB"/>
        </w:rPr>
        <w:t xml:space="preserve">Comparative </w:t>
      </w:r>
      <w:r w:rsidR="00811229" w:rsidRPr="00E7694F">
        <w:rPr>
          <w:rFonts w:ascii="Times New Roman" w:hAnsi="Times New Roman" w:cs="Times New Roman"/>
          <w:sz w:val="24"/>
          <w:szCs w:val="24"/>
          <w:lang w:val="en-GB"/>
        </w:rPr>
        <w:t>analysis</w:t>
      </w:r>
    </w:p>
    <w:p w14:paraId="02C945B2" w14:textId="7BF84EE2" w:rsidR="00BB4418" w:rsidRPr="00697C07" w:rsidRDefault="00BB4418" w:rsidP="00C13928">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A comparative analysis of the concepts of regulation and de-regulation in the </w:t>
      </w:r>
      <w:r w:rsidR="00811229" w:rsidRPr="00697C07">
        <w:rPr>
          <w:rFonts w:ascii="Times New Roman" w:hAnsi="Times New Roman" w:cs="Times New Roman"/>
          <w:sz w:val="20"/>
          <w:szCs w:val="20"/>
          <w:lang w:val="en-GB"/>
        </w:rPr>
        <w:t>EU</w:t>
      </w:r>
      <w:r w:rsidR="00D3790E">
        <w:rPr>
          <w:rFonts w:ascii="Times New Roman" w:hAnsi="Times New Roman" w:cs="Times New Roman"/>
          <w:sz w:val="20"/>
          <w:szCs w:val="20"/>
          <w:lang w:val="en-GB"/>
        </w:rPr>
        <w:t>, US</w:t>
      </w:r>
      <w:r w:rsidRPr="00697C07">
        <w:rPr>
          <w:rFonts w:ascii="Times New Roman" w:hAnsi="Times New Roman" w:cs="Times New Roman"/>
          <w:sz w:val="20"/>
          <w:szCs w:val="20"/>
          <w:lang w:val="en-GB"/>
        </w:rPr>
        <w:t xml:space="preserve"> and </w:t>
      </w:r>
      <w:r w:rsidR="00D3790E">
        <w:rPr>
          <w:rFonts w:ascii="Times New Roman" w:hAnsi="Times New Roman" w:cs="Times New Roman"/>
          <w:sz w:val="20"/>
          <w:szCs w:val="20"/>
          <w:lang w:val="en-GB"/>
        </w:rPr>
        <w:t>UK</w:t>
      </w:r>
      <w:r w:rsidRPr="00697C07">
        <w:rPr>
          <w:rFonts w:ascii="Times New Roman" w:hAnsi="Times New Roman" w:cs="Times New Roman"/>
          <w:sz w:val="20"/>
          <w:szCs w:val="20"/>
          <w:lang w:val="en-GB"/>
        </w:rPr>
        <w:t xml:space="preserve"> leads to the conclusion that the financial industry is swaying from regulation to deregulation uncertain to the point where it must or should stop. Any stronger financial regulation somewhat stifles economic activities because by prohibiting riskier investment </w:t>
      </w:r>
      <w:r w:rsidR="00811229" w:rsidRPr="00697C07">
        <w:rPr>
          <w:rFonts w:ascii="Times New Roman" w:hAnsi="Times New Roman" w:cs="Times New Roman"/>
          <w:sz w:val="20"/>
          <w:szCs w:val="20"/>
          <w:lang w:val="en-GB"/>
        </w:rPr>
        <w:t>behaviour</w:t>
      </w:r>
      <w:r w:rsidRPr="00697C07">
        <w:rPr>
          <w:rFonts w:ascii="Times New Roman" w:hAnsi="Times New Roman" w:cs="Times New Roman"/>
          <w:sz w:val="20"/>
          <w:szCs w:val="20"/>
          <w:lang w:val="en-GB"/>
        </w:rPr>
        <w:t xml:space="preserve"> but therefore ensures the stability of the financial system. On the other hand, the pressure towards deregulation is constant by financial market stakeholders and often the process of resistance is difficult. The role of lobbyists and large banks that have enough power and influence to stop the long-term efforts of institutions towards full regulation such as GSA type is unavoidable.</w:t>
      </w:r>
    </w:p>
    <w:p w14:paraId="13E02086" w14:textId="027389A0" w:rsidR="00914529" w:rsidRDefault="00914529" w:rsidP="00697C07">
      <w:pPr>
        <w:jc w:val="center"/>
        <w:rPr>
          <w:rFonts w:ascii="Times New Roman" w:hAnsi="Times New Roman" w:cs="Times New Roman"/>
          <w:sz w:val="20"/>
          <w:szCs w:val="20"/>
          <w:lang w:val="en-GB"/>
        </w:rPr>
      </w:pPr>
      <w:r w:rsidRPr="00697C07">
        <w:rPr>
          <w:rFonts w:ascii="Times New Roman" w:hAnsi="Times New Roman" w:cs="Times New Roman"/>
          <w:sz w:val="20"/>
          <w:szCs w:val="20"/>
          <w:lang w:val="en-GB"/>
        </w:rPr>
        <w:t>Table 1: Comparative overview of financial regulations</w:t>
      </w:r>
    </w:p>
    <w:tbl>
      <w:tblPr>
        <w:tblStyle w:val="TableGrid"/>
        <w:tblW w:w="8075" w:type="dxa"/>
        <w:tblLayout w:type="fixed"/>
        <w:tblLook w:val="04A0" w:firstRow="1" w:lastRow="0" w:firstColumn="1" w:lastColumn="0" w:noHBand="0" w:noVBand="1"/>
      </w:tblPr>
      <w:tblGrid>
        <w:gridCol w:w="988"/>
        <w:gridCol w:w="654"/>
        <w:gridCol w:w="2407"/>
        <w:gridCol w:w="2467"/>
        <w:gridCol w:w="1559"/>
      </w:tblGrid>
      <w:tr w:rsidR="00697C07" w:rsidRPr="00D3790E" w14:paraId="47CCB0B7" w14:textId="77777777" w:rsidTr="00D3790E">
        <w:tc>
          <w:tcPr>
            <w:tcW w:w="988" w:type="dxa"/>
          </w:tcPr>
          <w:p w14:paraId="184C6469" w14:textId="77777777" w:rsidR="00D45682" w:rsidRPr="00D3790E" w:rsidRDefault="00D45682" w:rsidP="00697C07">
            <w:pPr>
              <w:jc w:val="center"/>
              <w:rPr>
                <w:rFonts w:ascii="Times New Roman" w:hAnsi="Times New Roman" w:cs="Times New Roman"/>
                <w:sz w:val="16"/>
                <w:szCs w:val="16"/>
                <w:lang w:val="en-GB"/>
              </w:rPr>
            </w:pPr>
          </w:p>
        </w:tc>
        <w:tc>
          <w:tcPr>
            <w:tcW w:w="654" w:type="dxa"/>
          </w:tcPr>
          <w:p w14:paraId="45B4DEAB" w14:textId="77777777" w:rsidR="00D45682" w:rsidRPr="00D3790E" w:rsidRDefault="00D45682" w:rsidP="00697C07">
            <w:pPr>
              <w:jc w:val="center"/>
              <w:rPr>
                <w:rFonts w:ascii="Times New Roman" w:hAnsi="Times New Roman" w:cs="Times New Roman"/>
                <w:sz w:val="16"/>
                <w:szCs w:val="16"/>
                <w:lang w:val="en-GB"/>
              </w:rPr>
            </w:pPr>
            <w:r w:rsidRPr="00D3790E">
              <w:rPr>
                <w:rFonts w:ascii="Times New Roman" w:hAnsi="Times New Roman" w:cs="Times New Roman"/>
                <w:sz w:val="16"/>
                <w:szCs w:val="16"/>
                <w:lang w:val="en-GB"/>
              </w:rPr>
              <w:t>YEAR</w:t>
            </w:r>
          </w:p>
        </w:tc>
        <w:tc>
          <w:tcPr>
            <w:tcW w:w="2407" w:type="dxa"/>
          </w:tcPr>
          <w:p w14:paraId="46CF2DBF" w14:textId="77777777" w:rsidR="00D45682" w:rsidRPr="00D3790E" w:rsidRDefault="00D45682" w:rsidP="00697C07">
            <w:pPr>
              <w:jc w:val="center"/>
              <w:rPr>
                <w:rFonts w:ascii="Times New Roman" w:hAnsi="Times New Roman" w:cs="Times New Roman"/>
                <w:sz w:val="16"/>
                <w:szCs w:val="16"/>
                <w:lang w:val="en-GB"/>
              </w:rPr>
            </w:pPr>
            <w:r w:rsidRPr="00D3790E">
              <w:rPr>
                <w:rFonts w:ascii="Times New Roman" w:hAnsi="Times New Roman" w:cs="Times New Roman"/>
                <w:sz w:val="16"/>
                <w:szCs w:val="16"/>
                <w:lang w:val="en-GB"/>
              </w:rPr>
              <w:t>POINT</w:t>
            </w:r>
          </w:p>
        </w:tc>
        <w:tc>
          <w:tcPr>
            <w:tcW w:w="2467" w:type="dxa"/>
          </w:tcPr>
          <w:p w14:paraId="151ADA3F" w14:textId="77777777" w:rsidR="00D45682" w:rsidRPr="00D3790E" w:rsidRDefault="009B13E9" w:rsidP="00697C07">
            <w:pPr>
              <w:jc w:val="center"/>
              <w:rPr>
                <w:rFonts w:ascii="Times New Roman" w:hAnsi="Times New Roman" w:cs="Times New Roman"/>
                <w:sz w:val="16"/>
                <w:szCs w:val="16"/>
                <w:lang w:val="en-GB"/>
              </w:rPr>
            </w:pPr>
            <w:r w:rsidRPr="00D3790E">
              <w:rPr>
                <w:rFonts w:ascii="Times New Roman" w:hAnsi="Times New Roman" w:cs="Times New Roman"/>
                <w:sz w:val="16"/>
                <w:szCs w:val="16"/>
                <w:lang w:val="en-GB"/>
              </w:rPr>
              <w:t>Activities</w:t>
            </w:r>
          </w:p>
        </w:tc>
        <w:tc>
          <w:tcPr>
            <w:tcW w:w="1559" w:type="dxa"/>
          </w:tcPr>
          <w:p w14:paraId="42335EE8" w14:textId="77777777" w:rsidR="00D45682" w:rsidRPr="00D3790E" w:rsidRDefault="009B13E9" w:rsidP="00697C07">
            <w:pPr>
              <w:jc w:val="center"/>
              <w:rPr>
                <w:rFonts w:ascii="Times New Roman" w:hAnsi="Times New Roman" w:cs="Times New Roman"/>
                <w:sz w:val="16"/>
                <w:szCs w:val="16"/>
                <w:lang w:val="en-GB"/>
              </w:rPr>
            </w:pPr>
            <w:r w:rsidRPr="00D3790E">
              <w:rPr>
                <w:rFonts w:ascii="Times New Roman" w:hAnsi="Times New Roman" w:cs="Times New Roman"/>
                <w:sz w:val="16"/>
                <w:szCs w:val="16"/>
                <w:lang w:val="en-GB"/>
              </w:rPr>
              <w:t>Comment</w:t>
            </w:r>
          </w:p>
        </w:tc>
      </w:tr>
      <w:tr w:rsidR="00697C07" w:rsidRPr="00D3790E" w14:paraId="03E5E1DE" w14:textId="77777777" w:rsidTr="00D3790E">
        <w:tc>
          <w:tcPr>
            <w:tcW w:w="988" w:type="dxa"/>
          </w:tcPr>
          <w:p w14:paraId="12A42C6F" w14:textId="77777777" w:rsidR="00D45682" w:rsidRPr="00D3790E" w:rsidRDefault="00D45682"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WORLD</w:t>
            </w:r>
          </w:p>
        </w:tc>
        <w:tc>
          <w:tcPr>
            <w:tcW w:w="654" w:type="dxa"/>
          </w:tcPr>
          <w:p w14:paraId="3F494A88" w14:textId="77777777" w:rsidR="00D45682" w:rsidRPr="00D3790E" w:rsidRDefault="00D45682"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1929</w:t>
            </w:r>
          </w:p>
        </w:tc>
        <w:tc>
          <w:tcPr>
            <w:tcW w:w="2407" w:type="dxa"/>
          </w:tcPr>
          <w:p w14:paraId="0D362869" w14:textId="77777777" w:rsidR="00D45682" w:rsidRDefault="00027D06"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FIRST</w:t>
            </w:r>
            <w:r w:rsidR="00D45682" w:rsidRPr="00D3790E">
              <w:rPr>
                <w:rFonts w:ascii="Times New Roman" w:hAnsi="Times New Roman" w:cs="Times New Roman"/>
                <w:sz w:val="16"/>
                <w:szCs w:val="16"/>
                <w:lang w:val="en-GB"/>
              </w:rPr>
              <w:t xml:space="preserve"> </w:t>
            </w:r>
            <w:r w:rsidRPr="00D3790E">
              <w:rPr>
                <w:rFonts w:ascii="Times New Roman" w:hAnsi="Times New Roman" w:cs="Times New Roman"/>
                <w:sz w:val="16"/>
                <w:szCs w:val="16"/>
                <w:lang w:val="en-GB"/>
              </w:rPr>
              <w:t>WORLD CRISIS</w:t>
            </w:r>
          </w:p>
          <w:p w14:paraId="79BD23B0" w14:textId="71B8EE07" w:rsidR="00D3790E" w:rsidRPr="00D3790E" w:rsidRDefault="00D3790E" w:rsidP="00C13928">
            <w:pPr>
              <w:jc w:val="both"/>
              <w:rPr>
                <w:rFonts w:ascii="Times New Roman" w:hAnsi="Times New Roman" w:cs="Times New Roman"/>
                <w:sz w:val="16"/>
                <w:szCs w:val="16"/>
                <w:lang w:val="en-GB"/>
              </w:rPr>
            </w:pPr>
            <w:r>
              <w:rPr>
                <w:rFonts w:ascii="Times New Roman" w:hAnsi="Times New Roman" w:cs="Times New Roman"/>
                <w:sz w:val="16"/>
                <w:szCs w:val="16"/>
                <w:lang w:val="en-GB"/>
              </w:rPr>
              <w:t>(Black Swan event)</w:t>
            </w:r>
          </w:p>
        </w:tc>
        <w:tc>
          <w:tcPr>
            <w:tcW w:w="2467" w:type="dxa"/>
          </w:tcPr>
          <w:p w14:paraId="680F006F" w14:textId="56349324" w:rsidR="00D45682" w:rsidRPr="00D3790E" w:rsidRDefault="00D45682"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Speculative </w:t>
            </w:r>
            <w:r w:rsidR="00811229" w:rsidRPr="00D3790E">
              <w:rPr>
                <w:rFonts w:ascii="Times New Roman" w:hAnsi="Times New Roman" w:cs="Times New Roman"/>
                <w:sz w:val="16"/>
                <w:szCs w:val="16"/>
                <w:lang w:val="en-GB"/>
              </w:rPr>
              <w:t>activities</w:t>
            </w:r>
            <w:r w:rsidRPr="00D3790E">
              <w:rPr>
                <w:rFonts w:ascii="Times New Roman" w:hAnsi="Times New Roman" w:cs="Times New Roman"/>
                <w:sz w:val="16"/>
                <w:szCs w:val="16"/>
                <w:lang w:val="en-GB"/>
              </w:rPr>
              <w:t xml:space="preserve"> of the banks</w:t>
            </w:r>
            <w:r w:rsidR="00D3790E">
              <w:rPr>
                <w:rFonts w:ascii="Times New Roman" w:hAnsi="Times New Roman" w:cs="Times New Roman"/>
                <w:sz w:val="16"/>
                <w:szCs w:val="16"/>
                <w:lang w:val="en-GB"/>
              </w:rPr>
              <w:t>.</w:t>
            </w:r>
          </w:p>
          <w:p w14:paraId="229098F0" w14:textId="77777777" w:rsidR="009B13E9" w:rsidRPr="00D3790E" w:rsidRDefault="009B13E9" w:rsidP="00C13928">
            <w:pPr>
              <w:jc w:val="both"/>
              <w:rPr>
                <w:rFonts w:ascii="Times New Roman" w:hAnsi="Times New Roman" w:cs="Times New Roman"/>
                <w:sz w:val="16"/>
                <w:szCs w:val="16"/>
                <w:lang w:val="en-GB"/>
              </w:rPr>
            </w:pPr>
          </w:p>
        </w:tc>
        <w:tc>
          <w:tcPr>
            <w:tcW w:w="1559" w:type="dxa"/>
          </w:tcPr>
          <w:p w14:paraId="2047F745" w14:textId="4AF68E40" w:rsidR="00D45682" w:rsidRPr="00D3790E" w:rsidRDefault="009B13E9"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No regulation that led to </w:t>
            </w:r>
            <w:r w:rsidR="00811229" w:rsidRPr="00D3790E">
              <w:rPr>
                <w:rFonts w:ascii="Times New Roman" w:hAnsi="Times New Roman" w:cs="Times New Roman"/>
                <w:sz w:val="16"/>
                <w:szCs w:val="16"/>
                <w:lang w:val="en-GB"/>
              </w:rPr>
              <w:t>chaos</w:t>
            </w:r>
            <w:r w:rsidRPr="00D3790E">
              <w:rPr>
                <w:rFonts w:ascii="Times New Roman" w:hAnsi="Times New Roman" w:cs="Times New Roman"/>
                <w:sz w:val="16"/>
                <w:szCs w:val="16"/>
                <w:lang w:val="en-GB"/>
              </w:rPr>
              <w:t xml:space="preserve">. </w:t>
            </w:r>
            <w:r w:rsidR="00C845CE" w:rsidRPr="00D3790E">
              <w:rPr>
                <w:rFonts w:ascii="Times New Roman" w:hAnsi="Times New Roman" w:cs="Times New Roman"/>
                <w:sz w:val="16"/>
                <w:szCs w:val="16"/>
                <w:lang w:val="en-GB"/>
              </w:rPr>
              <w:t>Bank r</w:t>
            </w:r>
            <w:r w:rsidRPr="00D3790E">
              <w:rPr>
                <w:rFonts w:ascii="Times New Roman" w:hAnsi="Times New Roman" w:cs="Times New Roman"/>
                <w:sz w:val="16"/>
                <w:szCs w:val="16"/>
                <w:lang w:val="en-GB"/>
              </w:rPr>
              <w:t>egulation urgently needed.</w:t>
            </w:r>
          </w:p>
        </w:tc>
      </w:tr>
      <w:tr w:rsidR="00697C07" w:rsidRPr="00D3790E" w14:paraId="3C2BD0FD" w14:textId="77777777" w:rsidTr="00D3790E">
        <w:tc>
          <w:tcPr>
            <w:tcW w:w="988" w:type="dxa"/>
          </w:tcPr>
          <w:p w14:paraId="2516C649" w14:textId="77777777" w:rsidR="00D45682" w:rsidRPr="00D3790E" w:rsidRDefault="00D45682"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US</w:t>
            </w:r>
          </w:p>
        </w:tc>
        <w:tc>
          <w:tcPr>
            <w:tcW w:w="654" w:type="dxa"/>
          </w:tcPr>
          <w:p w14:paraId="75C1A0AE" w14:textId="77777777" w:rsidR="00D45682" w:rsidRPr="00D3790E" w:rsidRDefault="00D45682"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1933</w:t>
            </w:r>
          </w:p>
        </w:tc>
        <w:tc>
          <w:tcPr>
            <w:tcW w:w="2407" w:type="dxa"/>
          </w:tcPr>
          <w:p w14:paraId="203E1BF7" w14:textId="3E3018CF" w:rsidR="00D45682" w:rsidRPr="00D3790E" w:rsidRDefault="00D3790E" w:rsidP="00C13928">
            <w:pPr>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GSA (Glass </w:t>
            </w:r>
            <w:proofErr w:type="spellStart"/>
            <w:r>
              <w:rPr>
                <w:rFonts w:ascii="Times New Roman" w:hAnsi="Times New Roman" w:cs="Times New Roman"/>
                <w:sz w:val="16"/>
                <w:szCs w:val="16"/>
                <w:lang w:val="en-GB"/>
              </w:rPr>
              <w:t>Steagal</w:t>
            </w:r>
            <w:proofErr w:type="spellEnd"/>
            <w:r>
              <w:rPr>
                <w:rFonts w:ascii="Times New Roman" w:hAnsi="Times New Roman" w:cs="Times New Roman"/>
                <w:sz w:val="16"/>
                <w:szCs w:val="16"/>
                <w:lang w:val="en-GB"/>
              </w:rPr>
              <w:t xml:space="preserve"> Act</w:t>
            </w:r>
            <w:r w:rsidR="00D45682" w:rsidRPr="00D3790E">
              <w:rPr>
                <w:rFonts w:ascii="Times New Roman" w:hAnsi="Times New Roman" w:cs="Times New Roman"/>
                <w:sz w:val="16"/>
                <w:szCs w:val="16"/>
                <w:lang w:val="en-GB"/>
              </w:rPr>
              <w:t>)</w:t>
            </w:r>
          </w:p>
        </w:tc>
        <w:tc>
          <w:tcPr>
            <w:tcW w:w="2467" w:type="dxa"/>
          </w:tcPr>
          <w:p w14:paraId="09C383D0" w14:textId="77777777" w:rsidR="00D45682" w:rsidRPr="00D3790E" w:rsidRDefault="00C845CE"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shd w:val="clear" w:color="auto" w:fill="FFFFFF"/>
                <w:lang w:val="en-GB"/>
              </w:rPr>
              <w:t> First separation of</w:t>
            </w:r>
            <w:r w:rsidR="00D45682" w:rsidRPr="00D3790E">
              <w:rPr>
                <w:rFonts w:ascii="Times New Roman" w:hAnsi="Times New Roman" w:cs="Times New Roman"/>
                <w:sz w:val="16"/>
                <w:szCs w:val="16"/>
                <w:shd w:val="clear" w:color="auto" w:fill="FFFFFF"/>
                <w:lang w:val="en-GB"/>
              </w:rPr>
              <w:t xml:space="preserve"> investment and </w:t>
            </w:r>
            <w:hyperlink r:id="rId10" w:history="1">
              <w:r w:rsidR="00D45682" w:rsidRPr="00D3790E">
                <w:rPr>
                  <w:rStyle w:val="Hyperlink"/>
                  <w:rFonts w:ascii="Times New Roman" w:hAnsi="Times New Roman" w:cs="Times New Roman"/>
                  <w:color w:val="auto"/>
                  <w:sz w:val="16"/>
                  <w:szCs w:val="16"/>
                  <w:u w:val="none"/>
                  <w:shd w:val="clear" w:color="auto" w:fill="FFFFFF"/>
                  <w:lang w:val="en-GB"/>
                </w:rPr>
                <w:t>commercial banking</w:t>
              </w:r>
            </w:hyperlink>
            <w:r w:rsidR="00D45682" w:rsidRPr="00D3790E">
              <w:rPr>
                <w:rFonts w:ascii="Times New Roman" w:hAnsi="Times New Roman" w:cs="Times New Roman"/>
                <w:sz w:val="16"/>
                <w:szCs w:val="16"/>
                <w:shd w:val="clear" w:color="auto" w:fill="FFFFFF"/>
                <w:lang w:val="en-GB"/>
              </w:rPr>
              <w:t> activities</w:t>
            </w:r>
            <w:r w:rsidRPr="00D3790E">
              <w:rPr>
                <w:rFonts w:ascii="Times New Roman" w:hAnsi="Times New Roman" w:cs="Times New Roman"/>
                <w:sz w:val="16"/>
                <w:szCs w:val="16"/>
                <w:shd w:val="clear" w:color="auto" w:fill="FFFFFF"/>
                <w:lang w:val="en-GB"/>
              </w:rPr>
              <w:t xml:space="preserve"> to protect core banking activities and depositors from the 'riskier' trading activities.</w:t>
            </w:r>
          </w:p>
        </w:tc>
        <w:tc>
          <w:tcPr>
            <w:tcW w:w="1559" w:type="dxa"/>
          </w:tcPr>
          <w:p w14:paraId="2CA47511" w14:textId="77777777" w:rsidR="00D45682" w:rsidRPr="00D3790E" w:rsidRDefault="009B13E9"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Hard regulations led to recovery of US economy.</w:t>
            </w:r>
          </w:p>
        </w:tc>
      </w:tr>
      <w:tr w:rsidR="00697C07" w:rsidRPr="00D3790E" w14:paraId="165B7A6E" w14:textId="77777777" w:rsidTr="00D3790E">
        <w:tc>
          <w:tcPr>
            <w:tcW w:w="988" w:type="dxa"/>
          </w:tcPr>
          <w:p w14:paraId="77FD3C25"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US</w:t>
            </w:r>
          </w:p>
        </w:tc>
        <w:tc>
          <w:tcPr>
            <w:tcW w:w="654" w:type="dxa"/>
          </w:tcPr>
          <w:p w14:paraId="48F94729"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1999</w:t>
            </w:r>
          </w:p>
        </w:tc>
        <w:tc>
          <w:tcPr>
            <w:tcW w:w="2407" w:type="dxa"/>
          </w:tcPr>
          <w:p w14:paraId="1E2BC324" w14:textId="6CD871DC"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GLBA </w:t>
            </w:r>
            <w:r w:rsidR="00D3790E">
              <w:rPr>
                <w:rFonts w:ascii="Times New Roman" w:hAnsi="Times New Roman" w:cs="Times New Roman"/>
                <w:sz w:val="16"/>
                <w:szCs w:val="16"/>
                <w:lang w:val="en-GB"/>
              </w:rPr>
              <w:t>(</w:t>
            </w:r>
            <w:r w:rsidRPr="00D3790E">
              <w:rPr>
                <w:rFonts w:ascii="Times New Roman" w:hAnsi="Times New Roman" w:cs="Times New Roman"/>
                <w:sz w:val="16"/>
                <w:szCs w:val="16"/>
                <w:shd w:val="clear" w:color="auto" w:fill="FFFFFF"/>
                <w:lang w:val="en-GB"/>
              </w:rPr>
              <w:t>The Gramm-Leach-Bliley Act</w:t>
            </w:r>
            <w:r w:rsidR="00D3790E">
              <w:rPr>
                <w:rFonts w:ascii="Times New Roman" w:hAnsi="Times New Roman" w:cs="Times New Roman"/>
                <w:sz w:val="16"/>
                <w:szCs w:val="16"/>
                <w:shd w:val="clear" w:color="auto" w:fill="FFFFFF"/>
                <w:lang w:val="en-GB"/>
              </w:rPr>
              <w:t>)</w:t>
            </w:r>
          </w:p>
        </w:tc>
        <w:tc>
          <w:tcPr>
            <w:tcW w:w="2467" w:type="dxa"/>
          </w:tcPr>
          <w:p w14:paraId="0FEA0E5A" w14:textId="2D2DB37A"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Speculative </w:t>
            </w:r>
            <w:r w:rsidR="00811229" w:rsidRPr="00D3790E">
              <w:rPr>
                <w:rFonts w:ascii="Times New Roman" w:hAnsi="Times New Roman" w:cs="Times New Roman"/>
                <w:sz w:val="16"/>
                <w:szCs w:val="16"/>
                <w:lang w:val="en-GB"/>
              </w:rPr>
              <w:t>activities</w:t>
            </w:r>
            <w:r w:rsidRPr="00D3790E">
              <w:rPr>
                <w:rFonts w:ascii="Times New Roman" w:hAnsi="Times New Roman" w:cs="Times New Roman"/>
                <w:sz w:val="16"/>
                <w:szCs w:val="16"/>
                <w:lang w:val="en-GB"/>
              </w:rPr>
              <w:t xml:space="preserve"> of the banks</w:t>
            </w:r>
            <w:r w:rsidR="009B13E9" w:rsidRPr="00D3790E">
              <w:rPr>
                <w:rFonts w:ascii="Times New Roman" w:hAnsi="Times New Roman" w:cs="Times New Roman"/>
                <w:sz w:val="16"/>
                <w:szCs w:val="16"/>
                <w:lang w:val="en-GB"/>
              </w:rPr>
              <w:t xml:space="preserve"> – investment and banking </w:t>
            </w:r>
            <w:r w:rsidR="00811229" w:rsidRPr="00D3790E">
              <w:rPr>
                <w:rFonts w:ascii="Times New Roman" w:hAnsi="Times New Roman" w:cs="Times New Roman"/>
                <w:sz w:val="16"/>
                <w:szCs w:val="16"/>
                <w:lang w:val="en-GB"/>
              </w:rPr>
              <w:t>activities</w:t>
            </w:r>
            <w:r w:rsidR="009B13E9" w:rsidRPr="00D3790E">
              <w:rPr>
                <w:rFonts w:ascii="Times New Roman" w:hAnsi="Times New Roman" w:cs="Times New Roman"/>
                <w:sz w:val="16"/>
                <w:szCs w:val="16"/>
                <w:lang w:val="en-GB"/>
              </w:rPr>
              <w:t xml:space="preserve"> merged again</w:t>
            </w:r>
            <w:r w:rsidR="00C845CE" w:rsidRPr="00D3790E">
              <w:rPr>
                <w:rFonts w:ascii="Times New Roman" w:hAnsi="Times New Roman" w:cs="Times New Roman"/>
                <w:sz w:val="16"/>
                <w:szCs w:val="16"/>
                <w:lang w:val="en-GB"/>
              </w:rPr>
              <w:t>.</w:t>
            </w:r>
          </w:p>
        </w:tc>
        <w:tc>
          <w:tcPr>
            <w:tcW w:w="1559" w:type="dxa"/>
          </w:tcPr>
          <w:p w14:paraId="2135571B" w14:textId="53550B28" w:rsidR="00D45682" w:rsidRPr="00D3790E" w:rsidRDefault="009B13E9"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Modernization means </w:t>
            </w:r>
            <w:r w:rsidR="00811229" w:rsidRPr="00D3790E">
              <w:rPr>
                <w:rFonts w:ascii="Times New Roman" w:hAnsi="Times New Roman" w:cs="Times New Roman"/>
                <w:sz w:val="16"/>
                <w:szCs w:val="16"/>
                <w:lang w:val="en-GB"/>
              </w:rPr>
              <w:t>softer</w:t>
            </w:r>
            <w:r w:rsidRPr="00D3790E">
              <w:rPr>
                <w:rFonts w:ascii="Times New Roman" w:hAnsi="Times New Roman" w:cs="Times New Roman"/>
                <w:sz w:val="16"/>
                <w:szCs w:val="16"/>
                <w:lang w:val="en-GB"/>
              </w:rPr>
              <w:t xml:space="preserve"> regulation.</w:t>
            </w:r>
          </w:p>
        </w:tc>
      </w:tr>
      <w:tr w:rsidR="00697C07" w:rsidRPr="00D3790E" w14:paraId="69CD3722" w14:textId="77777777" w:rsidTr="00D3790E">
        <w:tc>
          <w:tcPr>
            <w:tcW w:w="988" w:type="dxa"/>
          </w:tcPr>
          <w:p w14:paraId="4E749CB6"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WORLD</w:t>
            </w:r>
          </w:p>
        </w:tc>
        <w:tc>
          <w:tcPr>
            <w:tcW w:w="654" w:type="dxa"/>
          </w:tcPr>
          <w:p w14:paraId="6AACC848"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2008</w:t>
            </w:r>
          </w:p>
        </w:tc>
        <w:tc>
          <w:tcPr>
            <w:tcW w:w="2407" w:type="dxa"/>
          </w:tcPr>
          <w:p w14:paraId="3ED3CEC0" w14:textId="77777777" w:rsidR="00D3790E" w:rsidRDefault="00027D06"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SECOND</w:t>
            </w:r>
            <w:r w:rsidR="00D45682" w:rsidRPr="00D3790E">
              <w:rPr>
                <w:rFonts w:ascii="Times New Roman" w:hAnsi="Times New Roman" w:cs="Times New Roman"/>
                <w:sz w:val="16"/>
                <w:szCs w:val="16"/>
                <w:lang w:val="en-GB"/>
              </w:rPr>
              <w:t xml:space="preserve"> WORLD CRISIS</w:t>
            </w:r>
          </w:p>
          <w:p w14:paraId="018C6E04" w14:textId="13910E07" w:rsidR="00D45682" w:rsidRPr="00D3790E" w:rsidRDefault="00D3790E" w:rsidP="00D45682">
            <w:pPr>
              <w:jc w:val="both"/>
              <w:rPr>
                <w:rFonts w:ascii="Times New Roman" w:hAnsi="Times New Roman" w:cs="Times New Roman"/>
                <w:sz w:val="16"/>
                <w:szCs w:val="16"/>
                <w:lang w:val="en-GB"/>
              </w:rPr>
            </w:pPr>
            <w:r>
              <w:rPr>
                <w:rFonts w:ascii="Times New Roman" w:hAnsi="Times New Roman" w:cs="Times New Roman"/>
                <w:sz w:val="16"/>
                <w:szCs w:val="16"/>
                <w:lang w:val="en-GB"/>
              </w:rPr>
              <w:t>(Black Swan event)</w:t>
            </w:r>
          </w:p>
        </w:tc>
        <w:tc>
          <w:tcPr>
            <w:tcW w:w="2467" w:type="dxa"/>
          </w:tcPr>
          <w:p w14:paraId="03654C99" w14:textId="39FDB308"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Repercussions of speculative activities of the banks and other financial </w:t>
            </w:r>
            <w:r w:rsidR="00811229" w:rsidRPr="00D3790E">
              <w:rPr>
                <w:rFonts w:ascii="Times New Roman" w:hAnsi="Times New Roman" w:cs="Times New Roman"/>
                <w:sz w:val="16"/>
                <w:szCs w:val="16"/>
                <w:lang w:val="en-GB"/>
              </w:rPr>
              <w:t>institutions</w:t>
            </w:r>
            <w:r w:rsidR="00D3790E">
              <w:rPr>
                <w:rFonts w:ascii="Times New Roman" w:hAnsi="Times New Roman" w:cs="Times New Roman"/>
                <w:sz w:val="16"/>
                <w:szCs w:val="16"/>
                <w:lang w:val="en-GB"/>
              </w:rPr>
              <w:t>.</w:t>
            </w:r>
          </w:p>
        </w:tc>
        <w:tc>
          <w:tcPr>
            <w:tcW w:w="1559" w:type="dxa"/>
          </w:tcPr>
          <w:p w14:paraId="60384573" w14:textId="40FE3653" w:rsidR="00D45682" w:rsidRPr="00D3790E" w:rsidRDefault="00C845CE"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Soft regulation again</w:t>
            </w:r>
            <w:r w:rsidR="009B13E9" w:rsidRPr="00D3790E">
              <w:rPr>
                <w:rFonts w:ascii="Times New Roman" w:hAnsi="Times New Roman" w:cs="Times New Roman"/>
                <w:sz w:val="16"/>
                <w:szCs w:val="16"/>
                <w:lang w:val="en-GB"/>
              </w:rPr>
              <w:t xml:space="preserve"> led to </w:t>
            </w:r>
            <w:r w:rsidR="00811229" w:rsidRPr="00D3790E">
              <w:rPr>
                <w:rFonts w:ascii="Times New Roman" w:hAnsi="Times New Roman" w:cs="Times New Roman"/>
                <w:sz w:val="16"/>
                <w:szCs w:val="16"/>
                <w:lang w:val="en-GB"/>
              </w:rPr>
              <w:t>chaos</w:t>
            </w:r>
            <w:r w:rsidR="009B13E9" w:rsidRPr="00D3790E">
              <w:rPr>
                <w:rFonts w:ascii="Times New Roman" w:hAnsi="Times New Roman" w:cs="Times New Roman"/>
                <w:sz w:val="16"/>
                <w:szCs w:val="16"/>
                <w:lang w:val="en-GB"/>
              </w:rPr>
              <w:t xml:space="preserve">. </w:t>
            </w:r>
            <w:r w:rsidRPr="00D3790E">
              <w:rPr>
                <w:rFonts w:ascii="Times New Roman" w:hAnsi="Times New Roman" w:cs="Times New Roman"/>
                <w:sz w:val="16"/>
                <w:szCs w:val="16"/>
                <w:lang w:val="en-GB"/>
              </w:rPr>
              <w:t>Bank r</w:t>
            </w:r>
            <w:r w:rsidR="009B13E9" w:rsidRPr="00D3790E">
              <w:rPr>
                <w:rFonts w:ascii="Times New Roman" w:hAnsi="Times New Roman" w:cs="Times New Roman"/>
                <w:sz w:val="16"/>
                <w:szCs w:val="16"/>
                <w:lang w:val="en-GB"/>
              </w:rPr>
              <w:t>egulation urgently needed.</w:t>
            </w:r>
          </w:p>
        </w:tc>
      </w:tr>
      <w:tr w:rsidR="00697C07" w:rsidRPr="00D3790E" w14:paraId="12B5A1E8" w14:textId="77777777" w:rsidTr="00D3790E">
        <w:tc>
          <w:tcPr>
            <w:tcW w:w="988" w:type="dxa"/>
          </w:tcPr>
          <w:p w14:paraId="00C8F297"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US</w:t>
            </w:r>
          </w:p>
        </w:tc>
        <w:tc>
          <w:tcPr>
            <w:tcW w:w="654" w:type="dxa"/>
          </w:tcPr>
          <w:p w14:paraId="380F3929"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2010</w:t>
            </w:r>
          </w:p>
        </w:tc>
        <w:tc>
          <w:tcPr>
            <w:tcW w:w="2407" w:type="dxa"/>
          </w:tcPr>
          <w:p w14:paraId="3B10BD7A" w14:textId="7B0FD7D9"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DODD FRANCK </w:t>
            </w:r>
            <w:r w:rsidR="00D3790E">
              <w:rPr>
                <w:rFonts w:ascii="Times New Roman" w:hAnsi="Times New Roman" w:cs="Times New Roman"/>
                <w:sz w:val="16"/>
                <w:szCs w:val="16"/>
                <w:lang w:val="en-GB"/>
              </w:rPr>
              <w:t>(Volcker Rule</w:t>
            </w:r>
            <w:r w:rsidRPr="00D3790E">
              <w:rPr>
                <w:rFonts w:ascii="Times New Roman" w:hAnsi="Times New Roman" w:cs="Times New Roman"/>
                <w:sz w:val="16"/>
                <w:szCs w:val="16"/>
                <w:lang w:val="en-GB"/>
              </w:rPr>
              <w:t>)</w:t>
            </w:r>
          </w:p>
        </w:tc>
        <w:tc>
          <w:tcPr>
            <w:tcW w:w="2467" w:type="dxa"/>
          </w:tcPr>
          <w:p w14:paraId="0C41BFA0" w14:textId="77777777"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shd w:val="clear" w:color="auto" w:fill="FFFFFF"/>
                <w:lang w:val="en-GB"/>
              </w:rPr>
              <w:t>Second try of separation of investment and </w:t>
            </w:r>
            <w:hyperlink r:id="rId11" w:history="1">
              <w:r w:rsidRPr="00D3790E">
                <w:rPr>
                  <w:rStyle w:val="Hyperlink"/>
                  <w:rFonts w:ascii="Times New Roman" w:hAnsi="Times New Roman" w:cs="Times New Roman"/>
                  <w:color w:val="auto"/>
                  <w:sz w:val="16"/>
                  <w:szCs w:val="16"/>
                  <w:u w:val="none"/>
                  <w:shd w:val="clear" w:color="auto" w:fill="FFFFFF"/>
                  <w:lang w:val="en-GB"/>
                </w:rPr>
                <w:t>commercial banking</w:t>
              </w:r>
            </w:hyperlink>
            <w:r w:rsidRPr="00D3790E">
              <w:rPr>
                <w:rFonts w:ascii="Times New Roman" w:hAnsi="Times New Roman" w:cs="Times New Roman"/>
                <w:sz w:val="16"/>
                <w:szCs w:val="16"/>
                <w:shd w:val="clear" w:color="auto" w:fill="FFFFFF"/>
                <w:lang w:val="en-GB"/>
              </w:rPr>
              <w:t> activities to protect core banking activities and depositors from the 'riskier' trading activities.</w:t>
            </w:r>
          </w:p>
        </w:tc>
        <w:tc>
          <w:tcPr>
            <w:tcW w:w="1559" w:type="dxa"/>
          </w:tcPr>
          <w:p w14:paraId="235B9A5B" w14:textId="77777777" w:rsidR="00064C23"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Regulation </w:t>
            </w:r>
            <w:r w:rsidR="00811229" w:rsidRPr="00D3790E">
              <w:rPr>
                <w:rFonts w:ascii="Times New Roman" w:hAnsi="Times New Roman" w:cs="Times New Roman"/>
                <w:sz w:val="16"/>
                <w:szCs w:val="16"/>
                <w:lang w:val="en-GB"/>
              </w:rPr>
              <w:t xml:space="preserve">adopted. </w:t>
            </w:r>
          </w:p>
          <w:p w14:paraId="5161097B" w14:textId="76EFF474" w:rsidR="00D45682" w:rsidRPr="00D3790E" w:rsidRDefault="00811229" w:rsidP="00D45682">
            <w:pPr>
              <w:jc w:val="both"/>
              <w:rPr>
                <w:rFonts w:ascii="Times New Roman" w:hAnsi="Times New Roman" w:cs="Times New Roman"/>
                <w:sz w:val="16"/>
                <w:szCs w:val="16"/>
                <w:lang w:val="en-GB"/>
              </w:rPr>
            </w:pPr>
            <w:proofErr w:type="spellStart"/>
            <w:r w:rsidRPr="00D3790E">
              <w:rPr>
                <w:rFonts w:ascii="Times New Roman" w:hAnsi="Times New Roman" w:cs="Times New Roman"/>
                <w:sz w:val="16"/>
                <w:szCs w:val="16"/>
                <w:lang w:val="en-GB"/>
              </w:rPr>
              <w:t>The</w:t>
            </w:r>
            <w:r w:rsidR="004D5012" w:rsidRPr="00D3790E">
              <w:rPr>
                <w:rFonts w:ascii="Times New Roman" w:hAnsi="Times New Roman" w:cs="Times New Roman"/>
                <w:sz w:val="16"/>
                <w:szCs w:val="16"/>
                <w:lang w:val="en-GB"/>
              </w:rPr>
              <w:t>Volcker</w:t>
            </w:r>
            <w:proofErr w:type="spellEnd"/>
            <w:r w:rsidR="004D5012" w:rsidRPr="00D3790E">
              <w:rPr>
                <w:rFonts w:ascii="Times New Roman" w:hAnsi="Times New Roman" w:cs="Times New Roman"/>
                <w:sz w:val="16"/>
                <w:szCs w:val="16"/>
                <w:lang w:val="en-GB"/>
              </w:rPr>
              <w:t xml:space="preserve"> approach is very detailed. </w:t>
            </w:r>
          </w:p>
        </w:tc>
      </w:tr>
      <w:tr w:rsidR="00697C07" w:rsidRPr="00D3790E" w14:paraId="1737C438" w14:textId="77777777" w:rsidTr="00D3790E">
        <w:tc>
          <w:tcPr>
            <w:tcW w:w="988" w:type="dxa"/>
          </w:tcPr>
          <w:p w14:paraId="5D10FC2C" w14:textId="77777777" w:rsidR="00D45682" w:rsidRPr="00D3790E" w:rsidRDefault="00D45682" w:rsidP="00D45682">
            <w:pPr>
              <w:jc w:val="both"/>
              <w:rPr>
                <w:rFonts w:ascii="Times New Roman" w:hAnsi="Times New Roman" w:cs="Times New Roman"/>
                <w:sz w:val="16"/>
                <w:szCs w:val="16"/>
                <w:lang w:val="en-GB"/>
              </w:rPr>
            </w:pPr>
          </w:p>
        </w:tc>
        <w:tc>
          <w:tcPr>
            <w:tcW w:w="654" w:type="dxa"/>
          </w:tcPr>
          <w:p w14:paraId="6FA71B58"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2011</w:t>
            </w:r>
          </w:p>
        </w:tc>
        <w:tc>
          <w:tcPr>
            <w:tcW w:w="2407" w:type="dxa"/>
          </w:tcPr>
          <w:p w14:paraId="78D0E65E" w14:textId="5C3AA23B"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shd w:val="clear" w:color="auto" w:fill="FFFFFF"/>
                <w:lang w:val="en-GB"/>
              </w:rPr>
              <w:t> </w:t>
            </w:r>
            <w:r w:rsidR="00D3790E">
              <w:rPr>
                <w:rFonts w:ascii="Times New Roman" w:hAnsi="Times New Roman" w:cs="Times New Roman"/>
                <w:sz w:val="16"/>
                <w:szCs w:val="16"/>
                <w:shd w:val="clear" w:color="auto" w:fill="FFFFFF"/>
                <w:lang w:val="en-GB"/>
              </w:rPr>
              <w:t>ESFS (</w:t>
            </w:r>
            <w:hyperlink r:id="rId12" w:tooltip="European System of Financial Supervision" w:history="1">
              <w:r w:rsidRPr="00D3790E">
                <w:rPr>
                  <w:rStyle w:val="Hyperlink"/>
                  <w:rFonts w:ascii="Times New Roman" w:hAnsi="Times New Roman" w:cs="Times New Roman"/>
                  <w:color w:val="auto"/>
                  <w:sz w:val="16"/>
                  <w:szCs w:val="16"/>
                  <w:u w:val="none"/>
                  <w:shd w:val="clear" w:color="auto" w:fill="FFFFFF"/>
                  <w:lang w:val="en-GB"/>
                </w:rPr>
                <w:t>European System of Financial Supervision</w:t>
              </w:r>
            </w:hyperlink>
            <w:r w:rsidR="00D3790E">
              <w:rPr>
                <w:rStyle w:val="Hyperlink"/>
                <w:rFonts w:ascii="Times New Roman" w:hAnsi="Times New Roman" w:cs="Times New Roman"/>
                <w:color w:val="auto"/>
                <w:sz w:val="16"/>
                <w:szCs w:val="16"/>
                <w:u w:val="none"/>
                <w:shd w:val="clear" w:color="auto" w:fill="FFFFFF"/>
                <w:lang w:val="en-GB"/>
              </w:rPr>
              <w:t xml:space="preserve"> -</w:t>
            </w:r>
            <w:r w:rsidR="00D3790E">
              <w:rPr>
                <w:rFonts w:ascii="Times New Roman" w:hAnsi="Times New Roman" w:cs="Times New Roman"/>
                <w:sz w:val="16"/>
                <w:szCs w:val="16"/>
                <w:shd w:val="clear" w:color="auto" w:fill="FFFFFF"/>
                <w:lang w:val="en-GB"/>
              </w:rPr>
              <w:t> </w:t>
            </w:r>
            <w:r w:rsidR="009B13E9" w:rsidRPr="00D3790E">
              <w:rPr>
                <w:rFonts w:ascii="Times New Roman" w:hAnsi="Times New Roman" w:cs="Times New Roman"/>
                <w:sz w:val="16"/>
                <w:szCs w:val="16"/>
                <w:shd w:val="clear" w:color="auto" w:fill="FFFFFF"/>
                <w:lang w:val="en-GB"/>
              </w:rPr>
              <w:t>ESMA, EIOPA and EBA)</w:t>
            </w:r>
          </w:p>
        </w:tc>
        <w:tc>
          <w:tcPr>
            <w:tcW w:w="2467" w:type="dxa"/>
          </w:tcPr>
          <w:p w14:paraId="01229778" w14:textId="77777777"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EC way toward financial regulation and supervision.</w:t>
            </w:r>
          </w:p>
        </w:tc>
        <w:tc>
          <w:tcPr>
            <w:tcW w:w="1559" w:type="dxa"/>
          </w:tcPr>
          <w:p w14:paraId="271978B0" w14:textId="77777777"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More regulation in EU means more centralization. </w:t>
            </w:r>
          </w:p>
        </w:tc>
      </w:tr>
      <w:tr w:rsidR="00697C07" w:rsidRPr="00D3790E" w14:paraId="7D1D2EA1" w14:textId="77777777" w:rsidTr="00D3790E">
        <w:tc>
          <w:tcPr>
            <w:tcW w:w="988" w:type="dxa"/>
          </w:tcPr>
          <w:p w14:paraId="516F53E0"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EU</w:t>
            </w:r>
          </w:p>
        </w:tc>
        <w:tc>
          <w:tcPr>
            <w:tcW w:w="654" w:type="dxa"/>
          </w:tcPr>
          <w:p w14:paraId="36F18B0F"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2012</w:t>
            </w:r>
          </w:p>
        </w:tc>
        <w:tc>
          <w:tcPr>
            <w:tcW w:w="2407" w:type="dxa"/>
          </w:tcPr>
          <w:p w14:paraId="6B7095F7"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LIIKANEN REPORT </w:t>
            </w:r>
          </w:p>
        </w:tc>
        <w:tc>
          <w:tcPr>
            <w:tcW w:w="2467" w:type="dxa"/>
          </w:tcPr>
          <w:p w14:paraId="59360490" w14:textId="77777777"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shd w:val="clear" w:color="auto" w:fill="FFFFFF"/>
                <w:lang w:val="en-GB"/>
              </w:rPr>
              <w:t>EC decided to work on separation of investment and </w:t>
            </w:r>
            <w:hyperlink r:id="rId13" w:history="1">
              <w:r w:rsidRPr="00D3790E">
                <w:rPr>
                  <w:rStyle w:val="Hyperlink"/>
                  <w:rFonts w:ascii="Times New Roman" w:hAnsi="Times New Roman" w:cs="Times New Roman"/>
                  <w:color w:val="auto"/>
                  <w:sz w:val="16"/>
                  <w:szCs w:val="16"/>
                  <w:u w:val="none"/>
                  <w:shd w:val="clear" w:color="auto" w:fill="FFFFFF"/>
                  <w:lang w:val="en-GB"/>
                </w:rPr>
                <w:t>commercial banking</w:t>
              </w:r>
            </w:hyperlink>
            <w:r w:rsidRPr="00D3790E">
              <w:rPr>
                <w:rFonts w:ascii="Times New Roman" w:hAnsi="Times New Roman" w:cs="Times New Roman"/>
                <w:sz w:val="16"/>
                <w:szCs w:val="16"/>
                <w:shd w:val="clear" w:color="auto" w:fill="FFFFFF"/>
                <w:lang w:val="en-GB"/>
              </w:rPr>
              <w:t> activities to protect core banking activities and depositors from the 'riskier' trading activities.</w:t>
            </w:r>
          </w:p>
        </w:tc>
        <w:tc>
          <w:tcPr>
            <w:tcW w:w="1559" w:type="dxa"/>
          </w:tcPr>
          <w:p w14:paraId="0859EE72" w14:textId="438E6F3C"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More financial regulation is needed after the </w:t>
            </w:r>
            <w:r w:rsidR="00064C23" w:rsidRPr="00D3790E">
              <w:rPr>
                <w:rFonts w:ascii="Times New Roman" w:hAnsi="Times New Roman" w:cs="Times New Roman"/>
                <w:sz w:val="16"/>
                <w:szCs w:val="16"/>
                <w:lang w:val="en-GB"/>
              </w:rPr>
              <w:t>crisis</w:t>
            </w:r>
            <w:r w:rsidRPr="00D3790E">
              <w:rPr>
                <w:rFonts w:ascii="Times New Roman" w:hAnsi="Times New Roman" w:cs="Times New Roman"/>
                <w:sz w:val="16"/>
                <w:szCs w:val="16"/>
                <w:lang w:val="en-GB"/>
              </w:rPr>
              <w:t xml:space="preserve"> in 2008.</w:t>
            </w:r>
          </w:p>
        </w:tc>
      </w:tr>
      <w:tr w:rsidR="00697C07" w:rsidRPr="00D3790E" w14:paraId="3545625D" w14:textId="77777777" w:rsidTr="00D3790E">
        <w:tc>
          <w:tcPr>
            <w:tcW w:w="988" w:type="dxa"/>
          </w:tcPr>
          <w:p w14:paraId="6392BE90"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UK</w:t>
            </w:r>
          </w:p>
        </w:tc>
        <w:tc>
          <w:tcPr>
            <w:tcW w:w="654" w:type="dxa"/>
          </w:tcPr>
          <w:p w14:paraId="0FA57FB2"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2013</w:t>
            </w:r>
          </w:p>
        </w:tc>
        <w:tc>
          <w:tcPr>
            <w:tcW w:w="2407" w:type="dxa"/>
          </w:tcPr>
          <w:p w14:paraId="5B2079EC"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VICKERS REPORT</w:t>
            </w:r>
          </w:p>
        </w:tc>
        <w:tc>
          <w:tcPr>
            <w:tcW w:w="2467" w:type="dxa"/>
          </w:tcPr>
          <w:p w14:paraId="07F23DA9" w14:textId="6E82091D"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UK way toward financial regulation and supervision toward </w:t>
            </w:r>
            <w:proofErr w:type="spellStart"/>
            <w:r w:rsidRPr="00D3790E">
              <w:rPr>
                <w:rFonts w:ascii="Times New Roman" w:hAnsi="Times New Roman" w:cs="Times New Roman"/>
                <w:sz w:val="16"/>
                <w:szCs w:val="16"/>
                <w:lang w:val="en-GB"/>
              </w:rPr>
              <w:t>ringe</w:t>
            </w:r>
            <w:proofErr w:type="spellEnd"/>
            <w:r w:rsidRPr="00D3790E">
              <w:rPr>
                <w:rFonts w:ascii="Times New Roman" w:hAnsi="Times New Roman" w:cs="Times New Roman"/>
                <w:sz w:val="16"/>
                <w:szCs w:val="16"/>
                <w:lang w:val="en-GB"/>
              </w:rPr>
              <w:t>–fencing – soft separation different functions in the ring of bank.</w:t>
            </w:r>
            <w:r w:rsidR="00BB7793" w:rsidRPr="00D3790E">
              <w:rPr>
                <w:rFonts w:ascii="Times New Roman" w:hAnsi="Times New Roman" w:cs="Times New Roman"/>
                <w:sz w:val="16"/>
                <w:szCs w:val="16"/>
                <w:lang w:val="en-GB"/>
              </w:rPr>
              <w:t xml:space="preserve"> Established Banking Reform Act but rejected it due to concern regarding defining proprietary trading.</w:t>
            </w:r>
          </w:p>
        </w:tc>
        <w:tc>
          <w:tcPr>
            <w:tcW w:w="1559" w:type="dxa"/>
          </w:tcPr>
          <w:p w14:paraId="73343796" w14:textId="4441B4F5"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UK </w:t>
            </w:r>
            <w:r w:rsidR="0084209F" w:rsidRPr="00D3790E">
              <w:rPr>
                <w:rFonts w:ascii="Times New Roman" w:hAnsi="Times New Roman" w:cs="Times New Roman"/>
                <w:sz w:val="16"/>
                <w:szCs w:val="16"/>
                <w:lang w:val="en-GB"/>
              </w:rPr>
              <w:t xml:space="preserve">is the </w:t>
            </w:r>
            <w:r w:rsidR="00064C23" w:rsidRPr="00D3790E">
              <w:rPr>
                <w:rFonts w:ascii="Times New Roman" w:hAnsi="Times New Roman" w:cs="Times New Roman"/>
                <w:sz w:val="16"/>
                <w:szCs w:val="16"/>
                <w:lang w:val="en-GB"/>
              </w:rPr>
              <w:t>centre</w:t>
            </w:r>
            <w:r w:rsidR="0084209F" w:rsidRPr="00D3790E">
              <w:rPr>
                <w:rFonts w:ascii="Times New Roman" w:hAnsi="Times New Roman" w:cs="Times New Roman"/>
                <w:sz w:val="16"/>
                <w:szCs w:val="16"/>
                <w:lang w:val="en-GB"/>
              </w:rPr>
              <w:t xml:space="preserve"> of world financial industry. Participants </w:t>
            </w:r>
            <w:r w:rsidR="00D3790E">
              <w:rPr>
                <w:rFonts w:ascii="Times New Roman" w:hAnsi="Times New Roman" w:cs="Times New Roman"/>
                <w:sz w:val="16"/>
                <w:szCs w:val="16"/>
                <w:lang w:val="en-GB"/>
              </w:rPr>
              <w:t xml:space="preserve">actually </w:t>
            </w:r>
            <w:r w:rsidR="0084209F" w:rsidRPr="00D3790E">
              <w:rPr>
                <w:rFonts w:ascii="Times New Roman" w:hAnsi="Times New Roman" w:cs="Times New Roman"/>
                <w:sz w:val="16"/>
                <w:szCs w:val="16"/>
                <w:lang w:val="en-GB"/>
              </w:rPr>
              <w:t>do not accept strong financial regulation.</w:t>
            </w:r>
          </w:p>
        </w:tc>
      </w:tr>
      <w:tr w:rsidR="00697C07" w:rsidRPr="00D3790E" w14:paraId="0A32C1B0" w14:textId="77777777" w:rsidTr="00D3790E">
        <w:tc>
          <w:tcPr>
            <w:tcW w:w="988" w:type="dxa"/>
          </w:tcPr>
          <w:p w14:paraId="41DB60C7"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EU</w:t>
            </w:r>
          </w:p>
        </w:tc>
        <w:tc>
          <w:tcPr>
            <w:tcW w:w="654" w:type="dxa"/>
          </w:tcPr>
          <w:p w14:paraId="181C87B7"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2018</w:t>
            </w:r>
          </w:p>
        </w:tc>
        <w:tc>
          <w:tcPr>
            <w:tcW w:w="2407" w:type="dxa"/>
          </w:tcPr>
          <w:p w14:paraId="198F2DA8"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LIIKANEN REPORT REJECTED BY EC</w:t>
            </w:r>
          </w:p>
        </w:tc>
        <w:tc>
          <w:tcPr>
            <w:tcW w:w="2467" w:type="dxa"/>
          </w:tcPr>
          <w:p w14:paraId="24D74606" w14:textId="76D2BC17"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Universal banking EU Member states rejected separation of investment and commercial banking due to strong influence of finance </w:t>
            </w:r>
            <w:r w:rsidR="00064C23" w:rsidRPr="00D3790E">
              <w:rPr>
                <w:rFonts w:ascii="Times New Roman" w:hAnsi="Times New Roman" w:cs="Times New Roman"/>
                <w:sz w:val="16"/>
                <w:szCs w:val="16"/>
                <w:lang w:val="en-GB"/>
              </w:rPr>
              <w:t>industry</w:t>
            </w:r>
            <w:r w:rsidRPr="00D3790E">
              <w:rPr>
                <w:rFonts w:ascii="Times New Roman" w:hAnsi="Times New Roman" w:cs="Times New Roman"/>
                <w:sz w:val="16"/>
                <w:szCs w:val="16"/>
                <w:lang w:val="en-GB"/>
              </w:rPr>
              <w:t>.</w:t>
            </w:r>
          </w:p>
        </w:tc>
        <w:tc>
          <w:tcPr>
            <w:tcW w:w="1559" w:type="dxa"/>
          </w:tcPr>
          <w:p w14:paraId="71A60C4C" w14:textId="78AEEEC2" w:rsidR="00D45682" w:rsidRPr="00D3790E" w:rsidRDefault="0084209F" w:rsidP="0084209F">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6 years of </w:t>
            </w:r>
            <w:proofErr w:type="spellStart"/>
            <w:r w:rsidRPr="00D3790E">
              <w:rPr>
                <w:rFonts w:ascii="Times New Roman" w:hAnsi="Times New Roman" w:cs="Times New Roman"/>
                <w:sz w:val="16"/>
                <w:szCs w:val="16"/>
                <w:lang w:val="en-GB"/>
              </w:rPr>
              <w:t>Liikanen</w:t>
            </w:r>
            <w:proofErr w:type="spellEnd"/>
            <w:r w:rsidRPr="00D3790E">
              <w:rPr>
                <w:rFonts w:ascii="Times New Roman" w:hAnsi="Times New Roman" w:cs="Times New Roman"/>
                <w:sz w:val="16"/>
                <w:szCs w:val="16"/>
                <w:lang w:val="en-GB"/>
              </w:rPr>
              <w:t xml:space="preserve"> group </w:t>
            </w:r>
            <w:r w:rsidR="00320BD0" w:rsidRPr="00D3790E">
              <w:rPr>
                <w:rFonts w:ascii="Times New Roman" w:hAnsi="Times New Roman" w:cs="Times New Roman"/>
                <w:sz w:val="16"/>
                <w:szCs w:val="16"/>
                <w:lang w:val="en-GB"/>
              </w:rPr>
              <w:t>efforts were</w:t>
            </w:r>
            <w:r w:rsidRPr="00D3790E">
              <w:rPr>
                <w:rFonts w:ascii="Times New Roman" w:hAnsi="Times New Roman" w:cs="Times New Roman"/>
                <w:sz w:val="16"/>
                <w:szCs w:val="16"/>
                <w:lang w:val="en-GB"/>
              </w:rPr>
              <w:t xml:space="preserve"> rejected.</w:t>
            </w:r>
          </w:p>
        </w:tc>
      </w:tr>
      <w:tr w:rsidR="00697C07" w:rsidRPr="00D3790E" w14:paraId="52B7876B" w14:textId="77777777" w:rsidTr="00D3790E">
        <w:tc>
          <w:tcPr>
            <w:tcW w:w="988" w:type="dxa"/>
          </w:tcPr>
          <w:p w14:paraId="583D3D00"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EU</w:t>
            </w:r>
          </w:p>
        </w:tc>
        <w:tc>
          <w:tcPr>
            <w:tcW w:w="654" w:type="dxa"/>
          </w:tcPr>
          <w:p w14:paraId="405A0E74"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2019</w:t>
            </w:r>
          </w:p>
        </w:tc>
        <w:tc>
          <w:tcPr>
            <w:tcW w:w="2407" w:type="dxa"/>
          </w:tcPr>
          <w:p w14:paraId="59E94FBB" w14:textId="5379A360"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LAMFALUSSY REPORT</w:t>
            </w:r>
          </w:p>
        </w:tc>
        <w:tc>
          <w:tcPr>
            <w:tcW w:w="2467" w:type="dxa"/>
          </w:tcPr>
          <w:p w14:paraId="66A49FBC" w14:textId="454894E0" w:rsidR="00D45682" w:rsidRPr="00D3790E" w:rsidRDefault="00A13F71"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Middle or third legislative proposal to include both approaches (strict distinction between </w:t>
            </w:r>
            <w:r w:rsidR="00320BD0" w:rsidRPr="00D3790E">
              <w:rPr>
                <w:rFonts w:ascii="Times New Roman" w:hAnsi="Times New Roman" w:cs="Times New Roman"/>
                <w:sz w:val="16"/>
                <w:szCs w:val="16"/>
                <w:lang w:val="en-GB"/>
              </w:rPr>
              <w:t>commercial</w:t>
            </w:r>
            <w:r w:rsidRPr="00D3790E">
              <w:rPr>
                <w:rFonts w:ascii="Times New Roman" w:hAnsi="Times New Roman" w:cs="Times New Roman"/>
                <w:sz w:val="16"/>
                <w:szCs w:val="16"/>
                <w:lang w:val="en-GB"/>
              </w:rPr>
              <w:t xml:space="preserve"> </w:t>
            </w:r>
            <w:r w:rsidRPr="00D3790E">
              <w:rPr>
                <w:rFonts w:ascii="Times New Roman" w:hAnsi="Times New Roman" w:cs="Times New Roman"/>
                <w:sz w:val="16"/>
                <w:szCs w:val="16"/>
                <w:lang w:val="en-GB"/>
              </w:rPr>
              <w:lastRenderedPageBreak/>
              <w:t xml:space="preserve">and investment activities and </w:t>
            </w:r>
            <w:proofErr w:type="spellStart"/>
            <w:r w:rsidRPr="00D3790E">
              <w:rPr>
                <w:rFonts w:ascii="Times New Roman" w:hAnsi="Times New Roman" w:cs="Times New Roman"/>
                <w:sz w:val="16"/>
                <w:szCs w:val="16"/>
                <w:lang w:val="en-GB"/>
              </w:rPr>
              <w:t>ringe</w:t>
            </w:r>
            <w:proofErr w:type="spellEnd"/>
            <w:r w:rsidRPr="00D3790E">
              <w:rPr>
                <w:rFonts w:ascii="Times New Roman" w:hAnsi="Times New Roman" w:cs="Times New Roman"/>
                <w:sz w:val="16"/>
                <w:szCs w:val="16"/>
                <w:lang w:val="en-GB"/>
              </w:rPr>
              <w:t xml:space="preserve"> fencing –soft separation through the functions)</w:t>
            </w:r>
            <w:r w:rsidR="00BB7793" w:rsidRPr="00D3790E">
              <w:rPr>
                <w:rFonts w:ascii="Times New Roman" w:hAnsi="Times New Roman" w:cs="Times New Roman"/>
                <w:sz w:val="16"/>
                <w:szCs w:val="16"/>
                <w:lang w:val="en-GB"/>
              </w:rPr>
              <w:t xml:space="preserve">. EU Member States' Regulators should take care of the risk. </w:t>
            </w:r>
          </w:p>
        </w:tc>
        <w:tc>
          <w:tcPr>
            <w:tcW w:w="1559" w:type="dxa"/>
          </w:tcPr>
          <w:p w14:paraId="5490D13A" w14:textId="755E2A04" w:rsidR="00D45682" w:rsidRPr="00D3790E" w:rsidRDefault="0084209F"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lastRenderedPageBreak/>
              <w:t xml:space="preserve">Levels of </w:t>
            </w:r>
            <w:proofErr w:type="spellStart"/>
            <w:r w:rsidRPr="00D3790E">
              <w:rPr>
                <w:rFonts w:ascii="Times New Roman" w:hAnsi="Times New Roman" w:cs="Times New Roman"/>
                <w:sz w:val="16"/>
                <w:szCs w:val="16"/>
                <w:lang w:val="en-GB"/>
              </w:rPr>
              <w:t>Lamfalussy</w:t>
            </w:r>
            <w:proofErr w:type="spellEnd"/>
            <w:r w:rsidRPr="00D3790E">
              <w:rPr>
                <w:rFonts w:ascii="Times New Roman" w:hAnsi="Times New Roman" w:cs="Times New Roman"/>
                <w:sz w:val="16"/>
                <w:szCs w:val="16"/>
                <w:lang w:val="en-GB"/>
              </w:rPr>
              <w:t xml:space="preserve"> report are not realized yet</w:t>
            </w:r>
            <w:r w:rsidR="00AE65B0" w:rsidRPr="00D3790E">
              <w:rPr>
                <w:rFonts w:ascii="Times New Roman" w:hAnsi="Times New Roman" w:cs="Times New Roman"/>
                <w:sz w:val="16"/>
                <w:szCs w:val="16"/>
                <w:lang w:val="en-GB"/>
              </w:rPr>
              <w:t xml:space="preserve">. </w:t>
            </w:r>
            <w:r w:rsidR="00320BD0" w:rsidRPr="00D3790E">
              <w:rPr>
                <w:rFonts w:ascii="Times New Roman" w:hAnsi="Times New Roman" w:cs="Times New Roman"/>
                <w:sz w:val="16"/>
                <w:szCs w:val="16"/>
                <w:lang w:val="en-GB"/>
              </w:rPr>
              <w:lastRenderedPageBreak/>
              <w:t>Non-EU</w:t>
            </w:r>
            <w:r w:rsidR="00AE65B0" w:rsidRPr="00D3790E">
              <w:rPr>
                <w:rFonts w:ascii="Times New Roman" w:hAnsi="Times New Roman" w:cs="Times New Roman"/>
                <w:sz w:val="16"/>
                <w:szCs w:val="16"/>
                <w:lang w:val="en-GB"/>
              </w:rPr>
              <w:t xml:space="preserve"> Member State </w:t>
            </w:r>
            <w:r w:rsidR="00320BD0" w:rsidRPr="00D3790E">
              <w:rPr>
                <w:rFonts w:ascii="Times New Roman" w:hAnsi="Times New Roman" w:cs="Times New Roman"/>
                <w:sz w:val="16"/>
                <w:szCs w:val="16"/>
                <w:lang w:val="en-GB"/>
              </w:rPr>
              <w:t>adopted</w:t>
            </w:r>
            <w:r w:rsidR="00AE65B0" w:rsidRPr="00D3790E">
              <w:rPr>
                <w:rFonts w:ascii="Times New Roman" w:hAnsi="Times New Roman" w:cs="Times New Roman"/>
                <w:sz w:val="16"/>
                <w:szCs w:val="16"/>
                <w:lang w:val="en-GB"/>
              </w:rPr>
              <w:t xml:space="preserve"> Volcker-style prohibition</w:t>
            </w:r>
            <w:r w:rsidRPr="00D3790E">
              <w:rPr>
                <w:rFonts w:ascii="Times New Roman" w:hAnsi="Times New Roman" w:cs="Times New Roman"/>
                <w:sz w:val="16"/>
                <w:szCs w:val="16"/>
                <w:lang w:val="en-GB"/>
              </w:rPr>
              <w:t xml:space="preserve">. </w:t>
            </w:r>
            <w:r w:rsidR="004D5012" w:rsidRPr="00D3790E">
              <w:rPr>
                <w:rFonts w:ascii="Times New Roman" w:hAnsi="Times New Roman" w:cs="Times New Roman"/>
                <w:sz w:val="16"/>
                <w:szCs w:val="16"/>
                <w:lang w:val="en-GB"/>
              </w:rPr>
              <w:t xml:space="preserve">EU approach is more pragmatic </w:t>
            </w:r>
            <w:r w:rsidR="00320BD0" w:rsidRPr="00D3790E">
              <w:rPr>
                <w:rFonts w:ascii="Times New Roman" w:hAnsi="Times New Roman" w:cs="Times New Roman"/>
                <w:sz w:val="16"/>
                <w:szCs w:val="16"/>
                <w:lang w:val="en-GB"/>
              </w:rPr>
              <w:t>than</w:t>
            </w:r>
            <w:r w:rsidR="004D5012" w:rsidRPr="00D3790E">
              <w:rPr>
                <w:rFonts w:ascii="Times New Roman" w:hAnsi="Times New Roman" w:cs="Times New Roman"/>
                <w:sz w:val="16"/>
                <w:szCs w:val="16"/>
                <w:lang w:val="en-GB"/>
              </w:rPr>
              <w:t xml:space="preserve"> Volcker rule. Details are given to EU Member state to implement. </w:t>
            </w:r>
          </w:p>
        </w:tc>
      </w:tr>
      <w:tr w:rsidR="00697C07" w:rsidRPr="00D3790E" w14:paraId="4EFF6DF9" w14:textId="77777777" w:rsidTr="00D3790E">
        <w:tc>
          <w:tcPr>
            <w:tcW w:w="988" w:type="dxa"/>
          </w:tcPr>
          <w:p w14:paraId="65D2FC8B" w14:textId="77777777" w:rsidR="00D45682" w:rsidRPr="00D3790E" w:rsidRDefault="007B1EC4"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lastRenderedPageBreak/>
              <w:t>UK</w:t>
            </w:r>
          </w:p>
        </w:tc>
        <w:tc>
          <w:tcPr>
            <w:tcW w:w="654" w:type="dxa"/>
          </w:tcPr>
          <w:p w14:paraId="6A2F572E" w14:textId="77777777" w:rsidR="00D45682" w:rsidRPr="00D3790E" w:rsidRDefault="007B1EC4"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2019</w:t>
            </w:r>
          </w:p>
        </w:tc>
        <w:tc>
          <w:tcPr>
            <w:tcW w:w="2407" w:type="dxa"/>
          </w:tcPr>
          <w:p w14:paraId="35307520" w14:textId="77777777" w:rsidR="00D45682" w:rsidRPr="00D3790E" w:rsidRDefault="007B1EC4"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VICKERS REPORTED ACCPETED – RING FENCE </w:t>
            </w:r>
          </w:p>
        </w:tc>
        <w:tc>
          <w:tcPr>
            <w:tcW w:w="2467" w:type="dxa"/>
          </w:tcPr>
          <w:p w14:paraId="1F0A184E" w14:textId="77777777" w:rsidR="00D45682" w:rsidRPr="00D3790E" w:rsidRDefault="0084209F" w:rsidP="00D45682">
            <w:pPr>
              <w:jc w:val="both"/>
              <w:rPr>
                <w:rFonts w:ascii="Times New Roman" w:hAnsi="Times New Roman" w:cs="Times New Roman"/>
                <w:sz w:val="16"/>
                <w:szCs w:val="16"/>
                <w:lang w:val="en-GB"/>
              </w:rPr>
            </w:pPr>
            <w:proofErr w:type="spellStart"/>
            <w:r w:rsidRPr="00D3790E">
              <w:rPr>
                <w:rFonts w:ascii="Times New Roman" w:hAnsi="Times New Roman" w:cs="Times New Roman"/>
                <w:sz w:val="16"/>
                <w:szCs w:val="16"/>
                <w:lang w:val="en-GB"/>
              </w:rPr>
              <w:t>Ringe</w:t>
            </w:r>
            <w:proofErr w:type="spellEnd"/>
            <w:r w:rsidRPr="00D3790E">
              <w:rPr>
                <w:rFonts w:ascii="Times New Roman" w:hAnsi="Times New Roman" w:cs="Times New Roman"/>
                <w:sz w:val="16"/>
                <w:szCs w:val="16"/>
                <w:lang w:val="en-GB"/>
              </w:rPr>
              <w:t xml:space="preserve"> –fencing accepted and started from 1.st of January 2019 – soft separation different functions in the ring of bank.</w:t>
            </w:r>
          </w:p>
        </w:tc>
        <w:tc>
          <w:tcPr>
            <w:tcW w:w="1559" w:type="dxa"/>
          </w:tcPr>
          <w:p w14:paraId="7514B668" w14:textId="77777777" w:rsidR="00D45682" w:rsidRDefault="0084209F"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New financial regulation goes together with Brexit.</w:t>
            </w:r>
          </w:p>
          <w:p w14:paraId="61532D58" w14:textId="79921949" w:rsidR="00D3790E" w:rsidRPr="00D3790E" w:rsidRDefault="00D3790E" w:rsidP="00D45682">
            <w:pPr>
              <w:jc w:val="both"/>
              <w:rPr>
                <w:rFonts w:ascii="Times New Roman" w:hAnsi="Times New Roman" w:cs="Times New Roman"/>
                <w:sz w:val="16"/>
                <w:szCs w:val="16"/>
                <w:lang w:val="en-GB"/>
              </w:rPr>
            </w:pPr>
            <w:r>
              <w:rPr>
                <w:rFonts w:ascii="Times New Roman" w:hAnsi="Times New Roman" w:cs="Times New Roman"/>
                <w:sz w:val="16"/>
                <w:szCs w:val="16"/>
                <w:lang w:val="en-GB"/>
              </w:rPr>
              <w:t>Need to be more explored.</w:t>
            </w:r>
          </w:p>
        </w:tc>
      </w:tr>
      <w:tr w:rsidR="00697C07" w:rsidRPr="00D3790E" w14:paraId="4FAAB579" w14:textId="77777777" w:rsidTr="00D3790E">
        <w:tc>
          <w:tcPr>
            <w:tcW w:w="988" w:type="dxa"/>
          </w:tcPr>
          <w:p w14:paraId="382ABD9A"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WORLD</w:t>
            </w:r>
          </w:p>
        </w:tc>
        <w:tc>
          <w:tcPr>
            <w:tcW w:w="654" w:type="dxa"/>
          </w:tcPr>
          <w:p w14:paraId="5AB8961C" w14:textId="77777777" w:rsidR="00D45682" w:rsidRPr="00D3790E" w:rsidRDefault="00D45682"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2020</w:t>
            </w:r>
          </w:p>
        </w:tc>
        <w:tc>
          <w:tcPr>
            <w:tcW w:w="2407" w:type="dxa"/>
          </w:tcPr>
          <w:p w14:paraId="76638FDA" w14:textId="7FD1E284" w:rsidR="00D45682" w:rsidRPr="00D3790E" w:rsidRDefault="00ED0FBD" w:rsidP="00D45682">
            <w:pPr>
              <w:jc w:val="both"/>
              <w:rPr>
                <w:rFonts w:ascii="Times New Roman" w:hAnsi="Times New Roman" w:cs="Times New Roman"/>
                <w:sz w:val="16"/>
                <w:szCs w:val="16"/>
                <w:lang w:val="en-GB"/>
              </w:rPr>
            </w:pPr>
            <w:r>
              <w:rPr>
                <w:rFonts w:ascii="Times New Roman" w:hAnsi="Times New Roman" w:cs="Times New Roman"/>
                <w:sz w:val="16"/>
                <w:szCs w:val="16"/>
                <w:lang w:val="en-GB"/>
              </w:rPr>
              <w:t>COVID-19</w:t>
            </w:r>
            <w:r w:rsidR="00D3790E">
              <w:rPr>
                <w:rFonts w:ascii="Times New Roman" w:hAnsi="Times New Roman" w:cs="Times New Roman"/>
                <w:sz w:val="16"/>
                <w:szCs w:val="16"/>
                <w:lang w:val="en-GB"/>
              </w:rPr>
              <w:t xml:space="preserve"> (Black Swan event)</w:t>
            </w:r>
          </w:p>
        </w:tc>
        <w:tc>
          <w:tcPr>
            <w:tcW w:w="2467" w:type="dxa"/>
          </w:tcPr>
          <w:p w14:paraId="64929CAC" w14:textId="3EA988CD" w:rsidR="00D45682" w:rsidRPr="00D3790E" w:rsidRDefault="00ED0FBD" w:rsidP="00D45682">
            <w:pPr>
              <w:jc w:val="both"/>
              <w:rPr>
                <w:rFonts w:ascii="Times New Roman" w:hAnsi="Times New Roman" w:cs="Times New Roman"/>
                <w:sz w:val="16"/>
                <w:szCs w:val="16"/>
                <w:lang w:val="en-GB"/>
              </w:rPr>
            </w:pPr>
            <w:r>
              <w:rPr>
                <w:rFonts w:ascii="Times New Roman" w:hAnsi="Times New Roman" w:cs="Times New Roman"/>
                <w:sz w:val="16"/>
                <w:szCs w:val="16"/>
                <w:lang w:val="en-GB"/>
              </w:rPr>
              <w:t>COVID-19</w:t>
            </w:r>
            <w:r w:rsidR="0084209F" w:rsidRPr="00D3790E">
              <w:rPr>
                <w:rFonts w:ascii="Times New Roman" w:hAnsi="Times New Roman" w:cs="Times New Roman"/>
                <w:sz w:val="16"/>
                <w:szCs w:val="16"/>
                <w:lang w:val="en-GB"/>
              </w:rPr>
              <w:t xml:space="preserve"> spot regulation efforts in general. </w:t>
            </w:r>
          </w:p>
        </w:tc>
        <w:tc>
          <w:tcPr>
            <w:tcW w:w="1559" w:type="dxa"/>
          </w:tcPr>
          <w:p w14:paraId="679163B3" w14:textId="77777777" w:rsidR="00D45682" w:rsidRPr="00D3790E" w:rsidRDefault="0084209F"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Regulation is on hold.</w:t>
            </w:r>
          </w:p>
        </w:tc>
      </w:tr>
      <w:tr w:rsidR="00697C07" w:rsidRPr="00D3790E" w14:paraId="1F03CD3A" w14:textId="77777777" w:rsidTr="00D3790E">
        <w:tc>
          <w:tcPr>
            <w:tcW w:w="988" w:type="dxa"/>
          </w:tcPr>
          <w:p w14:paraId="6300CEED" w14:textId="77777777" w:rsidR="003C133B" w:rsidRPr="00D3790E" w:rsidRDefault="003C133B"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EU</w:t>
            </w:r>
          </w:p>
        </w:tc>
        <w:tc>
          <w:tcPr>
            <w:tcW w:w="654" w:type="dxa"/>
          </w:tcPr>
          <w:p w14:paraId="310F507C" w14:textId="77777777" w:rsidR="003C133B" w:rsidRPr="00D3790E" w:rsidRDefault="003C133B"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2021</w:t>
            </w:r>
          </w:p>
        </w:tc>
        <w:tc>
          <w:tcPr>
            <w:tcW w:w="2407" w:type="dxa"/>
          </w:tcPr>
          <w:p w14:paraId="338F7E96" w14:textId="77777777" w:rsidR="003C133B" w:rsidRPr="00D3790E" w:rsidRDefault="003C133B"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EU NEXT GENERATION</w:t>
            </w:r>
          </w:p>
        </w:tc>
        <w:tc>
          <w:tcPr>
            <w:tcW w:w="2467" w:type="dxa"/>
          </w:tcPr>
          <w:p w14:paraId="22F81CA8" w14:textId="089E419E" w:rsidR="003C133B" w:rsidRPr="00D3790E" w:rsidRDefault="0084209F" w:rsidP="00D45682">
            <w:pPr>
              <w:jc w:val="both"/>
              <w:rPr>
                <w:rFonts w:ascii="Times New Roman" w:hAnsi="Times New Roman" w:cs="Times New Roman"/>
                <w:sz w:val="16"/>
                <w:szCs w:val="16"/>
                <w:lang w:val="en-GB"/>
              </w:rPr>
            </w:pPr>
            <w:proofErr w:type="spellStart"/>
            <w:r w:rsidRPr="00D3790E">
              <w:rPr>
                <w:rFonts w:ascii="Times New Roman" w:hAnsi="Times New Roman" w:cs="Times New Roman"/>
                <w:sz w:val="16"/>
                <w:szCs w:val="16"/>
                <w:lang w:val="en-GB"/>
              </w:rPr>
              <w:t>NextGeneration</w:t>
            </w:r>
            <w:proofErr w:type="spellEnd"/>
            <w:r w:rsidR="00663F02" w:rsidRPr="00D3790E">
              <w:rPr>
                <w:rFonts w:ascii="Times New Roman" w:hAnsi="Times New Roman" w:cs="Times New Roman"/>
                <w:sz w:val="16"/>
                <w:szCs w:val="16"/>
                <w:lang w:val="en-GB"/>
              </w:rPr>
              <w:t xml:space="preserve"> </w:t>
            </w:r>
            <w:r w:rsidRPr="00D3790E">
              <w:rPr>
                <w:rFonts w:ascii="Times New Roman" w:hAnsi="Times New Roman" w:cs="Times New Roman"/>
                <w:sz w:val="16"/>
                <w:szCs w:val="16"/>
                <w:lang w:val="en-GB"/>
              </w:rPr>
              <w:t>EU is a €750 billion temporary recovery instrument in the scope of Pandemic Emergency Purchase Programme (PEPP) to help repair the immediate economic and social damage brought about by the coronavirus pandemic because COVID-19 pandemic continues to have a major disruptive impact on the economic and financial environment.</w:t>
            </w:r>
          </w:p>
        </w:tc>
        <w:tc>
          <w:tcPr>
            <w:tcW w:w="1559" w:type="dxa"/>
          </w:tcPr>
          <w:p w14:paraId="23701C8B" w14:textId="435C606B" w:rsidR="003C133B" w:rsidRPr="00D3790E" w:rsidRDefault="0084209F" w:rsidP="00D45682">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 xml:space="preserve">Unexpected event such as </w:t>
            </w:r>
            <w:r w:rsidR="00ED0FBD">
              <w:rPr>
                <w:rFonts w:ascii="Times New Roman" w:hAnsi="Times New Roman" w:cs="Times New Roman"/>
                <w:sz w:val="16"/>
                <w:szCs w:val="16"/>
                <w:lang w:val="en-GB"/>
              </w:rPr>
              <w:t>Covid-19</w:t>
            </w:r>
            <w:r w:rsidRPr="00D3790E">
              <w:rPr>
                <w:rFonts w:ascii="Times New Roman" w:hAnsi="Times New Roman" w:cs="Times New Roman"/>
                <w:sz w:val="16"/>
                <w:szCs w:val="16"/>
                <w:lang w:val="en-GB"/>
              </w:rPr>
              <w:t xml:space="preserve"> accelerate financial integration of EU and release significant </w:t>
            </w:r>
            <w:r w:rsidR="00663F02" w:rsidRPr="00D3790E">
              <w:rPr>
                <w:rFonts w:ascii="Times New Roman" w:hAnsi="Times New Roman" w:cs="Times New Roman"/>
                <w:sz w:val="16"/>
                <w:szCs w:val="16"/>
                <w:lang w:val="en-GB"/>
              </w:rPr>
              <w:t>funds toward</w:t>
            </w:r>
            <w:r w:rsidR="00D3790E">
              <w:rPr>
                <w:rFonts w:ascii="Times New Roman" w:hAnsi="Times New Roman" w:cs="Times New Roman"/>
                <w:sz w:val="16"/>
                <w:szCs w:val="16"/>
                <w:lang w:val="en-GB"/>
              </w:rPr>
              <w:t xml:space="preserve"> </w:t>
            </w:r>
            <w:r w:rsidRPr="00D3790E">
              <w:rPr>
                <w:rFonts w:ascii="Times New Roman" w:hAnsi="Times New Roman" w:cs="Times New Roman"/>
                <w:sz w:val="16"/>
                <w:szCs w:val="16"/>
                <w:lang w:val="en-GB"/>
              </w:rPr>
              <w:t xml:space="preserve">EU Member States. </w:t>
            </w:r>
          </w:p>
        </w:tc>
      </w:tr>
    </w:tbl>
    <w:p w14:paraId="3A141588" w14:textId="77777777" w:rsidR="00914529" w:rsidRPr="00D3790E" w:rsidRDefault="00914529" w:rsidP="00C13928">
      <w:pPr>
        <w:jc w:val="both"/>
        <w:rPr>
          <w:rFonts w:ascii="Times New Roman" w:hAnsi="Times New Roman" w:cs="Times New Roman"/>
          <w:sz w:val="16"/>
          <w:szCs w:val="16"/>
          <w:lang w:val="en-GB"/>
        </w:rPr>
      </w:pPr>
      <w:r w:rsidRPr="00D3790E">
        <w:rPr>
          <w:rFonts w:ascii="Times New Roman" w:hAnsi="Times New Roman" w:cs="Times New Roman"/>
          <w:sz w:val="16"/>
          <w:szCs w:val="16"/>
          <w:lang w:val="en-GB"/>
        </w:rPr>
        <w:t>Source: Author (2021)</w:t>
      </w:r>
    </w:p>
    <w:p w14:paraId="2F8ADBF2" w14:textId="77777777" w:rsidR="009B55E0" w:rsidRPr="00697C07" w:rsidRDefault="009B55E0" w:rsidP="00C13928">
      <w:pPr>
        <w:jc w:val="both"/>
        <w:rPr>
          <w:rFonts w:ascii="Times New Roman" w:hAnsi="Times New Roman" w:cs="Times New Roman"/>
          <w:sz w:val="20"/>
          <w:szCs w:val="20"/>
          <w:lang w:val="en-GB"/>
        </w:rPr>
      </w:pPr>
    </w:p>
    <w:p w14:paraId="79B2008E" w14:textId="58B32A62" w:rsidR="00FE0F5F" w:rsidRDefault="00BB4418" w:rsidP="0084532A">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It can be seen from Table 1 that financial regulation practically start</w:t>
      </w:r>
      <w:r w:rsidR="00D3790E">
        <w:rPr>
          <w:rFonts w:ascii="Times New Roman" w:hAnsi="Times New Roman" w:cs="Times New Roman"/>
          <w:sz w:val="20"/>
          <w:szCs w:val="20"/>
          <w:lang w:val="en-GB"/>
        </w:rPr>
        <w:t>ed after the 1</w:t>
      </w:r>
      <w:r w:rsidR="00D3790E" w:rsidRPr="00D3790E">
        <w:rPr>
          <w:rFonts w:ascii="Times New Roman" w:hAnsi="Times New Roman" w:cs="Times New Roman"/>
          <w:sz w:val="20"/>
          <w:szCs w:val="20"/>
          <w:vertAlign w:val="superscript"/>
          <w:lang w:val="en-GB"/>
        </w:rPr>
        <w:t>st</w:t>
      </w:r>
      <w:r w:rsidR="00D3790E">
        <w:rPr>
          <w:rFonts w:ascii="Times New Roman" w:hAnsi="Times New Roman" w:cs="Times New Roman"/>
          <w:sz w:val="20"/>
          <w:szCs w:val="20"/>
          <w:lang w:val="en-GB"/>
        </w:rPr>
        <w:t xml:space="preserve"> World</w:t>
      </w:r>
      <w:r w:rsidRPr="00697C07">
        <w:rPr>
          <w:rFonts w:ascii="Times New Roman" w:hAnsi="Times New Roman" w:cs="Times New Roman"/>
          <w:sz w:val="20"/>
          <w:szCs w:val="20"/>
          <w:lang w:val="en-GB"/>
        </w:rPr>
        <w:t xml:space="preserve"> Crisis with the </w:t>
      </w:r>
      <w:r w:rsidR="00663F02" w:rsidRPr="00697C07">
        <w:rPr>
          <w:rFonts w:ascii="Times New Roman" w:hAnsi="Times New Roman" w:cs="Times New Roman"/>
          <w:sz w:val="20"/>
          <w:szCs w:val="20"/>
          <w:lang w:val="en-GB"/>
        </w:rPr>
        <w:t>GSA and</w:t>
      </w:r>
      <w:r w:rsidRPr="00697C07">
        <w:rPr>
          <w:rFonts w:ascii="Times New Roman" w:hAnsi="Times New Roman" w:cs="Times New Roman"/>
          <w:sz w:val="20"/>
          <w:szCs w:val="20"/>
          <w:lang w:val="en-GB"/>
        </w:rPr>
        <w:t xml:space="preserve"> is currently globally moving towards the ring-fence model as a kind of medium soft regulation. It can be concluded that every major world crisis</w:t>
      </w:r>
      <w:r w:rsidR="004D269E">
        <w:rPr>
          <w:rFonts w:ascii="Times New Roman" w:hAnsi="Times New Roman" w:cs="Times New Roman"/>
          <w:sz w:val="20"/>
          <w:szCs w:val="20"/>
          <w:lang w:val="en-GB"/>
        </w:rPr>
        <w:t xml:space="preserve"> (which were unexpected and had huge impact globally represent Black Swan event) have</w:t>
      </w:r>
      <w:r w:rsidRPr="00697C07">
        <w:rPr>
          <w:rFonts w:ascii="Times New Roman" w:hAnsi="Times New Roman" w:cs="Times New Roman"/>
          <w:sz w:val="20"/>
          <w:szCs w:val="20"/>
          <w:lang w:val="en-GB"/>
        </w:rPr>
        <w:t xml:space="preserve"> brought back to the stage the need to separate commercial banking from investment banking. Years of stable business have been followed by a ‘blow’ from big financial industry to once again allow banks to engage in investment business, and the reason lies in the simple craving for higher profits that are inevitably associated with higher risks. Every such period ended in a crisis.</w:t>
      </w:r>
      <w:r w:rsidR="00FE0F5F" w:rsidRPr="00FE0F5F">
        <w:t xml:space="preserve"> </w:t>
      </w:r>
      <w:r w:rsidR="00FE0F5F" w:rsidRPr="00FE0F5F">
        <w:rPr>
          <w:rFonts w:ascii="Times New Roman" w:hAnsi="Times New Roman" w:cs="Times New Roman"/>
          <w:sz w:val="20"/>
          <w:szCs w:val="20"/>
        </w:rPr>
        <w:t>As</w:t>
      </w:r>
      <w:r w:rsidR="00FE0F5F">
        <w:t xml:space="preserve"> </w:t>
      </w:r>
      <w:r w:rsidR="00FE0F5F">
        <w:rPr>
          <w:rFonts w:ascii="Times New Roman" w:hAnsi="Times New Roman" w:cs="Times New Roman"/>
          <w:noProof/>
          <w:sz w:val="20"/>
          <w:szCs w:val="20"/>
          <w:lang w:val="en-GB"/>
        </w:rPr>
        <w:t xml:space="preserve">Götz et al. (2017) claimed, </w:t>
      </w:r>
      <w:r w:rsidR="00FE0F5F">
        <w:rPr>
          <w:rFonts w:ascii="Times New Roman" w:hAnsi="Times New Roman" w:cs="Times New Roman"/>
          <w:sz w:val="20"/>
          <w:szCs w:val="20"/>
          <w:lang w:val="en-GB"/>
        </w:rPr>
        <w:t>b</w:t>
      </w:r>
      <w:r w:rsidR="00FE0F5F" w:rsidRPr="00FE0F5F">
        <w:rPr>
          <w:rFonts w:ascii="Times New Roman" w:hAnsi="Times New Roman" w:cs="Times New Roman"/>
          <w:sz w:val="20"/>
          <w:szCs w:val="20"/>
          <w:lang w:val="en-GB"/>
        </w:rPr>
        <w:t>anks were tempted to take excessive risks, which became evident when the levels of own funds proved far too low during the crises.</w:t>
      </w:r>
      <w:r w:rsidRPr="00697C07">
        <w:rPr>
          <w:rFonts w:ascii="Times New Roman" w:hAnsi="Times New Roman" w:cs="Times New Roman"/>
          <w:sz w:val="20"/>
          <w:szCs w:val="20"/>
          <w:lang w:val="en-GB"/>
        </w:rPr>
        <w:t xml:space="preserve"> </w:t>
      </w:r>
    </w:p>
    <w:p w14:paraId="7D24AF13" w14:textId="2A5AD534" w:rsidR="00E07930" w:rsidRPr="00697C07" w:rsidRDefault="00BB4418" w:rsidP="0084532A">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As far as the EU is concerned, it recommended Basel 1,2, and 3 as soft </w:t>
      </w:r>
      <w:r w:rsidR="00F53127" w:rsidRPr="00697C07">
        <w:rPr>
          <w:rFonts w:ascii="Times New Roman" w:hAnsi="Times New Roman" w:cs="Times New Roman"/>
          <w:sz w:val="20"/>
          <w:szCs w:val="20"/>
          <w:lang w:val="en-GB"/>
        </w:rPr>
        <w:t>regulations</w:t>
      </w:r>
      <w:r w:rsidRPr="00697C07">
        <w:rPr>
          <w:rFonts w:ascii="Times New Roman" w:hAnsi="Times New Roman" w:cs="Times New Roman"/>
          <w:sz w:val="20"/>
          <w:szCs w:val="20"/>
          <w:lang w:val="en-GB"/>
        </w:rPr>
        <w:t xml:space="preserve"> and the members accepted those recommendations. In 2017, Basel 4 was adopted, which actually completes the recommendations of Basel 3 </w:t>
      </w:r>
      <w:r w:rsidR="0084532A" w:rsidRPr="00697C07">
        <w:rPr>
          <w:rFonts w:ascii="Times New Roman" w:hAnsi="Times New Roman" w:cs="Times New Roman"/>
          <w:sz w:val="20"/>
          <w:szCs w:val="20"/>
          <w:lang w:val="en-GB"/>
        </w:rPr>
        <w:t>(A standardised floor, so that the capital requirement will always be at least 72.5% of the requirement under the Standardized approach; A simultaneous reduction in standardised risk weights for low risk mortgage loans; A higher leverage ratio for Global Systemically Important Banks (G-SIBs), with the increase equal to 50% of the risk a</w:t>
      </w:r>
      <w:r w:rsidR="00FE0F5F">
        <w:rPr>
          <w:rFonts w:ascii="Times New Roman" w:hAnsi="Times New Roman" w:cs="Times New Roman"/>
          <w:sz w:val="20"/>
          <w:szCs w:val="20"/>
          <w:lang w:val="en-GB"/>
        </w:rPr>
        <w:t xml:space="preserve">djusted capital ratio. Basel 4 </w:t>
      </w:r>
      <w:r w:rsidR="0084532A" w:rsidRPr="00697C07">
        <w:rPr>
          <w:rFonts w:ascii="Times New Roman" w:hAnsi="Times New Roman" w:cs="Times New Roman"/>
          <w:sz w:val="20"/>
          <w:szCs w:val="20"/>
          <w:lang w:val="en-GB"/>
        </w:rPr>
        <w:t>should be implemented in 2023.</w:t>
      </w:r>
      <w:r w:rsidRPr="00697C07">
        <w:rPr>
          <w:rFonts w:ascii="Times New Roman" w:hAnsi="Times New Roman" w:cs="Times New Roman"/>
          <w:sz w:val="20"/>
          <w:szCs w:val="20"/>
          <w:lang w:val="en-GB"/>
        </w:rPr>
        <w:t xml:space="preserve"> </w:t>
      </w:r>
      <w:r w:rsidR="00E07930" w:rsidRPr="00697C07">
        <w:rPr>
          <w:rFonts w:ascii="Times New Roman" w:hAnsi="Times New Roman" w:cs="Times New Roman"/>
          <w:sz w:val="20"/>
          <w:szCs w:val="20"/>
          <w:lang w:val="en-GB"/>
        </w:rPr>
        <w:t xml:space="preserve">It is only in the last 10 years that the EU has set about creating a stronger supranational regulatory framework. The first attempt was rejected, and the </w:t>
      </w:r>
      <w:proofErr w:type="spellStart"/>
      <w:r w:rsidR="00E07930" w:rsidRPr="00697C07">
        <w:rPr>
          <w:rFonts w:ascii="Times New Roman" w:hAnsi="Times New Roman" w:cs="Times New Roman"/>
          <w:sz w:val="20"/>
          <w:szCs w:val="20"/>
          <w:lang w:val="en-GB"/>
        </w:rPr>
        <w:t>Liikanen</w:t>
      </w:r>
      <w:proofErr w:type="spellEnd"/>
      <w:r w:rsidR="00E07930" w:rsidRPr="00697C07">
        <w:rPr>
          <w:rFonts w:ascii="Times New Roman" w:hAnsi="Times New Roman" w:cs="Times New Roman"/>
          <w:sz w:val="20"/>
          <w:szCs w:val="20"/>
          <w:lang w:val="en-GB"/>
        </w:rPr>
        <w:t xml:space="preserve"> report (which advocated firmer regulation of the GSA type) was prepared for 7 years for the EC to reject it in 2018 under the pretext that other models of regulation had been created in the meantime. In reality, France and Germany, as strong representatives of universal banking, have stopped the road to tighter regulation and paved the way for a ring-fencing model that more flexibly prescribes the separation of commercial and investment banking activities.</w:t>
      </w:r>
    </w:p>
    <w:p w14:paraId="035D55C8" w14:textId="765CDD7B" w:rsidR="004E4E66" w:rsidRPr="00697C07" w:rsidRDefault="00C845CE" w:rsidP="00913C22">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One of the fundamental differences between the US and EU member states </w:t>
      </w:r>
      <w:r w:rsidR="00A65082" w:rsidRPr="00697C07">
        <w:rPr>
          <w:rFonts w:ascii="Times New Roman" w:hAnsi="Times New Roman" w:cs="Times New Roman"/>
          <w:sz w:val="20"/>
          <w:szCs w:val="20"/>
          <w:lang w:val="en-GB"/>
        </w:rPr>
        <w:t>h</w:t>
      </w:r>
      <w:r w:rsidRPr="00697C07">
        <w:rPr>
          <w:rFonts w:ascii="Times New Roman" w:hAnsi="Times New Roman" w:cs="Times New Roman"/>
          <w:sz w:val="20"/>
          <w:szCs w:val="20"/>
          <w:lang w:val="en-GB"/>
        </w:rPr>
        <w:t>a</w:t>
      </w:r>
      <w:r w:rsidR="00A520A6" w:rsidRPr="00697C07">
        <w:rPr>
          <w:rFonts w:ascii="Times New Roman" w:hAnsi="Times New Roman" w:cs="Times New Roman"/>
          <w:sz w:val="20"/>
          <w:szCs w:val="20"/>
          <w:lang w:val="en-GB"/>
        </w:rPr>
        <w:t>ve</w:t>
      </w:r>
      <w:r w:rsidRPr="00697C07">
        <w:rPr>
          <w:rFonts w:ascii="Times New Roman" w:hAnsi="Times New Roman" w:cs="Times New Roman"/>
          <w:sz w:val="20"/>
          <w:szCs w:val="20"/>
          <w:lang w:val="en-GB"/>
        </w:rPr>
        <w:t xml:space="preserve"> bee</w:t>
      </w:r>
      <w:r w:rsidR="00A65082" w:rsidRPr="00697C07">
        <w:rPr>
          <w:rFonts w:ascii="Times New Roman" w:hAnsi="Times New Roman" w:cs="Times New Roman"/>
          <w:sz w:val="20"/>
          <w:szCs w:val="20"/>
          <w:lang w:val="en-GB"/>
        </w:rPr>
        <w:t>n</w:t>
      </w:r>
      <w:r w:rsidRPr="00697C07">
        <w:rPr>
          <w:rFonts w:ascii="Times New Roman" w:hAnsi="Times New Roman" w:cs="Times New Roman"/>
          <w:sz w:val="20"/>
          <w:szCs w:val="20"/>
          <w:lang w:val="en-GB"/>
        </w:rPr>
        <w:t xml:space="preserve"> the US preference for prohibition (or owner separation) as opposed to the EU M</w:t>
      </w:r>
      <w:r w:rsidR="00913C22" w:rsidRPr="00697C07">
        <w:rPr>
          <w:rFonts w:ascii="Times New Roman" w:hAnsi="Times New Roman" w:cs="Times New Roman"/>
          <w:sz w:val="20"/>
          <w:szCs w:val="20"/>
          <w:lang w:val="en-GB"/>
        </w:rPr>
        <w:t>e</w:t>
      </w:r>
      <w:r w:rsidRPr="00697C07">
        <w:rPr>
          <w:rFonts w:ascii="Times New Roman" w:hAnsi="Times New Roman" w:cs="Times New Roman"/>
          <w:sz w:val="20"/>
          <w:szCs w:val="20"/>
          <w:lang w:val="en-GB"/>
        </w:rPr>
        <w:t>mber States' preferences for ring –fencing (or functional separation/subsidiari</w:t>
      </w:r>
      <w:r w:rsidR="00BB7793" w:rsidRPr="00697C07">
        <w:rPr>
          <w:rFonts w:ascii="Times New Roman" w:hAnsi="Times New Roman" w:cs="Times New Roman"/>
          <w:sz w:val="20"/>
          <w:szCs w:val="20"/>
          <w:lang w:val="en-GB"/>
        </w:rPr>
        <w:t>sation). This difference means</w:t>
      </w:r>
      <w:r w:rsidRPr="00697C07">
        <w:rPr>
          <w:rFonts w:ascii="Times New Roman" w:hAnsi="Times New Roman" w:cs="Times New Roman"/>
          <w:sz w:val="20"/>
          <w:szCs w:val="20"/>
          <w:lang w:val="en-GB"/>
        </w:rPr>
        <w:t xml:space="preserve"> that the activities which US has prohibited cannot be carried out within a banking group at all whereas </w:t>
      </w:r>
      <w:r w:rsidR="00A13F71" w:rsidRPr="00697C07">
        <w:rPr>
          <w:rFonts w:ascii="Times New Roman" w:hAnsi="Times New Roman" w:cs="Times New Roman"/>
          <w:sz w:val="20"/>
          <w:szCs w:val="20"/>
          <w:lang w:val="en-GB"/>
        </w:rPr>
        <w:t xml:space="preserve">the activities on which the </w:t>
      </w:r>
      <w:r w:rsidR="00A13F71" w:rsidRPr="00697C07">
        <w:rPr>
          <w:rFonts w:ascii="Times New Roman" w:hAnsi="Times New Roman" w:cs="Times New Roman"/>
          <w:sz w:val="20"/>
          <w:szCs w:val="20"/>
          <w:lang w:val="en-GB"/>
        </w:rPr>
        <w:lastRenderedPageBreak/>
        <w:t xml:space="preserve">EU </w:t>
      </w:r>
      <w:r w:rsidRPr="00697C07">
        <w:rPr>
          <w:rFonts w:ascii="Times New Roman" w:hAnsi="Times New Roman" w:cs="Times New Roman"/>
          <w:sz w:val="20"/>
          <w:szCs w:val="20"/>
          <w:lang w:val="en-GB"/>
        </w:rPr>
        <w:t xml:space="preserve">Member states have focused can be carried out within a distinct trading entity which is separate from the retail and commercial bank entity. </w:t>
      </w:r>
      <w:r w:rsidR="006A1A20" w:rsidRPr="00697C07">
        <w:rPr>
          <w:rFonts w:ascii="Times New Roman" w:hAnsi="Times New Roman" w:cs="Times New Roman"/>
          <w:sz w:val="20"/>
          <w:szCs w:val="20"/>
          <w:lang w:val="en-GB"/>
        </w:rPr>
        <w:t>The UK approach (Vickers) focused on a wider range of investment and wholesale banking. By prohibiting deposit-</w:t>
      </w:r>
      <w:r w:rsidR="00A65082" w:rsidRPr="00697C07">
        <w:rPr>
          <w:rFonts w:ascii="Times New Roman" w:hAnsi="Times New Roman" w:cs="Times New Roman"/>
          <w:sz w:val="20"/>
          <w:szCs w:val="20"/>
          <w:lang w:val="en-GB"/>
        </w:rPr>
        <w:t>taking</w:t>
      </w:r>
      <w:r w:rsidR="006A1A20" w:rsidRPr="00697C07">
        <w:rPr>
          <w:rFonts w:ascii="Times New Roman" w:hAnsi="Times New Roman" w:cs="Times New Roman"/>
          <w:sz w:val="20"/>
          <w:szCs w:val="20"/>
          <w:lang w:val="en-GB"/>
        </w:rPr>
        <w:t xml:space="preserve"> entities from 'dealing in investments as principal' it requires most of carried out by wholesale and investment banks to b</w:t>
      </w:r>
      <w:r w:rsidR="00A520A6" w:rsidRPr="00697C07">
        <w:rPr>
          <w:rFonts w:ascii="Times New Roman" w:hAnsi="Times New Roman" w:cs="Times New Roman"/>
          <w:sz w:val="20"/>
          <w:szCs w:val="20"/>
          <w:lang w:val="en-GB"/>
        </w:rPr>
        <w:t>e</w:t>
      </w:r>
      <w:r w:rsidR="006A1A20" w:rsidRPr="00697C07">
        <w:rPr>
          <w:rFonts w:ascii="Times New Roman" w:hAnsi="Times New Roman" w:cs="Times New Roman"/>
          <w:sz w:val="20"/>
          <w:szCs w:val="20"/>
          <w:lang w:val="en-GB"/>
        </w:rPr>
        <w:t xml:space="preserve"> carried out by a trading entity wholly separate from the retail bank. German and France follow ring-fencing approach</w:t>
      </w:r>
      <w:r w:rsidR="009F4B68" w:rsidRPr="00697C07">
        <w:rPr>
          <w:rFonts w:ascii="Times New Roman" w:hAnsi="Times New Roman" w:cs="Times New Roman"/>
          <w:sz w:val="20"/>
          <w:szCs w:val="20"/>
          <w:lang w:val="en-GB"/>
        </w:rPr>
        <w:t>. For example,</w:t>
      </w:r>
      <w:r w:rsidR="006A1A20" w:rsidRPr="00697C07">
        <w:rPr>
          <w:rFonts w:ascii="Times New Roman" w:hAnsi="Times New Roman" w:cs="Times New Roman"/>
          <w:sz w:val="20"/>
          <w:szCs w:val="20"/>
          <w:lang w:val="en-GB"/>
        </w:rPr>
        <w:t xml:space="preserve"> French legislation provides that proprietary trading and unsecured financing to alternative investment funds ('AIF's) above a certain </w:t>
      </w:r>
      <w:r w:rsidR="009F4B68" w:rsidRPr="00697C07">
        <w:rPr>
          <w:rFonts w:ascii="Times New Roman" w:hAnsi="Times New Roman" w:cs="Times New Roman"/>
          <w:sz w:val="20"/>
          <w:szCs w:val="20"/>
          <w:lang w:val="en-GB"/>
        </w:rPr>
        <w:t>threshold</w:t>
      </w:r>
      <w:r w:rsidR="006A1A20" w:rsidRPr="00697C07">
        <w:rPr>
          <w:rFonts w:ascii="Times New Roman" w:hAnsi="Times New Roman" w:cs="Times New Roman"/>
          <w:sz w:val="20"/>
          <w:szCs w:val="20"/>
          <w:lang w:val="en-GB"/>
        </w:rPr>
        <w:t xml:space="preserve"> (the speculative activities) must be carried out by a trading subsidiary separate from the retail banking entity rather similar to German legislation. </w:t>
      </w:r>
      <w:r w:rsidR="00BB7793" w:rsidRPr="00697C07">
        <w:rPr>
          <w:rFonts w:ascii="Times New Roman" w:hAnsi="Times New Roman" w:cs="Times New Roman"/>
          <w:sz w:val="20"/>
          <w:szCs w:val="20"/>
          <w:lang w:val="en-GB"/>
        </w:rPr>
        <w:t xml:space="preserve">EU legislation proposed Vickers rule (prohibition of proprietary trading, investment in AIFs) to every Eu Member State and requires national regulators to consider the possibility in relation to each individual deposit-taking bank </w:t>
      </w:r>
      <w:r w:rsidR="009F4B68" w:rsidRPr="00697C07">
        <w:rPr>
          <w:rFonts w:ascii="Times New Roman" w:hAnsi="Times New Roman" w:cs="Times New Roman"/>
          <w:sz w:val="20"/>
          <w:szCs w:val="20"/>
          <w:lang w:val="en-GB"/>
        </w:rPr>
        <w:t>depending on</w:t>
      </w:r>
      <w:r w:rsidR="00BB7793" w:rsidRPr="00697C07">
        <w:rPr>
          <w:rFonts w:ascii="Times New Roman" w:hAnsi="Times New Roman" w:cs="Times New Roman"/>
          <w:sz w:val="20"/>
          <w:szCs w:val="20"/>
          <w:lang w:val="en-GB"/>
        </w:rPr>
        <w:t xml:space="preserve"> the risk profile. </w:t>
      </w:r>
      <w:r w:rsidR="00AE65B0" w:rsidRPr="00697C07">
        <w:rPr>
          <w:rFonts w:ascii="Times New Roman" w:hAnsi="Times New Roman" w:cs="Times New Roman"/>
          <w:sz w:val="20"/>
          <w:szCs w:val="20"/>
          <w:lang w:val="en-GB"/>
        </w:rPr>
        <w:t xml:space="preserve">But </w:t>
      </w:r>
      <w:r w:rsidR="009F4B68" w:rsidRPr="00697C07">
        <w:rPr>
          <w:rFonts w:ascii="Times New Roman" w:hAnsi="Times New Roman" w:cs="Times New Roman"/>
          <w:sz w:val="20"/>
          <w:szCs w:val="20"/>
          <w:lang w:val="en-GB"/>
        </w:rPr>
        <w:t>non-EU</w:t>
      </w:r>
      <w:r w:rsidR="00AE65B0" w:rsidRPr="00697C07">
        <w:rPr>
          <w:rFonts w:ascii="Times New Roman" w:hAnsi="Times New Roman" w:cs="Times New Roman"/>
          <w:sz w:val="20"/>
          <w:szCs w:val="20"/>
          <w:lang w:val="en-GB"/>
        </w:rPr>
        <w:t xml:space="preserve"> Member State </w:t>
      </w:r>
      <w:r w:rsidR="009F4B68" w:rsidRPr="00697C07">
        <w:rPr>
          <w:rFonts w:ascii="Times New Roman" w:hAnsi="Times New Roman" w:cs="Times New Roman"/>
          <w:sz w:val="20"/>
          <w:szCs w:val="20"/>
          <w:lang w:val="en-GB"/>
        </w:rPr>
        <w:t>adopted</w:t>
      </w:r>
      <w:r w:rsidR="00AE65B0" w:rsidRPr="00697C07">
        <w:rPr>
          <w:rFonts w:ascii="Times New Roman" w:hAnsi="Times New Roman" w:cs="Times New Roman"/>
          <w:sz w:val="20"/>
          <w:szCs w:val="20"/>
          <w:lang w:val="en-GB"/>
        </w:rPr>
        <w:t xml:space="preserve"> Volcker-style prohibition yet</w:t>
      </w:r>
      <w:r w:rsidR="009F4B68" w:rsidRPr="00697C07">
        <w:rPr>
          <w:rFonts w:ascii="Times New Roman" w:hAnsi="Times New Roman" w:cs="Times New Roman"/>
          <w:sz w:val="20"/>
          <w:szCs w:val="20"/>
          <w:lang w:val="en-GB"/>
        </w:rPr>
        <w:t xml:space="preserve"> </w:t>
      </w:r>
      <w:r w:rsidR="004D5012" w:rsidRPr="00697C07">
        <w:rPr>
          <w:rFonts w:ascii="Times New Roman" w:hAnsi="Times New Roman" w:cs="Times New Roman"/>
          <w:sz w:val="20"/>
          <w:szCs w:val="20"/>
          <w:lang w:val="en-GB"/>
        </w:rPr>
        <w:t>(Mayer Brown, 2014)</w:t>
      </w:r>
      <w:r w:rsidR="009F4B68" w:rsidRPr="00697C07">
        <w:rPr>
          <w:rFonts w:ascii="Times New Roman" w:hAnsi="Times New Roman" w:cs="Times New Roman"/>
          <w:sz w:val="20"/>
          <w:szCs w:val="20"/>
          <w:lang w:val="en-GB"/>
        </w:rPr>
        <w:t>.</w:t>
      </w:r>
      <w:r w:rsidR="004D5012" w:rsidRPr="00697C07">
        <w:rPr>
          <w:rFonts w:ascii="Times New Roman" w:hAnsi="Times New Roman" w:cs="Times New Roman"/>
          <w:sz w:val="20"/>
          <w:szCs w:val="20"/>
          <w:lang w:val="en-GB"/>
        </w:rPr>
        <w:t xml:space="preserve"> </w:t>
      </w:r>
      <w:r w:rsidR="00BB4418" w:rsidRPr="00697C07">
        <w:rPr>
          <w:rFonts w:ascii="Times New Roman" w:hAnsi="Times New Roman" w:cs="Times New Roman"/>
          <w:sz w:val="20"/>
          <w:szCs w:val="20"/>
          <w:lang w:val="en-GB"/>
        </w:rPr>
        <w:t xml:space="preserve"> </w:t>
      </w:r>
      <w:r w:rsidR="00E07930" w:rsidRPr="00697C07">
        <w:rPr>
          <w:rFonts w:ascii="Times New Roman" w:hAnsi="Times New Roman" w:cs="Times New Roman"/>
          <w:sz w:val="20"/>
          <w:szCs w:val="20"/>
          <w:lang w:val="en-GB"/>
        </w:rPr>
        <w:t>Today</w:t>
      </w:r>
      <w:r w:rsidR="00BB4418" w:rsidRPr="00697C07">
        <w:rPr>
          <w:rFonts w:ascii="Times New Roman" w:hAnsi="Times New Roman" w:cs="Times New Roman"/>
          <w:sz w:val="20"/>
          <w:szCs w:val="20"/>
          <w:lang w:val="en-GB"/>
        </w:rPr>
        <w:t xml:space="preserve">, the EC is proposing </w:t>
      </w:r>
      <w:proofErr w:type="spellStart"/>
      <w:r w:rsidR="00BB4418" w:rsidRPr="00697C07">
        <w:rPr>
          <w:rFonts w:ascii="Times New Roman" w:hAnsi="Times New Roman" w:cs="Times New Roman"/>
          <w:sz w:val="20"/>
          <w:szCs w:val="20"/>
          <w:lang w:val="en-GB"/>
        </w:rPr>
        <w:t>Lamfallussy</w:t>
      </w:r>
      <w:proofErr w:type="spellEnd"/>
      <w:r w:rsidR="00BB4418" w:rsidRPr="00697C07">
        <w:rPr>
          <w:rFonts w:ascii="Times New Roman" w:hAnsi="Times New Roman" w:cs="Times New Roman"/>
          <w:sz w:val="20"/>
          <w:szCs w:val="20"/>
          <w:lang w:val="en-GB"/>
        </w:rPr>
        <w:t xml:space="preserve"> Report (from 2019)</w:t>
      </w:r>
      <w:r w:rsidR="00E07930" w:rsidRPr="00697C07">
        <w:rPr>
          <w:rFonts w:ascii="Times New Roman" w:hAnsi="Times New Roman" w:cs="Times New Roman"/>
          <w:sz w:val="20"/>
          <w:szCs w:val="20"/>
          <w:lang w:val="en-GB"/>
        </w:rPr>
        <w:t>, whic</w:t>
      </w:r>
      <w:r w:rsidR="00BB4418" w:rsidRPr="00697C07">
        <w:rPr>
          <w:rFonts w:ascii="Times New Roman" w:hAnsi="Times New Roman" w:cs="Times New Roman"/>
          <w:sz w:val="20"/>
          <w:szCs w:val="20"/>
          <w:lang w:val="en-GB"/>
        </w:rPr>
        <w:t xml:space="preserve">h through its 4 </w:t>
      </w:r>
      <w:r w:rsidR="009F4B68" w:rsidRPr="00697C07">
        <w:rPr>
          <w:rFonts w:ascii="Times New Roman" w:hAnsi="Times New Roman" w:cs="Times New Roman"/>
          <w:sz w:val="20"/>
          <w:szCs w:val="20"/>
          <w:lang w:val="en-GB"/>
        </w:rPr>
        <w:t>levels represents</w:t>
      </w:r>
      <w:r w:rsidR="00E07930" w:rsidRPr="00697C07">
        <w:rPr>
          <w:rFonts w:ascii="Times New Roman" w:hAnsi="Times New Roman" w:cs="Times New Roman"/>
          <w:sz w:val="20"/>
          <w:szCs w:val="20"/>
          <w:lang w:val="en-GB"/>
        </w:rPr>
        <w:t xml:space="preserve"> the direction of the EU when it comes to financial </w:t>
      </w:r>
      <w:r w:rsidR="00E273BD" w:rsidRPr="00697C07">
        <w:rPr>
          <w:rFonts w:ascii="Times New Roman" w:hAnsi="Times New Roman" w:cs="Times New Roman"/>
          <w:sz w:val="20"/>
          <w:szCs w:val="20"/>
          <w:lang w:val="en-GB"/>
        </w:rPr>
        <w:t>regulation and</w:t>
      </w:r>
      <w:r w:rsidR="00E07930" w:rsidRPr="00697C07">
        <w:rPr>
          <w:rFonts w:ascii="Times New Roman" w:hAnsi="Times New Roman" w:cs="Times New Roman"/>
          <w:sz w:val="20"/>
          <w:szCs w:val="20"/>
          <w:lang w:val="en-GB"/>
        </w:rPr>
        <w:t xml:space="preserve"> tries to reconcile the elements of mutually opposite previously mentioned approaches to financial integration. It should be emphasized that EU Volcker-style refers only to the thirty largest banks in the EU (too big to fail). </w:t>
      </w:r>
      <w:r w:rsidR="009F4B68" w:rsidRPr="00697C07">
        <w:rPr>
          <w:rFonts w:ascii="Times New Roman" w:hAnsi="Times New Roman" w:cs="Times New Roman"/>
          <w:sz w:val="20"/>
          <w:szCs w:val="20"/>
          <w:lang w:val="en-GB"/>
        </w:rPr>
        <w:t>Finalization</w:t>
      </w:r>
      <w:r w:rsidR="00BB4418" w:rsidRPr="00697C07">
        <w:rPr>
          <w:rFonts w:ascii="Times New Roman" w:hAnsi="Times New Roman" w:cs="Times New Roman"/>
          <w:sz w:val="20"/>
          <w:szCs w:val="20"/>
          <w:lang w:val="en-GB"/>
        </w:rPr>
        <w:t xml:space="preserve"> of the Banking Union concept, Capital Market Union and </w:t>
      </w:r>
      <w:r w:rsidR="00E273BD" w:rsidRPr="00697C07">
        <w:rPr>
          <w:rFonts w:ascii="Times New Roman" w:hAnsi="Times New Roman" w:cs="Times New Roman"/>
          <w:sz w:val="20"/>
          <w:szCs w:val="20"/>
          <w:lang w:val="en-GB"/>
        </w:rPr>
        <w:t>unique</w:t>
      </w:r>
      <w:r w:rsidR="00BB4418" w:rsidRPr="00697C07">
        <w:rPr>
          <w:rFonts w:ascii="Times New Roman" w:hAnsi="Times New Roman" w:cs="Times New Roman"/>
          <w:sz w:val="20"/>
          <w:szCs w:val="20"/>
          <w:lang w:val="en-GB"/>
        </w:rPr>
        <w:t xml:space="preserve"> European </w:t>
      </w:r>
      <w:r w:rsidR="00BB4418" w:rsidRPr="00697C07">
        <w:rPr>
          <w:rFonts w:ascii="Times New Roman" w:eastAsia="Times New Roman" w:hAnsi="Times New Roman" w:cs="Times New Roman"/>
          <w:sz w:val="20"/>
          <w:szCs w:val="20"/>
          <w:lang w:val="en-GB" w:eastAsia="hr-HR"/>
        </w:rPr>
        <w:t>Stability Mechanism and Single Resolution Fund - it fell somewhat into the background – d</w:t>
      </w:r>
      <w:r w:rsidR="00E273BD" w:rsidRPr="00697C07">
        <w:rPr>
          <w:rFonts w:ascii="Times New Roman" w:eastAsia="Times New Roman" w:hAnsi="Times New Roman" w:cs="Times New Roman"/>
          <w:sz w:val="20"/>
          <w:szCs w:val="20"/>
          <w:lang w:val="en-GB" w:eastAsia="hr-HR"/>
        </w:rPr>
        <w:t>ue</w:t>
      </w:r>
      <w:r w:rsidR="00BB4418" w:rsidRPr="00697C07">
        <w:rPr>
          <w:rFonts w:ascii="Times New Roman" w:eastAsia="Times New Roman" w:hAnsi="Times New Roman" w:cs="Times New Roman"/>
          <w:sz w:val="20"/>
          <w:szCs w:val="20"/>
          <w:lang w:val="en-GB" w:eastAsia="hr-HR"/>
        </w:rPr>
        <w:t xml:space="preserve"> to </w:t>
      </w:r>
      <w:r w:rsidR="00ED0FBD">
        <w:rPr>
          <w:rFonts w:ascii="Times New Roman" w:eastAsia="Times New Roman" w:hAnsi="Times New Roman" w:cs="Times New Roman"/>
          <w:sz w:val="20"/>
          <w:szCs w:val="20"/>
          <w:lang w:val="en-GB" w:eastAsia="hr-HR"/>
        </w:rPr>
        <w:t>Covid-19</w:t>
      </w:r>
      <w:r w:rsidR="00F53127">
        <w:rPr>
          <w:rFonts w:ascii="Times New Roman" w:hAnsi="Times New Roman" w:cs="Times New Roman"/>
          <w:sz w:val="20"/>
          <w:szCs w:val="20"/>
          <w:lang w:val="en-GB"/>
        </w:rPr>
        <w:t xml:space="preserve"> </w:t>
      </w:r>
      <w:r w:rsidR="00E07930" w:rsidRPr="00697C07">
        <w:rPr>
          <w:rFonts w:ascii="Times New Roman" w:hAnsi="Times New Roman" w:cs="Times New Roman"/>
          <w:sz w:val="20"/>
          <w:szCs w:val="20"/>
          <w:lang w:val="en-GB"/>
        </w:rPr>
        <w:t>which took attention throughout 2020, and the EC had to quickly adopt the recovery plan described in the next chapter. What awaits us?</w:t>
      </w:r>
      <w:r w:rsidR="00BB4418" w:rsidRPr="00697C07">
        <w:rPr>
          <w:rFonts w:ascii="Times New Roman" w:hAnsi="Times New Roman" w:cs="Times New Roman"/>
          <w:sz w:val="20"/>
          <w:szCs w:val="20"/>
          <w:lang w:val="en-GB"/>
        </w:rPr>
        <w:t xml:space="preserve"> </w:t>
      </w:r>
      <w:r w:rsidR="007D2A4B" w:rsidRPr="00697C07">
        <w:rPr>
          <w:rFonts w:ascii="Times New Roman" w:hAnsi="Times New Roman" w:cs="Times New Roman"/>
          <w:sz w:val="20"/>
          <w:szCs w:val="20"/>
          <w:lang w:val="en-GB"/>
        </w:rPr>
        <w:t xml:space="preserve">„Whereas the Banking Union aims to make the European banking system safer and to protect public money, the Capital Markets Union aims to increase the competitiveness and profitability of the EU finance industry (hence the support from the financial industry) by developing non-bank lending, or „shadow </w:t>
      </w:r>
      <w:r w:rsidR="00E273BD" w:rsidRPr="00697C07">
        <w:rPr>
          <w:rFonts w:ascii="Times New Roman" w:hAnsi="Times New Roman" w:cs="Times New Roman"/>
          <w:sz w:val="20"/>
          <w:szCs w:val="20"/>
          <w:lang w:val="en-GB"/>
        </w:rPr>
        <w:t>banking “in</w:t>
      </w:r>
      <w:r w:rsidR="007D2A4B" w:rsidRPr="00697C07">
        <w:rPr>
          <w:rFonts w:ascii="Times New Roman" w:hAnsi="Times New Roman" w:cs="Times New Roman"/>
          <w:sz w:val="20"/>
          <w:szCs w:val="20"/>
          <w:lang w:val="en-GB"/>
        </w:rPr>
        <w:t xml:space="preserve"> Europe (</w:t>
      </w:r>
      <w:r w:rsidR="004D269E">
        <w:rPr>
          <w:rFonts w:ascii="Times New Roman" w:hAnsi="Times New Roman" w:cs="Times New Roman"/>
          <w:sz w:val="20"/>
          <w:szCs w:val="20"/>
          <w:lang w:val="en-GB"/>
        </w:rPr>
        <w:t>The Finance Watch Team</w:t>
      </w:r>
      <w:r w:rsidR="007D2A4B" w:rsidRPr="00697C07">
        <w:rPr>
          <w:rFonts w:ascii="Times New Roman" w:hAnsi="Times New Roman" w:cs="Times New Roman"/>
          <w:sz w:val="20"/>
          <w:szCs w:val="20"/>
          <w:lang w:val="en-GB"/>
        </w:rPr>
        <w:t>,</w:t>
      </w:r>
      <w:r w:rsidR="004D269E">
        <w:rPr>
          <w:rFonts w:ascii="Times New Roman" w:hAnsi="Times New Roman" w:cs="Times New Roman"/>
          <w:sz w:val="20"/>
          <w:szCs w:val="20"/>
          <w:lang w:val="en-GB"/>
        </w:rPr>
        <w:t xml:space="preserve"> </w:t>
      </w:r>
      <w:r w:rsidR="007D2A4B" w:rsidRPr="00697C07">
        <w:rPr>
          <w:rFonts w:ascii="Times New Roman" w:hAnsi="Times New Roman" w:cs="Times New Roman"/>
          <w:sz w:val="20"/>
          <w:szCs w:val="20"/>
          <w:lang w:val="en-GB"/>
        </w:rPr>
        <w:t xml:space="preserve">2015). </w:t>
      </w:r>
      <w:r w:rsidR="004D269E">
        <w:rPr>
          <w:rFonts w:ascii="Times New Roman" w:hAnsi="Times New Roman" w:cs="Times New Roman"/>
          <w:sz w:val="20"/>
          <w:szCs w:val="20"/>
          <w:lang w:val="en-GB"/>
        </w:rPr>
        <w:t>Furthermore, t</w:t>
      </w:r>
      <w:r w:rsidR="007D2A4B" w:rsidRPr="00697C07">
        <w:rPr>
          <w:rFonts w:ascii="Times New Roman" w:hAnsi="Times New Roman" w:cs="Times New Roman"/>
          <w:sz w:val="20"/>
          <w:szCs w:val="20"/>
          <w:lang w:val="en-GB"/>
        </w:rPr>
        <w:t>he negotiations between the USA and t</w:t>
      </w:r>
      <w:r w:rsidR="00E273BD" w:rsidRPr="00697C07">
        <w:rPr>
          <w:rFonts w:ascii="Times New Roman" w:hAnsi="Times New Roman" w:cs="Times New Roman"/>
          <w:sz w:val="20"/>
          <w:szCs w:val="20"/>
          <w:lang w:val="en-GB"/>
        </w:rPr>
        <w:t>he</w:t>
      </w:r>
      <w:r w:rsidR="007D2A4B" w:rsidRPr="00697C07">
        <w:rPr>
          <w:rFonts w:ascii="Times New Roman" w:hAnsi="Times New Roman" w:cs="Times New Roman"/>
          <w:sz w:val="20"/>
          <w:szCs w:val="20"/>
          <w:lang w:val="en-GB"/>
        </w:rPr>
        <w:t xml:space="preserve"> EU on the Transatlantic Free Trade Area (TAFTA) include a chapter that seeks to increase financial deregulation. (Wallach, </w:t>
      </w:r>
      <w:r w:rsidR="00BF788D" w:rsidRPr="00697C07">
        <w:rPr>
          <w:rFonts w:ascii="Times New Roman" w:hAnsi="Times New Roman" w:cs="Times New Roman"/>
          <w:sz w:val="20"/>
          <w:szCs w:val="20"/>
          <w:lang w:val="en-GB"/>
        </w:rPr>
        <w:t xml:space="preserve">2013). </w:t>
      </w:r>
    </w:p>
    <w:p w14:paraId="442EF987" w14:textId="165E0DD4" w:rsidR="003526E0" w:rsidRPr="00F905FA" w:rsidRDefault="00F905FA" w:rsidP="003526E0">
      <w:pPr>
        <w:jc w:val="both"/>
        <w:rPr>
          <w:rFonts w:ascii="Times New Roman" w:hAnsi="Times New Roman" w:cs="Times New Roman"/>
          <w:sz w:val="24"/>
          <w:szCs w:val="24"/>
          <w:lang w:val="en-GB"/>
        </w:rPr>
      </w:pPr>
      <w:r w:rsidRPr="00F905FA">
        <w:rPr>
          <w:rFonts w:ascii="Times New Roman" w:hAnsi="Times New Roman" w:cs="Times New Roman"/>
          <w:sz w:val="24"/>
          <w:szCs w:val="24"/>
          <w:lang w:val="en-GB"/>
        </w:rPr>
        <w:t xml:space="preserve">6   </w:t>
      </w:r>
      <w:r w:rsidR="003526E0" w:rsidRPr="00F905FA">
        <w:rPr>
          <w:rFonts w:ascii="Times New Roman" w:hAnsi="Times New Roman" w:cs="Times New Roman"/>
          <w:sz w:val="24"/>
          <w:szCs w:val="24"/>
          <w:lang w:val="en-GB"/>
        </w:rPr>
        <w:t>Results and discussion</w:t>
      </w:r>
    </w:p>
    <w:p w14:paraId="59277D98" w14:textId="4094BB98" w:rsidR="00E07930" w:rsidRPr="00697C07" w:rsidRDefault="00E07930" w:rsidP="00E7694F">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Financial regulation over the last 100 years has ranged from chaos to an order lurking in tighter regulation. The financial industry has continuously advocated for as little regulation as possible in order to make a profit by longing for a completely free market. Scientists and politicians are divided into those who lean towards tighter regulation (GSA), those who call for a middle ground if it is possible to maintain it, and those who advocate full deregulation (GLBA). There seem to be louder voices advocating for a ring-fencing model that may sound good in theory, and it is being pushed through by countries representing universal banking. This model, however, can hide many pitfalls because the real question is not whether we need regulation - but the question - will we stick to what it prescribes or will financial industry lobbyists again 'push water to their mill' in a way that looks on paper that </w:t>
      </w:r>
      <w:r w:rsidR="00710A8D" w:rsidRPr="00697C07">
        <w:rPr>
          <w:rFonts w:ascii="Times New Roman" w:hAnsi="Times New Roman" w:cs="Times New Roman"/>
          <w:sz w:val="20"/>
          <w:szCs w:val="20"/>
          <w:lang w:val="en-GB"/>
        </w:rPr>
        <w:t>the system</w:t>
      </w:r>
      <w:r w:rsidRPr="00697C07">
        <w:rPr>
          <w:rFonts w:ascii="Times New Roman" w:hAnsi="Times New Roman" w:cs="Times New Roman"/>
          <w:sz w:val="20"/>
          <w:szCs w:val="20"/>
          <w:lang w:val="en-GB"/>
        </w:rPr>
        <w:t xml:space="preserve"> </w:t>
      </w:r>
      <w:r w:rsidR="00710A8D" w:rsidRPr="00697C07">
        <w:rPr>
          <w:rFonts w:ascii="Times New Roman" w:hAnsi="Times New Roman" w:cs="Times New Roman"/>
          <w:sz w:val="20"/>
          <w:szCs w:val="20"/>
          <w:lang w:val="en-GB"/>
        </w:rPr>
        <w:t>adheres</w:t>
      </w:r>
      <w:r w:rsidRPr="00697C07">
        <w:rPr>
          <w:rFonts w:ascii="Times New Roman" w:hAnsi="Times New Roman" w:cs="Times New Roman"/>
          <w:sz w:val="20"/>
          <w:szCs w:val="20"/>
          <w:lang w:val="en-GB"/>
        </w:rPr>
        <w:t xml:space="preserve"> to the regulation, </w:t>
      </w:r>
      <w:r w:rsidR="004A69C4" w:rsidRPr="00697C07">
        <w:rPr>
          <w:rFonts w:ascii="Times New Roman" w:hAnsi="Times New Roman" w:cs="Times New Roman"/>
          <w:sz w:val="20"/>
          <w:szCs w:val="20"/>
          <w:lang w:val="en-GB"/>
        </w:rPr>
        <w:t>but it wouldn’t be the case</w:t>
      </w:r>
      <w:r w:rsidRPr="00697C07">
        <w:rPr>
          <w:rFonts w:ascii="Times New Roman" w:hAnsi="Times New Roman" w:cs="Times New Roman"/>
          <w:sz w:val="20"/>
          <w:szCs w:val="20"/>
          <w:lang w:val="en-GB"/>
        </w:rPr>
        <w:t xml:space="preserve"> because there is always a way to circumvent the regulation. Financial globalization requires a universal approach to the regulation of the banking industry given that capital has the property of moving where it is more </w:t>
      </w:r>
      <w:r w:rsidR="00E273BD" w:rsidRPr="00697C07">
        <w:rPr>
          <w:rFonts w:ascii="Times New Roman" w:hAnsi="Times New Roman" w:cs="Times New Roman"/>
          <w:sz w:val="20"/>
          <w:szCs w:val="20"/>
          <w:lang w:val="en-GB"/>
        </w:rPr>
        <w:t>favourable</w:t>
      </w:r>
      <w:r w:rsidRPr="00697C07">
        <w:rPr>
          <w:rFonts w:ascii="Times New Roman" w:hAnsi="Times New Roman" w:cs="Times New Roman"/>
          <w:sz w:val="20"/>
          <w:szCs w:val="20"/>
          <w:lang w:val="en-GB"/>
        </w:rPr>
        <w:t xml:space="preserve"> to it and therefore regulatory attempts in one country can be circumvented in another more regulatory relaxed country. Offshore oases are spread across the globe, and this will not be resolved without significant effort. </w:t>
      </w:r>
      <w:r w:rsidR="00272220" w:rsidRPr="00272220">
        <w:rPr>
          <w:rFonts w:ascii="Times New Roman" w:hAnsi="Times New Roman" w:cs="Times New Roman"/>
          <w:sz w:val="20"/>
          <w:szCs w:val="20"/>
          <w:lang w:val="en-GB"/>
        </w:rPr>
        <w:t>As the financial system is becoming more complex, the increasing frequency of failures would seem to follow from chaos theory’s concept of determini</w:t>
      </w:r>
      <w:r w:rsidR="00315780">
        <w:rPr>
          <w:rFonts w:ascii="Times New Roman" w:hAnsi="Times New Roman" w:cs="Times New Roman"/>
          <w:sz w:val="20"/>
          <w:szCs w:val="20"/>
          <w:lang w:val="en-GB"/>
        </w:rPr>
        <w:t xml:space="preserve">stic chaos in dynamic systems, </w:t>
      </w:r>
      <w:r w:rsidR="00272220" w:rsidRPr="00272220">
        <w:rPr>
          <w:rFonts w:ascii="Times New Roman" w:hAnsi="Times New Roman" w:cs="Times New Roman"/>
          <w:sz w:val="20"/>
          <w:szCs w:val="20"/>
          <w:lang w:val="en-GB"/>
        </w:rPr>
        <w:t xml:space="preserve">which recognizes that the more complex the system, the more likely </w:t>
      </w:r>
      <w:r w:rsidR="00315780">
        <w:rPr>
          <w:rFonts w:ascii="Times New Roman" w:hAnsi="Times New Roman" w:cs="Times New Roman"/>
          <w:sz w:val="20"/>
          <w:szCs w:val="20"/>
          <w:lang w:val="en-GB"/>
        </w:rPr>
        <w:t xml:space="preserve">it is that failures will occur </w:t>
      </w:r>
      <w:proofErr w:type="gramStart"/>
      <w:r w:rsidR="00315780">
        <w:rPr>
          <w:rFonts w:ascii="Times New Roman" w:hAnsi="Times New Roman" w:cs="Times New Roman"/>
          <w:sz w:val="20"/>
          <w:szCs w:val="20"/>
          <w:lang w:val="en-GB"/>
        </w:rPr>
        <w:t xml:space="preserve">as  </w:t>
      </w:r>
      <w:proofErr w:type="spellStart"/>
      <w:r w:rsidR="00315780">
        <w:rPr>
          <w:rFonts w:ascii="Times New Roman" w:hAnsi="Times New Roman" w:cs="Times New Roman"/>
          <w:sz w:val="20"/>
          <w:szCs w:val="20"/>
        </w:rPr>
        <w:t>Schwarcz</w:t>
      </w:r>
      <w:proofErr w:type="spellEnd"/>
      <w:proofErr w:type="gramEnd"/>
      <w:r w:rsidR="00315780">
        <w:rPr>
          <w:rFonts w:ascii="Times New Roman" w:hAnsi="Times New Roman" w:cs="Times New Roman"/>
          <w:sz w:val="20"/>
          <w:szCs w:val="20"/>
        </w:rPr>
        <w:t xml:space="preserve">,  2012, </w:t>
      </w:r>
      <w:proofErr w:type="spellStart"/>
      <w:r w:rsidR="00315780">
        <w:rPr>
          <w:rFonts w:ascii="Times New Roman" w:hAnsi="Times New Roman" w:cs="Times New Roman"/>
          <w:sz w:val="20"/>
          <w:szCs w:val="20"/>
        </w:rPr>
        <w:t>point</w:t>
      </w:r>
      <w:proofErr w:type="spellEnd"/>
      <w:r w:rsidR="00315780">
        <w:rPr>
          <w:rFonts w:ascii="Times New Roman" w:hAnsi="Times New Roman" w:cs="Times New Roman"/>
          <w:sz w:val="20"/>
          <w:szCs w:val="20"/>
        </w:rPr>
        <w:t xml:space="preserve"> </w:t>
      </w:r>
      <w:proofErr w:type="spellStart"/>
      <w:r w:rsidR="00315780">
        <w:rPr>
          <w:rFonts w:ascii="Times New Roman" w:hAnsi="Times New Roman" w:cs="Times New Roman"/>
          <w:sz w:val="20"/>
          <w:szCs w:val="20"/>
        </w:rPr>
        <w:t>out</w:t>
      </w:r>
      <w:proofErr w:type="spellEnd"/>
      <w:r w:rsidR="00315780">
        <w:rPr>
          <w:rFonts w:ascii="Times New Roman" w:hAnsi="Times New Roman" w:cs="Times New Roman"/>
          <w:sz w:val="20"/>
          <w:szCs w:val="20"/>
        </w:rPr>
        <w:t xml:space="preserve">. </w:t>
      </w:r>
      <w:r w:rsidRPr="00697C07">
        <w:rPr>
          <w:rFonts w:ascii="Times New Roman" w:hAnsi="Times New Roman" w:cs="Times New Roman"/>
          <w:sz w:val="20"/>
          <w:szCs w:val="20"/>
          <w:lang w:val="en-GB"/>
        </w:rPr>
        <w:t xml:space="preserve">The American financial industry has gone the furthest in regulating the financial industry because it is also understandable given that financial innovations are largely an American invention. </w:t>
      </w:r>
      <w:r w:rsidR="00315780">
        <w:rPr>
          <w:rFonts w:ascii="Times New Roman" w:hAnsi="Times New Roman" w:cs="Times New Roman"/>
          <w:sz w:val="20"/>
          <w:szCs w:val="20"/>
          <w:lang w:val="en-GB"/>
        </w:rPr>
        <w:t>Stiglitz (2009)</w:t>
      </w:r>
      <w:r w:rsidR="008B5D9B">
        <w:rPr>
          <w:rFonts w:ascii="Times New Roman" w:hAnsi="Times New Roman" w:cs="Times New Roman"/>
          <w:sz w:val="20"/>
          <w:szCs w:val="20"/>
          <w:lang w:val="en-GB"/>
        </w:rPr>
        <w:t xml:space="preserve"> said</w:t>
      </w:r>
      <w:r w:rsidR="00315780" w:rsidRPr="00315780">
        <w:rPr>
          <w:rFonts w:ascii="Times New Roman" w:hAnsi="Times New Roman" w:cs="Times New Roman"/>
          <w:sz w:val="20"/>
          <w:szCs w:val="20"/>
          <w:lang w:val="en-GB"/>
        </w:rPr>
        <w:t xml:space="preserve"> that a </w:t>
      </w:r>
      <w:r w:rsidR="008B5D9B">
        <w:rPr>
          <w:rFonts w:ascii="Times New Roman" w:hAnsi="Times New Roman" w:cs="Times New Roman"/>
          <w:sz w:val="20"/>
          <w:szCs w:val="20"/>
          <w:lang w:val="en-GB"/>
        </w:rPr>
        <w:t>well-designed regulatory system</w:t>
      </w:r>
      <w:r w:rsidR="00315780" w:rsidRPr="00315780">
        <w:rPr>
          <w:rFonts w:ascii="Times New Roman" w:hAnsi="Times New Roman" w:cs="Times New Roman"/>
          <w:sz w:val="20"/>
          <w:szCs w:val="20"/>
          <w:lang w:val="en-GB"/>
        </w:rPr>
        <w:t xml:space="preserve"> will be more competitive and more innovative—with more of the innovative effort directed at innovations which will enhanc</w:t>
      </w:r>
      <w:r w:rsidR="008B5D9B">
        <w:rPr>
          <w:rFonts w:ascii="Times New Roman" w:hAnsi="Times New Roman" w:cs="Times New Roman"/>
          <w:sz w:val="20"/>
          <w:szCs w:val="20"/>
          <w:lang w:val="en-GB"/>
        </w:rPr>
        <w:t xml:space="preserve">e the productivity of </w:t>
      </w:r>
      <w:r w:rsidR="00315780" w:rsidRPr="00315780">
        <w:rPr>
          <w:rFonts w:ascii="Times New Roman" w:hAnsi="Times New Roman" w:cs="Times New Roman"/>
          <w:sz w:val="20"/>
          <w:szCs w:val="20"/>
          <w:lang w:val="en-GB"/>
        </w:rPr>
        <w:t>firms and the well-being, includin</w:t>
      </w:r>
      <w:r w:rsidR="008B5D9B">
        <w:rPr>
          <w:rFonts w:ascii="Times New Roman" w:hAnsi="Times New Roman" w:cs="Times New Roman"/>
          <w:sz w:val="20"/>
          <w:szCs w:val="20"/>
          <w:lang w:val="en-GB"/>
        </w:rPr>
        <w:t xml:space="preserve">g the economic security, of all </w:t>
      </w:r>
      <w:r w:rsidR="00315780" w:rsidRPr="00315780">
        <w:rPr>
          <w:rFonts w:ascii="Times New Roman" w:hAnsi="Times New Roman" w:cs="Times New Roman"/>
          <w:sz w:val="20"/>
          <w:szCs w:val="20"/>
          <w:lang w:val="en-GB"/>
        </w:rPr>
        <w:t>citizens.</w:t>
      </w:r>
      <w:r w:rsidR="008B5D9B">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Volcker-style regulation tries to adapt both the EU and the UK with certain modifications. The EU has found itself at a crossroads over the last 15 years - towards further reintegration or further integration. The first time in 2008 w</w:t>
      </w:r>
      <w:r w:rsidR="004D269E">
        <w:rPr>
          <w:rFonts w:ascii="Times New Roman" w:hAnsi="Times New Roman" w:cs="Times New Roman"/>
          <w:sz w:val="20"/>
          <w:szCs w:val="20"/>
          <w:lang w:val="en-GB"/>
        </w:rPr>
        <w:t>hen the 1</w:t>
      </w:r>
      <w:r w:rsidR="004D269E" w:rsidRPr="004D269E">
        <w:rPr>
          <w:rFonts w:ascii="Times New Roman" w:hAnsi="Times New Roman" w:cs="Times New Roman"/>
          <w:sz w:val="20"/>
          <w:szCs w:val="20"/>
          <w:vertAlign w:val="superscript"/>
          <w:lang w:val="en-GB"/>
        </w:rPr>
        <w:t>st</w:t>
      </w:r>
      <w:r w:rsidR="004D269E">
        <w:rPr>
          <w:rFonts w:ascii="Times New Roman" w:hAnsi="Times New Roman" w:cs="Times New Roman"/>
          <w:sz w:val="20"/>
          <w:szCs w:val="20"/>
          <w:lang w:val="en-GB"/>
        </w:rPr>
        <w:t xml:space="preserve"> World Crisis </w:t>
      </w:r>
      <w:r w:rsidRPr="00697C07">
        <w:rPr>
          <w:rFonts w:ascii="Times New Roman" w:hAnsi="Times New Roman" w:cs="Times New Roman"/>
          <w:sz w:val="20"/>
          <w:szCs w:val="20"/>
          <w:lang w:val="en-GB"/>
        </w:rPr>
        <w:t xml:space="preserve">threatened the euro, the second time for the exit of GB from the </w:t>
      </w:r>
      <w:r w:rsidRPr="00697C07">
        <w:rPr>
          <w:rFonts w:ascii="Times New Roman" w:hAnsi="Times New Roman" w:cs="Times New Roman"/>
          <w:sz w:val="20"/>
          <w:szCs w:val="20"/>
          <w:lang w:val="en-GB"/>
        </w:rPr>
        <w:lastRenderedPageBreak/>
        <w:t xml:space="preserve">EU, and the third time for </w:t>
      </w:r>
      <w:r w:rsidR="00ED0FBD">
        <w:rPr>
          <w:rFonts w:ascii="Times New Roman" w:hAnsi="Times New Roman" w:cs="Times New Roman"/>
          <w:sz w:val="20"/>
          <w:szCs w:val="20"/>
          <w:lang w:val="en-GB"/>
        </w:rPr>
        <w:t>Covid-19</w:t>
      </w:r>
      <w:r w:rsidRPr="00697C07">
        <w:rPr>
          <w:rFonts w:ascii="Times New Roman" w:hAnsi="Times New Roman" w:cs="Times New Roman"/>
          <w:sz w:val="20"/>
          <w:szCs w:val="20"/>
          <w:lang w:val="en-GB"/>
        </w:rPr>
        <w:t xml:space="preserve">. Each time the EU came out even more ready to strengthen integration, and for </w:t>
      </w:r>
      <w:r w:rsidR="00ED0FBD">
        <w:rPr>
          <w:rFonts w:ascii="Times New Roman" w:hAnsi="Times New Roman" w:cs="Times New Roman"/>
          <w:sz w:val="20"/>
          <w:szCs w:val="20"/>
          <w:lang w:val="en-GB"/>
        </w:rPr>
        <w:t>Covid-19</w:t>
      </w:r>
      <w:r w:rsidRPr="00697C07">
        <w:rPr>
          <w:rFonts w:ascii="Times New Roman" w:hAnsi="Times New Roman" w:cs="Times New Roman"/>
          <w:sz w:val="20"/>
          <w:szCs w:val="20"/>
          <w:lang w:val="en-GB"/>
        </w:rPr>
        <w:t xml:space="preserve"> released significant funds for recovery of all EU member states. </w:t>
      </w:r>
    </w:p>
    <w:p w14:paraId="5658F647" w14:textId="3E5E2079" w:rsidR="009F2B2B" w:rsidRDefault="00E07930" w:rsidP="00C63F9F">
      <w:pPr>
        <w:jc w:val="both"/>
        <w:rPr>
          <w:rFonts w:ascii="Times New Roman" w:eastAsia="Times New Roman" w:hAnsi="Times New Roman" w:cs="Times New Roman"/>
          <w:sz w:val="20"/>
          <w:szCs w:val="20"/>
          <w:lang w:val="en-GB" w:eastAsia="hr-HR"/>
        </w:rPr>
      </w:pPr>
      <w:r w:rsidRPr="00697C07">
        <w:rPr>
          <w:rFonts w:ascii="Times New Roman" w:hAnsi="Times New Roman" w:cs="Times New Roman"/>
          <w:sz w:val="20"/>
          <w:szCs w:val="20"/>
          <w:lang w:val="en-GB"/>
        </w:rPr>
        <w:t xml:space="preserve">Voices are heard about the need to finish what EU </w:t>
      </w:r>
      <w:r w:rsidR="004A69C4" w:rsidRPr="00697C07">
        <w:rPr>
          <w:rFonts w:ascii="Times New Roman" w:hAnsi="Times New Roman" w:cs="Times New Roman"/>
          <w:sz w:val="20"/>
          <w:szCs w:val="20"/>
          <w:lang w:val="en-GB"/>
        </w:rPr>
        <w:t>started</w:t>
      </w:r>
      <w:r w:rsidRPr="00697C07">
        <w:rPr>
          <w:rFonts w:ascii="Times New Roman" w:hAnsi="Times New Roman" w:cs="Times New Roman"/>
          <w:sz w:val="20"/>
          <w:szCs w:val="20"/>
          <w:lang w:val="en-GB"/>
        </w:rPr>
        <w:t xml:space="preserve"> in the steps to full </w:t>
      </w:r>
      <w:r w:rsidR="00BF788D" w:rsidRPr="00697C07">
        <w:rPr>
          <w:rFonts w:ascii="Times New Roman" w:hAnsi="Times New Roman" w:cs="Times New Roman"/>
          <w:sz w:val="20"/>
          <w:szCs w:val="20"/>
          <w:lang w:val="en-GB"/>
        </w:rPr>
        <w:t xml:space="preserve">Banking Union, move forward </w:t>
      </w:r>
      <w:r w:rsidR="00BF788D" w:rsidRPr="00697C07">
        <w:rPr>
          <w:rFonts w:ascii="Times New Roman" w:eastAsia="Times New Roman" w:hAnsi="Times New Roman" w:cs="Times New Roman"/>
          <w:sz w:val="20"/>
          <w:szCs w:val="20"/>
          <w:lang w:val="en-GB" w:eastAsia="hr-HR"/>
        </w:rPr>
        <w:t>with the reform of the European Stability Mechanism and to establish the common backstop to the Single Resolution Fund – which will enter into force at the beginning of next year – 2022 – earlier than expected.</w:t>
      </w:r>
      <w:r w:rsidR="003526E0" w:rsidRPr="00697C07">
        <w:rPr>
          <w:rFonts w:ascii="Times New Roman" w:eastAsia="Times New Roman" w:hAnsi="Times New Roman" w:cs="Times New Roman"/>
          <w:sz w:val="20"/>
          <w:szCs w:val="20"/>
          <w:lang w:val="en-GB" w:eastAsia="hr-HR"/>
        </w:rPr>
        <w:t xml:space="preserve"> But We are still missing key elements: the ‘third pillar’ of the Banking Union, namely a European deposit insurance scheme (EDIS), as well as a credible solution for liquidity in resolution. These are essential to protect depositors across the whole of the Banking Union and safeguard financial stability. Without this third pillar, we have single supervision and single resolution, but fragmented national deposit guarantee schemes – undermining the whole project. </w:t>
      </w:r>
      <w:r w:rsidR="00C63F9F" w:rsidRPr="00697C07">
        <w:rPr>
          <w:rFonts w:ascii="Times New Roman" w:eastAsia="Times New Roman" w:hAnsi="Times New Roman" w:cs="Times New Roman"/>
          <w:sz w:val="20"/>
          <w:szCs w:val="20"/>
          <w:lang w:val="en-GB" w:eastAsia="hr-HR"/>
        </w:rPr>
        <w:t xml:space="preserve">It is important to do the regulation to the end and revive the Banking Union because </w:t>
      </w:r>
      <w:r w:rsidR="00CB5FF2" w:rsidRPr="00697C07">
        <w:rPr>
          <w:rFonts w:ascii="Times New Roman" w:eastAsia="Times New Roman" w:hAnsi="Times New Roman" w:cs="Times New Roman"/>
          <w:sz w:val="20"/>
          <w:szCs w:val="20"/>
          <w:lang w:val="en-GB" w:eastAsia="hr-HR"/>
        </w:rPr>
        <w:t>EU/EEA are overbanked. In the term of cross-border financial integration, the EU/EEA system has the worst of both worlds: too integrated to be immune of contagion effect, but too fragmented to have the resilience that would come with genuine system-wide ris</w:t>
      </w:r>
      <w:r w:rsidR="00904BB0" w:rsidRPr="00697C07">
        <w:rPr>
          <w:rFonts w:ascii="Times New Roman" w:eastAsia="Times New Roman" w:hAnsi="Times New Roman" w:cs="Times New Roman"/>
          <w:sz w:val="20"/>
          <w:szCs w:val="20"/>
          <w:lang w:val="en-GB" w:eastAsia="hr-HR"/>
        </w:rPr>
        <w:t>k-sharing.</w:t>
      </w:r>
      <w:r w:rsidR="00CB5FF2" w:rsidRPr="00697C07">
        <w:rPr>
          <w:rFonts w:ascii="Times New Roman" w:eastAsia="Times New Roman" w:hAnsi="Times New Roman" w:cs="Times New Roman"/>
          <w:sz w:val="20"/>
          <w:szCs w:val="20"/>
          <w:lang w:val="en-GB" w:eastAsia="hr-HR"/>
        </w:rPr>
        <w:t xml:space="preserve"> </w:t>
      </w:r>
      <w:r w:rsidR="009F2B2B">
        <w:rPr>
          <w:rFonts w:ascii="Times New Roman" w:eastAsia="Times New Roman" w:hAnsi="Times New Roman" w:cs="Times New Roman"/>
          <w:sz w:val="20"/>
          <w:szCs w:val="20"/>
          <w:lang w:val="en-GB" w:eastAsia="hr-HR"/>
        </w:rPr>
        <w:t xml:space="preserve">As </w:t>
      </w:r>
      <w:proofErr w:type="spellStart"/>
      <w:r w:rsidR="009F2B2B">
        <w:rPr>
          <w:rFonts w:ascii="Times New Roman" w:eastAsia="Times New Roman" w:hAnsi="Times New Roman" w:cs="Times New Roman"/>
          <w:sz w:val="20"/>
          <w:szCs w:val="20"/>
          <w:lang w:val="en-GB" w:eastAsia="hr-HR"/>
        </w:rPr>
        <w:t>Kühnhardt</w:t>
      </w:r>
      <w:proofErr w:type="spellEnd"/>
      <w:r w:rsidR="009F2B2B">
        <w:rPr>
          <w:rFonts w:ascii="Times New Roman" w:eastAsia="Times New Roman" w:hAnsi="Times New Roman" w:cs="Times New Roman"/>
          <w:sz w:val="20"/>
          <w:szCs w:val="20"/>
          <w:lang w:val="en-GB" w:eastAsia="hr-HR"/>
        </w:rPr>
        <w:t xml:space="preserve"> (2011)</w:t>
      </w:r>
      <w:r w:rsidR="009F2B2B" w:rsidRPr="009F2B2B">
        <w:rPr>
          <w:rFonts w:ascii="Times New Roman" w:eastAsia="Times New Roman" w:hAnsi="Times New Roman" w:cs="Times New Roman"/>
          <w:sz w:val="20"/>
          <w:szCs w:val="20"/>
          <w:lang w:val="en-GB" w:eastAsia="hr-HR"/>
        </w:rPr>
        <w:t xml:space="preserve"> </w:t>
      </w:r>
      <w:r w:rsidR="009F2B2B">
        <w:rPr>
          <w:rFonts w:ascii="Times New Roman" w:eastAsia="Times New Roman" w:hAnsi="Times New Roman" w:cs="Times New Roman"/>
          <w:sz w:val="20"/>
          <w:szCs w:val="20"/>
          <w:lang w:val="en-GB" w:eastAsia="hr-HR"/>
        </w:rPr>
        <w:t xml:space="preserve">cited by Eckert (2021) </w:t>
      </w:r>
      <w:r w:rsidR="009F2B2B" w:rsidRPr="009F2B2B">
        <w:rPr>
          <w:rFonts w:ascii="Times New Roman" w:eastAsia="Times New Roman" w:hAnsi="Times New Roman" w:cs="Times New Roman"/>
          <w:sz w:val="20"/>
          <w:szCs w:val="20"/>
          <w:lang w:val="en-GB" w:eastAsia="hr-HR"/>
        </w:rPr>
        <w:t>wrote of EU crises, a useful distinction can be made between crises “of” integration, which are potentially existential crises for the Union, and crises “in” integration, which relate to difficulties in specific policy areas.</w:t>
      </w:r>
    </w:p>
    <w:p w14:paraId="5B0A09FB" w14:textId="2D4F4D65" w:rsidR="00904BB0" w:rsidRPr="00697C07" w:rsidRDefault="00C63F9F" w:rsidP="00C63F9F">
      <w:pPr>
        <w:jc w:val="both"/>
        <w:rPr>
          <w:rFonts w:ascii="Times New Roman" w:hAnsi="Times New Roman" w:cs="Times New Roman"/>
          <w:sz w:val="20"/>
          <w:szCs w:val="20"/>
          <w:lang w:val="en-GB"/>
        </w:rPr>
      </w:pPr>
      <w:r w:rsidRPr="00697C07">
        <w:rPr>
          <w:rFonts w:ascii="Times New Roman" w:eastAsia="Times New Roman" w:hAnsi="Times New Roman" w:cs="Times New Roman"/>
          <w:sz w:val="20"/>
          <w:szCs w:val="20"/>
          <w:lang w:val="en-GB" w:eastAsia="hr-HR"/>
        </w:rPr>
        <w:t>The most urgent task also is to restore credibility</w:t>
      </w:r>
      <w:r w:rsidR="00904BB0" w:rsidRPr="00697C07">
        <w:rPr>
          <w:rFonts w:ascii="Times New Roman" w:eastAsia="Times New Roman" w:hAnsi="Times New Roman" w:cs="Times New Roman"/>
          <w:sz w:val="20"/>
          <w:szCs w:val="20"/>
          <w:lang w:val="en-GB" w:eastAsia="hr-HR"/>
        </w:rPr>
        <w:t xml:space="preserve"> to European AML</w:t>
      </w:r>
      <w:r w:rsidR="002C7C4E">
        <w:rPr>
          <w:rFonts w:ascii="Times New Roman" w:eastAsia="Times New Roman" w:hAnsi="Times New Roman" w:cs="Times New Roman"/>
          <w:sz w:val="20"/>
          <w:szCs w:val="20"/>
          <w:lang w:val="en-GB" w:eastAsia="hr-HR"/>
        </w:rPr>
        <w:t xml:space="preserve"> (anti-money loundering) policy</w:t>
      </w:r>
      <w:r w:rsidR="00904BB0" w:rsidRPr="00697C07">
        <w:rPr>
          <w:rFonts w:ascii="Times New Roman" w:eastAsia="Times New Roman" w:hAnsi="Times New Roman" w:cs="Times New Roman"/>
          <w:sz w:val="20"/>
          <w:szCs w:val="20"/>
          <w:lang w:val="en-GB" w:eastAsia="hr-HR"/>
        </w:rPr>
        <w:t xml:space="preserve"> (</w:t>
      </w:r>
      <w:proofErr w:type="spellStart"/>
      <w:r w:rsidR="00904BB0" w:rsidRPr="00697C07">
        <w:rPr>
          <w:rFonts w:ascii="Times New Roman" w:eastAsia="Times New Roman" w:hAnsi="Times New Roman" w:cs="Times New Roman"/>
          <w:sz w:val="20"/>
          <w:szCs w:val="20"/>
          <w:lang w:val="en-GB" w:eastAsia="hr-HR"/>
        </w:rPr>
        <w:t>Veron</w:t>
      </w:r>
      <w:proofErr w:type="spellEnd"/>
      <w:r w:rsidR="00904BB0" w:rsidRPr="00697C07">
        <w:rPr>
          <w:rFonts w:ascii="Times New Roman" w:eastAsia="Times New Roman" w:hAnsi="Times New Roman" w:cs="Times New Roman"/>
          <w:sz w:val="20"/>
          <w:szCs w:val="20"/>
          <w:lang w:val="en-GB" w:eastAsia="hr-HR"/>
        </w:rPr>
        <w:t>, 2019)</w:t>
      </w:r>
      <w:r w:rsidR="002C7C4E">
        <w:rPr>
          <w:rFonts w:ascii="Times New Roman" w:eastAsia="Times New Roman" w:hAnsi="Times New Roman" w:cs="Times New Roman"/>
          <w:sz w:val="20"/>
          <w:szCs w:val="20"/>
          <w:lang w:val="en-GB" w:eastAsia="hr-HR"/>
        </w:rPr>
        <w:t xml:space="preserve">. As </w:t>
      </w:r>
      <w:proofErr w:type="spellStart"/>
      <w:r w:rsidR="002C7C4E">
        <w:rPr>
          <w:rFonts w:ascii="Times New Roman" w:eastAsia="Times New Roman" w:hAnsi="Times New Roman" w:cs="Times New Roman"/>
          <w:sz w:val="20"/>
          <w:szCs w:val="20"/>
          <w:lang w:val="en-GB" w:eastAsia="hr-HR"/>
        </w:rPr>
        <w:t>Krstić</w:t>
      </w:r>
      <w:proofErr w:type="spellEnd"/>
      <w:r w:rsidR="002C7C4E">
        <w:rPr>
          <w:rFonts w:ascii="Times New Roman" w:eastAsia="Times New Roman" w:hAnsi="Times New Roman" w:cs="Times New Roman"/>
          <w:sz w:val="20"/>
          <w:szCs w:val="20"/>
          <w:lang w:val="en-GB" w:eastAsia="hr-HR"/>
        </w:rPr>
        <w:t xml:space="preserve"> et al (2020) claimed members of society should be properly educated to build sustainable financial system and economy in general.</w:t>
      </w:r>
    </w:p>
    <w:p w14:paraId="2B2DD341" w14:textId="35A58437" w:rsidR="00904BB0" w:rsidRPr="00697C07" w:rsidRDefault="00CB5FF2" w:rsidP="00E7694F">
      <w:pPr>
        <w:jc w:val="both"/>
        <w:rPr>
          <w:rFonts w:ascii="Times New Roman" w:hAnsi="Times New Roman" w:cs="Times New Roman"/>
          <w:sz w:val="20"/>
          <w:szCs w:val="20"/>
          <w:lang w:val="en-GB"/>
        </w:rPr>
      </w:pPr>
      <w:r w:rsidRPr="00697C07">
        <w:rPr>
          <w:rFonts w:ascii="Times New Roman" w:eastAsia="Times New Roman" w:hAnsi="Times New Roman" w:cs="Times New Roman"/>
          <w:sz w:val="20"/>
          <w:szCs w:val="20"/>
          <w:lang w:val="en-GB" w:eastAsia="hr-HR"/>
        </w:rPr>
        <w:t xml:space="preserve">Still some effort in regulation and </w:t>
      </w:r>
      <w:r w:rsidR="00E24235" w:rsidRPr="00697C07">
        <w:rPr>
          <w:rFonts w:ascii="Times New Roman" w:eastAsia="Times New Roman" w:hAnsi="Times New Roman" w:cs="Times New Roman"/>
          <w:sz w:val="20"/>
          <w:szCs w:val="20"/>
          <w:lang w:val="en-GB" w:eastAsia="hr-HR"/>
        </w:rPr>
        <w:t>supervision</w:t>
      </w:r>
      <w:r w:rsidRPr="00697C07">
        <w:rPr>
          <w:rFonts w:ascii="Times New Roman" w:eastAsia="Times New Roman" w:hAnsi="Times New Roman" w:cs="Times New Roman"/>
          <w:sz w:val="20"/>
          <w:szCs w:val="20"/>
          <w:lang w:val="en-GB" w:eastAsia="hr-HR"/>
        </w:rPr>
        <w:t xml:space="preserve"> are obvious. ECB become respected banking supervisor under the Single Sup</w:t>
      </w:r>
      <w:r w:rsidR="004D269E">
        <w:rPr>
          <w:rFonts w:ascii="Times New Roman" w:eastAsia="Times New Roman" w:hAnsi="Times New Roman" w:cs="Times New Roman"/>
          <w:sz w:val="20"/>
          <w:szCs w:val="20"/>
          <w:lang w:val="en-GB" w:eastAsia="hr-HR"/>
        </w:rPr>
        <w:t>ervisory Mechanism (SSM) and</w:t>
      </w:r>
      <w:r w:rsidRPr="00697C07">
        <w:rPr>
          <w:rFonts w:ascii="Times New Roman" w:eastAsia="Times New Roman" w:hAnsi="Times New Roman" w:cs="Times New Roman"/>
          <w:sz w:val="20"/>
          <w:szCs w:val="20"/>
          <w:lang w:val="en-GB" w:eastAsia="hr-HR"/>
        </w:rPr>
        <w:t xml:space="preserve"> Regulation. </w:t>
      </w:r>
      <w:r w:rsidRPr="00697C07">
        <w:rPr>
          <w:rFonts w:ascii="Times New Roman" w:hAnsi="Times New Roman" w:cs="Times New Roman"/>
          <w:sz w:val="20"/>
          <w:szCs w:val="20"/>
          <w:lang w:val="en-GB"/>
        </w:rPr>
        <w:t>Bank Recovery and Resolution Directive (BRRD), 2014/59/EU, meaning the end of using concept bail-out, according to which rescuing banks could initiate a huge amount of using public funds, and introduces concept bail-in according to witch the costs of recovering of the banks should be realised by unsecured creditors and special funds created by the successively payments of the banks. Because of the process, can be expected changes in behaving of deponents and in a business models of the banks in the future (</w:t>
      </w:r>
      <w:proofErr w:type="spellStart"/>
      <w:r w:rsidRPr="00697C07">
        <w:rPr>
          <w:rFonts w:ascii="Times New Roman" w:hAnsi="Times New Roman" w:cs="Times New Roman"/>
          <w:sz w:val="20"/>
          <w:szCs w:val="20"/>
          <w:lang w:val="en-GB"/>
        </w:rPr>
        <w:t>Vujčić</w:t>
      </w:r>
      <w:proofErr w:type="spellEnd"/>
      <w:r w:rsidRPr="00697C07">
        <w:rPr>
          <w:rFonts w:ascii="Times New Roman" w:hAnsi="Times New Roman" w:cs="Times New Roman"/>
          <w:sz w:val="20"/>
          <w:szCs w:val="20"/>
          <w:lang w:val="en-GB"/>
        </w:rPr>
        <w:t xml:space="preserve"> 2016).</w:t>
      </w:r>
      <w:r w:rsidR="00C63F9F" w:rsidRPr="00697C07">
        <w:rPr>
          <w:rFonts w:ascii="Times New Roman" w:hAnsi="Times New Roman" w:cs="Times New Roman"/>
          <w:sz w:val="20"/>
          <w:szCs w:val="20"/>
          <w:lang w:val="en-GB"/>
        </w:rPr>
        <w:t xml:space="preserve"> </w:t>
      </w:r>
      <w:r w:rsidR="00897853" w:rsidRPr="00697C07">
        <w:rPr>
          <w:rFonts w:ascii="Times New Roman" w:hAnsi="Times New Roman" w:cs="Times New Roman"/>
          <w:sz w:val="20"/>
          <w:szCs w:val="20"/>
          <w:lang w:val="en-GB"/>
        </w:rPr>
        <w:t xml:space="preserve">Still, there is a growing perception that, unless the legal regime for non-viable banks is significantly reformed, BRRD resolution and the SRB will play only a limited role. (ECA, 2017; </w:t>
      </w:r>
      <w:proofErr w:type="spellStart"/>
      <w:r w:rsidR="00897853" w:rsidRPr="00697C07">
        <w:rPr>
          <w:rFonts w:ascii="Times New Roman" w:hAnsi="Times New Roman" w:cs="Times New Roman"/>
          <w:sz w:val="20"/>
          <w:szCs w:val="20"/>
          <w:lang w:val="en-GB"/>
        </w:rPr>
        <w:t>Veron</w:t>
      </w:r>
      <w:proofErr w:type="spellEnd"/>
      <w:r w:rsidR="00897853" w:rsidRPr="00697C07">
        <w:rPr>
          <w:rFonts w:ascii="Times New Roman" w:hAnsi="Times New Roman" w:cs="Times New Roman"/>
          <w:sz w:val="20"/>
          <w:szCs w:val="20"/>
          <w:lang w:val="en-GB"/>
        </w:rPr>
        <w:t>, 2019)</w:t>
      </w:r>
      <w:r w:rsidR="00904BB0" w:rsidRPr="00697C07">
        <w:rPr>
          <w:rFonts w:ascii="Times New Roman" w:hAnsi="Times New Roman" w:cs="Times New Roman"/>
          <w:sz w:val="20"/>
          <w:szCs w:val="20"/>
          <w:lang w:val="en-GB"/>
        </w:rPr>
        <w:t xml:space="preserve"> </w:t>
      </w:r>
    </w:p>
    <w:p w14:paraId="180E1BC3" w14:textId="45AE844C" w:rsidR="00E07930" w:rsidRPr="00697C07" w:rsidRDefault="00E07930" w:rsidP="00904BB0">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We started from the assumption in this paper that crises 'help' the regulation of the financial market, because after every world crisis, an attempt to regulate financial integration has been noticed. Another assumption from which we started is that </w:t>
      </w:r>
      <w:r w:rsidR="00ED0FBD">
        <w:rPr>
          <w:rFonts w:ascii="Times New Roman" w:hAnsi="Times New Roman" w:cs="Times New Roman"/>
          <w:sz w:val="20"/>
          <w:szCs w:val="20"/>
          <w:lang w:val="en-GB"/>
        </w:rPr>
        <w:t>Covid-19</w:t>
      </w:r>
      <w:r w:rsidR="00E24235" w:rsidRPr="00697C07">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as another specific form of crisis directly helps to regulate the financial market because it requires faster, more efficient and more transparent measures to help the economies of countries that have slowed down their economic activities due to lockdown.</w:t>
      </w:r>
    </w:p>
    <w:p w14:paraId="704BD5B0" w14:textId="58C0B680" w:rsidR="003526E0" w:rsidRPr="00697C07" w:rsidRDefault="003526E0" w:rsidP="00904BB0">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The EU’s long-term budget, coupled with </w:t>
      </w:r>
      <w:proofErr w:type="spellStart"/>
      <w:r w:rsidRPr="00697C07">
        <w:rPr>
          <w:rFonts w:ascii="Times New Roman" w:hAnsi="Times New Roman" w:cs="Times New Roman"/>
          <w:sz w:val="20"/>
          <w:szCs w:val="20"/>
          <w:lang w:val="en-GB"/>
        </w:rPr>
        <w:t>NextGeneration</w:t>
      </w:r>
      <w:proofErr w:type="spellEnd"/>
      <w:r w:rsidR="00E24235" w:rsidRPr="00697C07">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EU, the temporary instrument designed to boost the recovery, will be the largest stimulus package ever financed through the EU budget</w:t>
      </w:r>
      <w:r w:rsidRPr="00697C07">
        <w:rPr>
          <w:rFonts w:ascii="Times New Roman" w:eastAsia="Times New Roman" w:hAnsi="Times New Roman" w:cs="Times New Roman"/>
          <w:sz w:val="20"/>
          <w:szCs w:val="20"/>
          <w:lang w:val="en-GB" w:eastAsia="hr-HR"/>
        </w:rPr>
        <w:t xml:space="preserve"> for special instruments in 2021–2027. </w:t>
      </w:r>
      <w:r w:rsidRPr="00697C07">
        <w:rPr>
          <w:rFonts w:ascii="Times New Roman" w:hAnsi="Times New Roman" w:cs="Times New Roman"/>
          <w:sz w:val="20"/>
          <w:szCs w:val="20"/>
          <w:lang w:val="en-GB"/>
        </w:rPr>
        <w:t>A total of €1.8 trillio</w:t>
      </w:r>
      <w:r w:rsidR="00ED0FBD">
        <w:rPr>
          <w:rFonts w:ascii="Times New Roman" w:hAnsi="Times New Roman" w:cs="Times New Roman"/>
          <w:sz w:val="20"/>
          <w:szCs w:val="20"/>
          <w:lang w:val="en-GB"/>
        </w:rPr>
        <w:t>n will help rebuild a post-Covid</w:t>
      </w:r>
      <w:r w:rsidRPr="00697C07">
        <w:rPr>
          <w:rFonts w:ascii="Times New Roman" w:hAnsi="Times New Roman" w:cs="Times New Roman"/>
          <w:sz w:val="20"/>
          <w:szCs w:val="20"/>
          <w:lang w:val="en-GB"/>
        </w:rPr>
        <w:t xml:space="preserve">-19 Europe. It will be a greener, more digital and more resilient Europe as EC claimed. </w:t>
      </w:r>
      <w:proofErr w:type="spellStart"/>
      <w:r w:rsidRPr="00697C07">
        <w:rPr>
          <w:rFonts w:ascii="Times New Roman" w:hAnsi="Times New Roman" w:cs="Times New Roman"/>
          <w:sz w:val="20"/>
          <w:szCs w:val="20"/>
          <w:lang w:val="en-GB"/>
        </w:rPr>
        <w:t>NextGeneration</w:t>
      </w:r>
      <w:proofErr w:type="spellEnd"/>
      <w:r w:rsidR="00E24235" w:rsidRPr="00697C07">
        <w:rPr>
          <w:rFonts w:ascii="Times New Roman" w:hAnsi="Times New Roman" w:cs="Times New Roman"/>
          <w:sz w:val="20"/>
          <w:szCs w:val="20"/>
          <w:lang w:val="en-GB"/>
        </w:rPr>
        <w:t xml:space="preserve"> </w:t>
      </w:r>
      <w:r w:rsidRPr="00697C07">
        <w:rPr>
          <w:rFonts w:ascii="Times New Roman" w:hAnsi="Times New Roman" w:cs="Times New Roman"/>
          <w:sz w:val="20"/>
          <w:szCs w:val="20"/>
          <w:lang w:val="en-GB"/>
        </w:rPr>
        <w:t>EU is a €750 billion temporary recovery instrument in the scope of Pandemic Emergency Purchase Programme (PEPP</w:t>
      </w:r>
      <w:r w:rsidR="005C1B86">
        <w:rPr>
          <w:rStyle w:val="FootnoteReference"/>
          <w:rFonts w:ascii="Times New Roman" w:hAnsi="Times New Roman" w:cs="Times New Roman"/>
          <w:sz w:val="20"/>
          <w:szCs w:val="20"/>
          <w:lang w:val="en-GB"/>
        </w:rPr>
        <w:footnoteReference w:id="1"/>
      </w:r>
      <w:r w:rsidRPr="00697C07">
        <w:rPr>
          <w:rFonts w:ascii="Times New Roman" w:hAnsi="Times New Roman" w:cs="Times New Roman"/>
          <w:sz w:val="20"/>
          <w:szCs w:val="20"/>
          <w:lang w:val="en-GB"/>
        </w:rPr>
        <w:t>) to help repair the immediate economic and social damage brought about by the co</w:t>
      </w:r>
      <w:r w:rsidR="00ED0FBD">
        <w:rPr>
          <w:rFonts w:ascii="Times New Roman" w:hAnsi="Times New Roman" w:cs="Times New Roman"/>
          <w:sz w:val="20"/>
          <w:szCs w:val="20"/>
          <w:lang w:val="en-GB"/>
        </w:rPr>
        <w:t>ronavirus pandemic because Covid</w:t>
      </w:r>
      <w:r w:rsidRPr="00697C07">
        <w:rPr>
          <w:rFonts w:ascii="Times New Roman" w:hAnsi="Times New Roman" w:cs="Times New Roman"/>
          <w:sz w:val="20"/>
          <w:szCs w:val="20"/>
          <w:lang w:val="en-GB"/>
        </w:rPr>
        <w:t xml:space="preserve">-19 pandemic continues to have a major disruptive impact on the economic and financial environment. In the face of the major crisis, the integration of EU capital markets is crucial to enable a robust and uniform recovery across the economies. PEPP is ready to buy public (including Italy and </w:t>
      </w:r>
      <w:r w:rsidRPr="00697C07">
        <w:rPr>
          <w:rFonts w:ascii="Times New Roman" w:hAnsi="Times New Roman" w:cs="Times New Roman"/>
          <w:sz w:val="20"/>
          <w:szCs w:val="20"/>
          <w:lang w:val="en-GB"/>
        </w:rPr>
        <w:lastRenderedPageBreak/>
        <w:t xml:space="preserve">Greece) and private </w:t>
      </w:r>
      <w:r w:rsidR="003C0A9C">
        <w:rPr>
          <w:rFonts w:ascii="Times New Roman" w:hAnsi="Times New Roman" w:cs="Times New Roman"/>
          <w:sz w:val="20"/>
          <w:szCs w:val="20"/>
          <w:lang w:val="en-GB"/>
        </w:rPr>
        <w:t>sector debt across the eurozone</w:t>
      </w:r>
      <w:r w:rsidRPr="00697C07">
        <w:rPr>
          <w:rFonts w:ascii="Times New Roman" w:hAnsi="Times New Roman" w:cs="Times New Roman"/>
          <w:sz w:val="20"/>
          <w:szCs w:val="20"/>
          <w:lang w:val="en-GB"/>
        </w:rPr>
        <w:t xml:space="preserve"> </w:t>
      </w:r>
      <w:r w:rsidR="003C0A9C">
        <w:rPr>
          <w:rFonts w:ascii="Times New Roman" w:hAnsi="Times New Roman" w:cs="Times New Roman"/>
          <w:sz w:val="20"/>
          <w:szCs w:val="20"/>
          <w:lang w:val="en-GB"/>
        </w:rPr>
        <w:t xml:space="preserve">(for more see. </w:t>
      </w:r>
      <w:hyperlink r:id="rId14" w:history="1">
        <w:r w:rsidR="00CB5FF2" w:rsidRPr="00697C07">
          <w:rPr>
            <w:rStyle w:val="Hyperlink"/>
            <w:rFonts w:ascii="Times New Roman" w:hAnsi="Times New Roman" w:cs="Times New Roman"/>
            <w:color w:val="auto"/>
            <w:sz w:val="20"/>
            <w:szCs w:val="20"/>
            <w:lang w:val="en-GB"/>
          </w:rPr>
          <w:t>https://ec.europa.eu/info/strategy/recovery-plan-europe_en</w:t>
        </w:r>
      </w:hyperlink>
      <w:r w:rsidR="003C0A9C">
        <w:rPr>
          <w:rStyle w:val="Hyperlink"/>
          <w:rFonts w:ascii="Times New Roman" w:hAnsi="Times New Roman" w:cs="Times New Roman"/>
          <w:color w:val="auto"/>
          <w:sz w:val="20"/>
          <w:szCs w:val="20"/>
          <w:lang w:val="en-GB"/>
        </w:rPr>
        <w:t>).</w:t>
      </w:r>
    </w:p>
    <w:p w14:paraId="61D60622" w14:textId="5E003141" w:rsidR="00E07930" w:rsidRPr="00F905FA" w:rsidRDefault="00F905FA" w:rsidP="00C13928">
      <w:pPr>
        <w:jc w:val="both"/>
        <w:rPr>
          <w:rFonts w:ascii="Times New Roman" w:hAnsi="Times New Roman" w:cs="Times New Roman"/>
          <w:sz w:val="24"/>
          <w:szCs w:val="24"/>
          <w:lang w:val="en-GB"/>
        </w:rPr>
      </w:pPr>
      <w:r w:rsidRPr="00F905FA">
        <w:rPr>
          <w:rFonts w:ascii="Times New Roman" w:hAnsi="Times New Roman" w:cs="Times New Roman"/>
          <w:sz w:val="24"/>
          <w:szCs w:val="24"/>
          <w:lang w:val="en-GB"/>
        </w:rPr>
        <w:t xml:space="preserve">7   </w:t>
      </w:r>
      <w:r w:rsidR="00C63F9F" w:rsidRPr="00F905FA">
        <w:rPr>
          <w:rFonts w:ascii="Times New Roman" w:hAnsi="Times New Roman" w:cs="Times New Roman"/>
          <w:sz w:val="24"/>
          <w:szCs w:val="24"/>
          <w:lang w:val="en-GB"/>
        </w:rPr>
        <w:t>Conclusion</w:t>
      </w:r>
    </w:p>
    <w:p w14:paraId="6AB6334C" w14:textId="2870D66D" w:rsidR="00C63F9F" w:rsidRDefault="002A5AFD" w:rsidP="00C13928">
      <w:pPr>
        <w:jc w:val="both"/>
        <w:rPr>
          <w:rFonts w:ascii="Times New Roman" w:hAnsi="Times New Roman" w:cs="Times New Roman"/>
          <w:sz w:val="20"/>
          <w:szCs w:val="20"/>
          <w:lang w:val="en-GB"/>
        </w:rPr>
      </w:pPr>
      <w:r w:rsidRPr="00697C07">
        <w:rPr>
          <w:rFonts w:ascii="Times New Roman" w:hAnsi="Times New Roman" w:cs="Times New Roman"/>
          <w:sz w:val="20"/>
          <w:szCs w:val="20"/>
          <w:lang w:val="en-GB"/>
        </w:rPr>
        <w:t xml:space="preserve">More financial regulation is needed. That become obvious after every crisis and it is obvious now in the middle of the </w:t>
      </w:r>
      <w:r w:rsidR="0063610E" w:rsidRPr="00697C07">
        <w:rPr>
          <w:rFonts w:ascii="Times New Roman" w:hAnsi="Times New Roman" w:cs="Times New Roman"/>
          <w:sz w:val="20"/>
          <w:szCs w:val="20"/>
          <w:lang w:val="en-GB"/>
        </w:rPr>
        <w:t>C</w:t>
      </w:r>
      <w:r w:rsidRPr="00697C07">
        <w:rPr>
          <w:rFonts w:ascii="Times New Roman" w:hAnsi="Times New Roman" w:cs="Times New Roman"/>
          <w:sz w:val="20"/>
          <w:szCs w:val="20"/>
          <w:lang w:val="en-GB"/>
        </w:rPr>
        <w:t>ovid</w:t>
      </w:r>
      <w:r w:rsidR="00ED0FBD">
        <w:rPr>
          <w:rFonts w:ascii="Times New Roman" w:hAnsi="Times New Roman" w:cs="Times New Roman"/>
          <w:sz w:val="20"/>
          <w:szCs w:val="20"/>
          <w:lang w:val="en-GB"/>
        </w:rPr>
        <w:t>-</w:t>
      </w:r>
      <w:r w:rsidRPr="00697C07">
        <w:rPr>
          <w:rFonts w:ascii="Times New Roman" w:hAnsi="Times New Roman" w:cs="Times New Roman"/>
          <w:sz w:val="20"/>
          <w:szCs w:val="20"/>
          <w:lang w:val="en-GB"/>
        </w:rPr>
        <w:t xml:space="preserve">19 as one of the </w:t>
      </w:r>
      <w:r w:rsidR="00E24235" w:rsidRPr="00697C07">
        <w:rPr>
          <w:rFonts w:ascii="Times New Roman" w:hAnsi="Times New Roman" w:cs="Times New Roman"/>
          <w:sz w:val="20"/>
          <w:szCs w:val="20"/>
          <w:lang w:val="en-GB"/>
        </w:rPr>
        <w:t>biggest</w:t>
      </w:r>
      <w:r w:rsidRPr="00697C07">
        <w:rPr>
          <w:rFonts w:ascii="Times New Roman" w:hAnsi="Times New Roman" w:cs="Times New Roman"/>
          <w:sz w:val="20"/>
          <w:szCs w:val="20"/>
          <w:lang w:val="en-GB"/>
        </w:rPr>
        <w:t xml:space="preserve"> crises of 21</w:t>
      </w:r>
      <w:r w:rsidRPr="00ED0FBD">
        <w:rPr>
          <w:rFonts w:ascii="Times New Roman" w:hAnsi="Times New Roman" w:cs="Times New Roman"/>
          <w:sz w:val="20"/>
          <w:szCs w:val="20"/>
          <w:vertAlign w:val="superscript"/>
          <w:lang w:val="en-GB"/>
        </w:rPr>
        <w:t>st</w:t>
      </w:r>
      <w:r w:rsidRPr="00697C07">
        <w:rPr>
          <w:rFonts w:ascii="Times New Roman" w:hAnsi="Times New Roman" w:cs="Times New Roman"/>
          <w:sz w:val="20"/>
          <w:szCs w:val="20"/>
          <w:lang w:val="en-GB"/>
        </w:rPr>
        <w:t xml:space="preserve"> century. EU realize that through the hard summer 2020's nights of negotiations between the EU Member states</w:t>
      </w:r>
      <w:r w:rsidR="002300E6" w:rsidRPr="00697C07">
        <w:rPr>
          <w:rFonts w:ascii="Times New Roman" w:hAnsi="Times New Roman" w:cs="Times New Roman"/>
          <w:sz w:val="20"/>
          <w:szCs w:val="20"/>
          <w:lang w:val="en-GB"/>
        </w:rPr>
        <w:t xml:space="preserve">. </w:t>
      </w:r>
      <w:r w:rsidR="00F75EEF" w:rsidRPr="00697C07">
        <w:rPr>
          <w:rFonts w:ascii="Times New Roman" w:hAnsi="Times New Roman" w:cs="Times New Roman"/>
          <w:sz w:val="20"/>
          <w:szCs w:val="20"/>
          <w:lang w:val="en-GB"/>
        </w:rPr>
        <w:t>Those negotiations</w:t>
      </w:r>
      <w:r w:rsidR="002300E6" w:rsidRPr="00697C07">
        <w:rPr>
          <w:rFonts w:ascii="Times New Roman" w:hAnsi="Times New Roman" w:cs="Times New Roman"/>
          <w:sz w:val="20"/>
          <w:szCs w:val="20"/>
          <w:lang w:val="en-GB"/>
        </w:rPr>
        <w:t xml:space="preserve"> gave birth of</w:t>
      </w:r>
      <w:r w:rsidRPr="00697C07">
        <w:rPr>
          <w:rFonts w:ascii="Times New Roman" w:hAnsi="Times New Roman" w:cs="Times New Roman"/>
          <w:sz w:val="20"/>
          <w:szCs w:val="20"/>
          <w:lang w:val="en-GB"/>
        </w:rPr>
        <w:t xml:space="preserve"> the Next G</w:t>
      </w:r>
      <w:r w:rsidR="002300E6" w:rsidRPr="00697C07">
        <w:rPr>
          <w:rFonts w:ascii="Times New Roman" w:hAnsi="Times New Roman" w:cs="Times New Roman"/>
          <w:sz w:val="20"/>
          <w:szCs w:val="20"/>
          <w:lang w:val="en-GB"/>
        </w:rPr>
        <w:t xml:space="preserve">eneration recovery instruments intendent to every EU Member State for recovery plan due to lock-down and economic slow-down. Voices are heard about the need to finish what EU </w:t>
      </w:r>
      <w:r w:rsidR="0063610E" w:rsidRPr="00697C07">
        <w:rPr>
          <w:rFonts w:ascii="Times New Roman" w:hAnsi="Times New Roman" w:cs="Times New Roman"/>
          <w:sz w:val="20"/>
          <w:szCs w:val="20"/>
          <w:lang w:val="en-GB"/>
        </w:rPr>
        <w:t>started</w:t>
      </w:r>
      <w:r w:rsidR="002300E6" w:rsidRPr="00697C07">
        <w:rPr>
          <w:rFonts w:ascii="Times New Roman" w:hAnsi="Times New Roman" w:cs="Times New Roman"/>
          <w:sz w:val="20"/>
          <w:szCs w:val="20"/>
          <w:lang w:val="en-GB"/>
        </w:rPr>
        <w:t xml:space="preserve"> in the steps to full Banking Union, move forward </w:t>
      </w:r>
      <w:r w:rsidR="002300E6" w:rsidRPr="00697C07">
        <w:rPr>
          <w:rFonts w:ascii="Times New Roman" w:eastAsia="Times New Roman" w:hAnsi="Times New Roman" w:cs="Times New Roman"/>
          <w:sz w:val="20"/>
          <w:szCs w:val="20"/>
          <w:lang w:val="en-GB" w:eastAsia="hr-HR"/>
        </w:rPr>
        <w:t>with the reform of the European Stability Mechanism and to establish th</w:t>
      </w:r>
      <w:r w:rsidR="0063610E" w:rsidRPr="00697C07">
        <w:rPr>
          <w:rFonts w:ascii="Times New Roman" w:eastAsia="Times New Roman" w:hAnsi="Times New Roman" w:cs="Times New Roman"/>
          <w:sz w:val="20"/>
          <w:szCs w:val="20"/>
          <w:lang w:val="en-GB" w:eastAsia="hr-HR"/>
        </w:rPr>
        <w:t>e</w:t>
      </w:r>
      <w:r w:rsidR="002300E6" w:rsidRPr="00697C07">
        <w:rPr>
          <w:rFonts w:ascii="Times New Roman" w:eastAsia="Times New Roman" w:hAnsi="Times New Roman" w:cs="Times New Roman"/>
          <w:sz w:val="20"/>
          <w:szCs w:val="20"/>
          <w:lang w:val="en-GB" w:eastAsia="hr-HR"/>
        </w:rPr>
        <w:t xml:space="preserve"> common backstop to the Single Resolution Fund.</w:t>
      </w:r>
      <w:r w:rsidR="002300E6" w:rsidRPr="00697C07">
        <w:rPr>
          <w:rFonts w:ascii="Times New Roman" w:hAnsi="Times New Roman" w:cs="Times New Roman"/>
          <w:sz w:val="20"/>
          <w:szCs w:val="20"/>
          <w:lang w:val="en-GB"/>
        </w:rPr>
        <w:t xml:space="preserve"> EU </w:t>
      </w:r>
      <w:r w:rsidR="0063610E" w:rsidRPr="00697C07">
        <w:rPr>
          <w:rFonts w:ascii="Times New Roman" w:hAnsi="Times New Roman" w:cs="Times New Roman"/>
          <w:sz w:val="20"/>
          <w:szCs w:val="20"/>
          <w:lang w:val="en-GB"/>
        </w:rPr>
        <w:t>develop</w:t>
      </w:r>
      <w:r w:rsidR="002300E6" w:rsidRPr="00697C07">
        <w:rPr>
          <w:rFonts w:ascii="Times New Roman" w:hAnsi="Times New Roman" w:cs="Times New Roman"/>
          <w:sz w:val="20"/>
          <w:szCs w:val="20"/>
          <w:lang w:val="en-GB"/>
        </w:rPr>
        <w:t xml:space="preserve"> simple </w:t>
      </w:r>
      <w:proofErr w:type="spellStart"/>
      <w:r w:rsidR="002300E6" w:rsidRPr="00697C07">
        <w:rPr>
          <w:rFonts w:ascii="Times New Roman" w:hAnsi="Times New Roman" w:cs="Times New Roman"/>
          <w:sz w:val="20"/>
          <w:szCs w:val="20"/>
          <w:lang w:val="en-GB"/>
        </w:rPr>
        <w:t>ringe</w:t>
      </w:r>
      <w:proofErr w:type="spellEnd"/>
      <w:r w:rsidR="002300E6" w:rsidRPr="00697C07">
        <w:rPr>
          <w:rFonts w:ascii="Times New Roman" w:hAnsi="Times New Roman" w:cs="Times New Roman"/>
          <w:sz w:val="20"/>
          <w:szCs w:val="20"/>
          <w:lang w:val="en-GB"/>
        </w:rPr>
        <w:t xml:space="preserve">-fencing model of financial regulation through </w:t>
      </w:r>
      <w:proofErr w:type="spellStart"/>
      <w:r w:rsidR="002300E6" w:rsidRPr="00697C07">
        <w:rPr>
          <w:rFonts w:ascii="Times New Roman" w:hAnsi="Times New Roman" w:cs="Times New Roman"/>
          <w:sz w:val="20"/>
          <w:szCs w:val="20"/>
          <w:lang w:val="en-GB"/>
        </w:rPr>
        <w:t>Lamfallusy</w:t>
      </w:r>
      <w:proofErr w:type="spellEnd"/>
      <w:r w:rsidR="002300E6" w:rsidRPr="00697C07">
        <w:rPr>
          <w:rFonts w:ascii="Times New Roman" w:hAnsi="Times New Roman" w:cs="Times New Roman"/>
          <w:sz w:val="20"/>
          <w:szCs w:val="20"/>
          <w:lang w:val="en-GB"/>
        </w:rPr>
        <w:t xml:space="preserve"> report. UK has got their own problems with Brexit and Covid19 but </w:t>
      </w:r>
      <w:proofErr w:type="spellStart"/>
      <w:r w:rsidR="002300E6" w:rsidRPr="00697C07">
        <w:rPr>
          <w:rFonts w:ascii="Times New Roman" w:hAnsi="Times New Roman" w:cs="Times New Roman"/>
          <w:sz w:val="20"/>
          <w:szCs w:val="20"/>
          <w:lang w:val="en-GB"/>
        </w:rPr>
        <w:t>ringe</w:t>
      </w:r>
      <w:proofErr w:type="spellEnd"/>
      <w:r w:rsidR="002300E6" w:rsidRPr="00697C07">
        <w:rPr>
          <w:rFonts w:ascii="Times New Roman" w:hAnsi="Times New Roman" w:cs="Times New Roman"/>
          <w:sz w:val="20"/>
          <w:szCs w:val="20"/>
          <w:lang w:val="en-GB"/>
        </w:rPr>
        <w:t xml:space="preserve"> –fencing model of regulation is accepted. US still has got the most regulated financial industry </w:t>
      </w:r>
      <w:r w:rsidR="009C0E82" w:rsidRPr="00697C07">
        <w:rPr>
          <w:rFonts w:ascii="Times New Roman" w:hAnsi="Times New Roman" w:cs="Times New Roman"/>
          <w:sz w:val="20"/>
          <w:szCs w:val="20"/>
          <w:lang w:val="en-GB"/>
        </w:rPr>
        <w:t>through the</w:t>
      </w:r>
      <w:r w:rsidR="002300E6" w:rsidRPr="00697C07">
        <w:rPr>
          <w:rFonts w:ascii="Times New Roman" w:hAnsi="Times New Roman" w:cs="Times New Roman"/>
          <w:sz w:val="20"/>
          <w:szCs w:val="20"/>
          <w:lang w:val="en-GB"/>
        </w:rPr>
        <w:t xml:space="preserve"> Volcker-style </w:t>
      </w:r>
      <w:proofErr w:type="spellStart"/>
      <w:r w:rsidR="002300E6" w:rsidRPr="00697C07">
        <w:rPr>
          <w:rFonts w:ascii="Times New Roman" w:hAnsi="Times New Roman" w:cs="Times New Roman"/>
          <w:sz w:val="20"/>
          <w:szCs w:val="20"/>
          <w:lang w:val="en-GB"/>
        </w:rPr>
        <w:t>ringe</w:t>
      </w:r>
      <w:proofErr w:type="spellEnd"/>
      <w:r w:rsidR="002300E6" w:rsidRPr="00697C07">
        <w:rPr>
          <w:rFonts w:ascii="Times New Roman" w:hAnsi="Times New Roman" w:cs="Times New Roman"/>
          <w:sz w:val="20"/>
          <w:szCs w:val="20"/>
          <w:lang w:val="en-GB"/>
        </w:rPr>
        <w:t>-fencing model but with the more details then UK</w:t>
      </w:r>
      <w:r w:rsidR="00837E0A" w:rsidRPr="00697C07">
        <w:rPr>
          <w:rFonts w:ascii="Times New Roman" w:hAnsi="Times New Roman" w:cs="Times New Roman"/>
          <w:sz w:val="20"/>
          <w:szCs w:val="20"/>
          <w:lang w:val="en-GB"/>
        </w:rPr>
        <w:t>'s</w:t>
      </w:r>
      <w:r w:rsidR="002300E6" w:rsidRPr="00697C07">
        <w:rPr>
          <w:rFonts w:ascii="Times New Roman" w:hAnsi="Times New Roman" w:cs="Times New Roman"/>
          <w:sz w:val="20"/>
          <w:szCs w:val="20"/>
          <w:lang w:val="en-GB"/>
        </w:rPr>
        <w:t xml:space="preserve"> and EU</w:t>
      </w:r>
      <w:r w:rsidR="00837E0A" w:rsidRPr="00697C07">
        <w:rPr>
          <w:rFonts w:ascii="Times New Roman" w:hAnsi="Times New Roman" w:cs="Times New Roman"/>
          <w:sz w:val="20"/>
          <w:szCs w:val="20"/>
          <w:lang w:val="en-GB"/>
        </w:rPr>
        <w:t xml:space="preserve">'s regulation. Further research should include impact of Brexit on UK Vickers-style of regulation. </w:t>
      </w:r>
    </w:p>
    <w:p w14:paraId="0BDEEC17" w14:textId="73EC1D18" w:rsidR="00967630" w:rsidRPr="00967630" w:rsidRDefault="00967630" w:rsidP="00C13928">
      <w:pPr>
        <w:jc w:val="both"/>
        <w:rPr>
          <w:rFonts w:ascii="Times New Roman" w:hAnsi="Times New Roman" w:cs="Times New Roman"/>
          <w:sz w:val="20"/>
          <w:szCs w:val="20"/>
          <w:lang w:val="en-GB"/>
        </w:rPr>
      </w:pPr>
      <w:r w:rsidRPr="00967630">
        <w:rPr>
          <w:rFonts w:ascii="Times New Roman" w:hAnsi="Times New Roman" w:cs="Times New Roman"/>
          <w:sz w:val="20"/>
          <w:szCs w:val="20"/>
          <w:lang w:val="en-GB"/>
        </w:rPr>
        <w:t xml:space="preserve">Notes: </w:t>
      </w:r>
    </w:p>
    <w:p w14:paraId="2F5D3DB9" w14:textId="77777777" w:rsidR="00967630" w:rsidRPr="00967630" w:rsidRDefault="00967630" w:rsidP="00967630">
      <w:pPr>
        <w:pStyle w:val="FootnoteText"/>
        <w:numPr>
          <w:ilvl w:val="0"/>
          <w:numId w:val="5"/>
        </w:numPr>
        <w:rPr>
          <w:rFonts w:ascii="Times New Roman" w:hAnsi="Times New Roman" w:cs="Times New Roman"/>
          <w:sz w:val="18"/>
          <w:szCs w:val="18"/>
        </w:rPr>
      </w:pPr>
      <w:proofErr w:type="spellStart"/>
      <w:r w:rsidRPr="00967630">
        <w:rPr>
          <w:rFonts w:ascii="Times New Roman" w:hAnsi="Times New Roman" w:cs="Times New Roman"/>
          <w:sz w:val="18"/>
          <w:szCs w:val="18"/>
        </w:rPr>
        <w:t>see</w:t>
      </w:r>
      <w:proofErr w:type="spellEnd"/>
      <w:r w:rsidRPr="00967630">
        <w:rPr>
          <w:rFonts w:ascii="Times New Roman" w:hAnsi="Times New Roman" w:cs="Times New Roman"/>
          <w:sz w:val="18"/>
          <w:szCs w:val="18"/>
        </w:rPr>
        <w:t>: https://www.law.ox.ac.uk/business-law-blog/blog/2019/02/two-minds-governance-ring-fenced-banks</w:t>
      </w:r>
    </w:p>
    <w:p w14:paraId="4D9D967C" w14:textId="77777777" w:rsidR="00967630" w:rsidRPr="00967630" w:rsidRDefault="00967630" w:rsidP="00A4556B">
      <w:pPr>
        <w:pStyle w:val="ListParagraph"/>
        <w:numPr>
          <w:ilvl w:val="0"/>
          <w:numId w:val="5"/>
        </w:numPr>
        <w:jc w:val="both"/>
        <w:rPr>
          <w:rStyle w:val="Hyperlink"/>
          <w:rFonts w:ascii="Times New Roman" w:hAnsi="Times New Roman" w:cs="Times New Roman"/>
          <w:color w:val="auto"/>
          <w:sz w:val="18"/>
          <w:szCs w:val="18"/>
          <w:u w:val="none"/>
        </w:rPr>
      </w:pPr>
      <w:r w:rsidRPr="00967630">
        <w:rPr>
          <w:rFonts w:ascii="Times New Roman" w:hAnsi="Times New Roman" w:cs="Times New Roman"/>
          <w:sz w:val="18"/>
          <w:szCs w:val="18"/>
          <w:lang w:val="en-GB"/>
        </w:rPr>
        <w:t>see:</w:t>
      </w:r>
      <w:hyperlink r:id="rId15" w:anchor="comitology-committees-working-on-financial-regulation" w:history="1">
        <w:r w:rsidRPr="00967630">
          <w:rPr>
            <w:rStyle w:val="Hyperlink"/>
            <w:rFonts w:ascii="Times New Roman" w:hAnsi="Times New Roman" w:cs="Times New Roman"/>
            <w:color w:val="auto"/>
            <w:sz w:val="18"/>
            <w:szCs w:val="18"/>
            <w:lang w:val="en-GB"/>
          </w:rPr>
          <w:t>https://ec.europa.eu/info/business-economy-euro/banking-and-finance/regulatory-process-financial-services/expert-groups-comitology-and-other-committees_hr#comitology-committees-working-on-financial-regulation</w:t>
        </w:r>
      </w:hyperlink>
      <w:r w:rsidRPr="00967630">
        <w:rPr>
          <w:rStyle w:val="Hyperlink"/>
          <w:rFonts w:ascii="Times New Roman" w:hAnsi="Times New Roman" w:cs="Times New Roman"/>
          <w:color w:val="auto"/>
          <w:sz w:val="18"/>
          <w:szCs w:val="18"/>
          <w:lang w:val="en-GB"/>
        </w:rPr>
        <w:t>). SIFIS are those entities whose distress or disorderly failure would cause significant disruption to the wider financial system and to economic activity because of their size, complexity and systemic interconnectedness (IMF, 2019)</w:t>
      </w:r>
    </w:p>
    <w:p w14:paraId="06156D38" w14:textId="77777777" w:rsidR="00967630" w:rsidRDefault="00910FC5" w:rsidP="00967630">
      <w:pPr>
        <w:pStyle w:val="ListParagraph"/>
        <w:numPr>
          <w:ilvl w:val="0"/>
          <w:numId w:val="5"/>
        </w:numPr>
        <w:jc w:val="both"/>
        <w:rPr>
          <w:rFonts w:ascii="Times New Roman" w:hAnsi="Times New Roman" w:cs="Times New Roman"/>
          <w:sz w:val="18"/>
          <w:szCs w:val="18"/>
        </w:rPr>
      </w:pPr>
      <w:hyperlink r:id="rId16" w:anchor="comitology-committees-working-on-financial-regulation" w:history="1">
        <w:r w:rsidR="00967630" w:rsidRPr="00967630">
          <w:rPr>
            <w:rStyle w:val="Hyperlink"/>
            <w:rFonts w:ascii="Times New Roman" w:hAnsi="Times New Roman" w:cs="Times New Roman"/>
            <w:color w:val="auto"/>
            <w:sz w:val="18"/>
            <w:szCs w:val="18"/>
            <w:lang w:val="en-GB"/>
          </w:rPr>
          <w:t>https://ec.europa.eu/info/business-economy-euro/banking-and-finance/regulatory-process-financial-services/expert-groups-comitology-and-other-committees_hr#comitology-committees-working-on-financial-regulation</w:t>
        </w:r>
      </w:hyperlink>
      <w:r w:rsidR="00967630" w:rsidRPr="00967630">
        <w:rPr>
          <w:rFonts w:ascii="Times New Roman" w:hAnsi="Times New Roman" w:cs="Times New Roman"/>
          <w:sz w:val="18"/>
          <w:szCs w:val="18"/>
        </w:rPr>
        <w:t xml:space="preserve"> </w:t>
      </w:r>
    </w:p>
    <w:p w14:paraId="14DAF3B4" w14:textId="29323484" w:rsidR="00967630" w:rsidRPr="00967630" w:rsidRDefault="00910FC5" w:rsidP="00967630">
      <w:pPr>
        <w:pStyle w:val="ListParagraph"/>
        <w:numPr>
          <w:ilvl w:val="0"/>
          <w:numId w:val="5"/>
        </w:numPr>
        <w:jc w:val="both"/>
        <w:rPr>
          <w:rFonts w:ascii="Times New Roman" w:hAnsi="Times New Roman" w:cs="Times New Roman"/>
          <w:sz w:val="18"/>
          <w:szCs w:val="18"/>
        </w:rPr>
      </w:pPr>
      <w:hyperlink r:id="rId17" w:history="1">
        <w:r w:rsidR="00967630" w:rsidRPr="00967630">
          <w:rPr>
            <w:rStyle w:val="Hyperlink"/>
            <w:rFonts w:ascii="Times New Roman" w:eastAsia="Times New Roman" w:hAnsi="Times New Roman" w:cs="Times New Roman"/>
            <w:color w:val="auto"/>
            <w:sz w:val="18"/>
            <w:szCs w:val="18"/>
            <w:lang w:val="en-GB" w:eastAsia="hr-HR"/>
          </w:rPr>
          <w:t>https://ec.europa.eu/info/business-economy-euro/banking-and-finance/regulatory-process-financial-services/regulatory-process-financial-services_en</w:t>
        </w:r>
      </w:hyperlink>
    </w:p>
    <w:p w14:paraId="6ADAC87E" w14:textId="18B84805" w:rsidR="00C63F9F" w:rsidRPr="00967630" w:rsidRDefault="00C63F9F" w:rsidP="00967630">
      <w:pPr>
        <w:pStyle w:val="ListParagraph"/>
        <w:jc w:val="both"/>
        <w:rPr>
          <w:rFonts w:ascii="Times New Roman" w:hAnsi="Times New Roman" w:cs="Times New Roman"/>
          <w:b/>
          <w:sz w:val="20"/>
          <w:szCs w:val="20"/>
          <w:lang w:val="en-GB"/>
        </w:rPr>
      </w:pPr>
    </w:p>
    <w:p w14:paraId="62FD90E3" w14:textId="1E6942BB" w:rsidR="00EC593C" w:rsidRPr="00EC593C" w:rsidRDefault="00EC593C" w:rsidP="00C13928">
      <w:pPr>
        <w:jc w:val="both"/>
        <w:rPr>
          <w:rFonts w:ascii="Times New Roman" w:hAnsi="Times New Roman" w:cs="Times New Roman"/>
          <w:sz w:val="24"/>
          <w:szCs w:val="24"/>
          <w:lang w:val="en-GB"/>
        </w:rPr>
      </w:pPr>
      <w:r w:rsidRPr="00EC593C">
        <w:rPr>
          <w:rFonts w:ascii="Times New Roman" w:hAnsi="Times New Roman" w:cs="Times New Roman"/>
          <w:sz w:val="24"/>
          <w:szCs w:val="24"/>
          <w:lang w:val="en-GB"/>
        </w:rPr>
        <w:t>References</w:t>
      </w:r>
    </w:p>
    <w:p w14:paraId="56CED4CB" w14:textId="66F8C6A0" w:rsidR="00B43A50" w:rsidRPr="008C08D4" w:rsidRDefault="009F3297" w:rsidP="00F75EEF">
      <w:pPr>
        <w:rPr>
          <w:rFonts w:ascii="Times New Roman" w:hAnsi="Times New Roman" w:cs="Times New Roman"/>
          <w:sz w:val="20"/>
          <w:szCs w:val="20"/>
          <w:lang w:val="en-GB"/>
        </w:rPr>
      </w:pPr>
      <w:r w:rsidRPr="003C0A9C">
        <w:rPr>
          <w:rFonts w:ascii="Times New Roman" w:hAnsi="Times New Roman" w:cs="Times New Roman"/>
          <w:sz w:val="20"/>
          <w:szCs w:val="20"/>
          <w:lang w:val="en-GB"/>
        </w:rPr>
        <w:t>Action Plan for EU</w:t>
      </w:r>
      <w:r w:rsidRPr="008C08D4">
        <w:rPr>
          <w:rFonts w:ascii="Times New Roman" w:hAnsi="Times New Roman" w:cs="Times New Roman"/>
          <w:sz w:val="20"/>
          <w:szCs w:val="20"/>
          <w:lang w:val="en-GB"/>
        </w:rPr>
        <w:t xml:space="preserve"> Finan</w:t>
      </w:r>
      <w:r w:rsidR="00002ACC" w:rsidRPr="008C08D4">
        <w:rPr>
          <w:rFonts w:ascii="Times New Roman" w:hAnsi="Times New Roman" w:cs="Times New Roman"/>
          <w:sz w:val="20"/>
          <w:szCs w:val="20"/>
          <w:lang w:val="en-GB"/>
        </w:rPr>
        <w:t>cial Market (2019)</w:t>
      </w:r>
      <w:r w:rsidRPr="008C08D4">
        <w:rPr>
          <w:rFonts w:ascii="Times New Roman" w:hAnsi="Times New Roman" w:cs="Times New Roman"/>
          <w:sz w:val="20"/>
          <w:szCs w:val="20"/>
          <w:lang w:val="en-GB"/>
        </w:rPr>
        <w:t xml:space="preserve"> </w:t>
      </w:r>
      <w:r w:rsidR="00002ACC" w:rsidRPr="008C08D4">
        <w:rPr>
          <w:rFonts w:ascii="Times New Roman" w:eastAsia="Times New Roman" w:hAnsi="Times New Roman" w:cs="Times New Roman"/>
          <w:sz w:val="20"/>
          <w:szCs w:val="20"/>
        </w:rPr>
        <w:t>[Online], [</w:t>
      </w:r>
      <w:proofErr w:type="spellStart"/>
      <w:r w:rsidR="00002ACC" w:rsidRPr="008C08D4">
        <w:rPr>
          <w:rFonts w:ascii="Times New Roman" w:eastAsia="Times New Roman" w:hAnsi="Times New Roman" w:cs="Times New Roman"/>
          <w:sz w:val="20"/>
          <w:szCs w:val="20"/>
        </w:rPr>
        <w:t>Retrieved</w:t>
      </w:r>
      <w:proofErr w:type="spellEnd"/>
      <w:r w:rsidR="00002ACC" w:rsidRPr="008C08D4">
        <w:rPr>
          <w:rFonts w:ascii="Times New Roman" w:eastAsia="Times New Roman" w:hAnsi="Times New Roman" w:cs="Times New Roman"/>
          <w:sz w:val="20"/>
          <w:szCs w:val="20"/>
        </w:rPr>
        <w:t xml:space="preserve"> </w:t>
      </w:r>
      <w:proofErr w:type="spellStart"/>
      <w:r w:rsidR="00002ACC" w:rsidRPr="008C08D4">
        <w:rPr>
          <w:rFonts w:ascii="Times New Roman" w:eastAsia="Times New Roman" w:hAnsi="Times New Roman" w:cs="Times New Roman"/>
          <w:sz w:val="20"/>
          <w:szCs w:val="20"/>
        </w:rPr>
        <w:t>January</w:t>
      </w:r>
      <w:proofErr w:type="spellEnd"/>
      <w:r w:rsidR="00002ACC" w:rsidRPr="008C08D4">
        <w:rPr>
          <w:rFonts w:ascii="Times New Roman" w:eastAsia="Times New Roman" w:hAnsi="Times New Roman" w:cs="Times New Roman"/>
          <w:sz w:val="20"/>
          <w:szCs w:val="20"/>
        </w:rPr>
        <w:t xml:space="preserve"> 2, 2021]   </w:t>
      </w:r>
      <w:hyperlink r:id="rId18" w:history="1">
        <w:r w:rsidR="008B1BF2" w:rsidRPr="008C08D4">
          <w:rPr>
            <w:rStyle w:val="Hyperlink"/>
            <w:rFonts w:ascii="Times New Roman" w:hAnsi="Times New Roman" w:cs="Times New Roman"/>
            <w:color w:val="auto"/>
            <w:sz w:val="20"/>
            <w:szCs w:val="20"/>
            <w:u w:val="none"/>
            <w:lang w:val="en-GB"/>
          </w:rPr>
          <w:t>https://ec.europa.eu/transparency/regdoc/rep/1/2019/EN/COM-2019-136-F1-EN-MAIN-PART-1.PDF</w:t>
        </w:r>
        <w:r w:rsidR="008B1BF2" w:rsidRPr="008C08D4">
          <w:rPr>
            <w:rStyle w:val="Hyperlink"/>
            <w:rFonts w:ascii="Times New Roman" w:eastAsia="Times New Roman" w:hAnsi="Times New Roman" w:cs="Times New Roman"/>
            <w:sz w:val="20"/>
            <w:szCs w:val="20"/>
          </w:rPr>
          <w:br/>
        </w:r>
        <w:r w:rsidR="008B1BF2" w:rsidRPr="008C08D4">
          <w:rPr>
            <w:rStyle w:val="Hyperlink"/>
            <w:rFonts w:ascii="Times New Roman" w:eastAsia="Times New Roman" w:hAnsi="Times New Roman" w:cs="Times New Roman"/>
            <w:sz w:val="20"/>
            <w:szCs w:val="20"/>
          </w:rPr>
          <w:br/>
        </w:r>
      </w:hyperlink>
      <w:proofErr w:type="spellStart"/>
      <w:r w:rsidR="007543EC" w:rsidRPr="008C08D4">
        <w:rPr>
          <w:rFonts w:ascii="Times New Roman" w:hAnsi="Times New Roman" w:cs="Times New Roman"/>
          <w:sz w:val="20"/>
          <w:szCs w:val="20"/>
          <w:lang w:val="en-GB"/>
        </w:rPr>
        <w:t>Andenas</w:t>
      </w:r>
      <w:proofErr w:type="spellEnd"/>
      <w:r w:rsidR="007543EC" w:rsidRPr="008C08D4">
        <w:rPr>
          <w:rFonts w:ascii="Times New Roman" w:hAnsi="Times New Roman" w:cs="Times New Roman"/>
          <w:sz w:val="20"/>
          <w:szCs w:val="20"/>
          <w:lang w:val="en-GB"/>
        </w:rPr>
        <w:t xml:space="preserve">, M. and  </w:t>
      </w:r>
      <w:proofErr w:type="spellStart"/>
      <w:r w:rsidR="007543EC" w:rsidRPr="008C08D4">
        <w:rPr>
          <w:rFonts w:ascii="Times New Roman" w:hAnsi="Times New Roman" w:cs="Times New Roman"/>
          <w:sz w:val="20"/>
          <w:szCs w:val="20"/>
          <w:lang w:val="en-GB"/>
        </w:rPr>
        <w:t>Deipenbrock</w:t>
      </w:r>
      <w:proofErr w:type="spellEnd"/>
      <w:r w:rsidR="007543EC" w:rsidRPr="008C08D4">
        <w:rPr>
          <w:rFonts w:ascii="Times New Roman" w:hAnsi="Times New Roman" w:cs="Times New Roman"/>
          <w:sz w:val="20"/>
          <w:szCs w:val="20"/>
          <w:lang w:val="en-GB"/>
        </w:rPr>
        <w:t xml:space="preserve">, G. (2016), </w:t>
      </w:r>
      <w:r w:rsidR="00326CA3" w:rsidRPr="008C08D4">
        <w:rPr>
          <w:rFonts w:ascii="Times New Roman" w:hAnsi="Times New Roman" w:cs="Times New Roman"/>
          <w:sz w:val="20"/>
          <w:szCs w:val="20"/>
          <w:lang w:val="en-GB"/>
        </w:rPr>
        <w:t xml:space="preserve"> </w:t>
      </w:r>
      <w:r w:rsidR="007543EC" w:rsidRPr="008C08D4">
        <w:rPr>
          <w:rFonts w:ascii="Times New Roman" w:hAnsi="Times New Roman" w:cs="Times New Roman"/>
          <w:sz w:val="20"/>
          <w:szCs w:val="20"/>
          <w:lang w:val="en-GB"/>
        </w:rPr>
        <w:t>‘</w:t>
      </w:r>
      <w:r w:rsidR="00326CA3" w:rsidRPr="008C08D4">
        <w:rPr>
          <w:rFonts w:ascii="Times New Roman" w:hAnsi="Times New Roman" w:cs="Times New Roman"/>
          <w:sz w:val="20"/>
          <w:szCs w:val="20"/>
          <w:lang w:val="en-GB"/>
        </w:rPr>
        <w:t>Regulating and supervi</w:t>
      </w:r>
      <w:r w:rsidR="007543EC" w:rsidRPr="008C08D4">
        <w:rPr>
          <w:rFonts w:ascii="Times New Roman" w:hAnsi="Times New Roman" w:cs="Times New Roman"/>
          <w:sz w:val="20"/>
          <w:szCs w:val="20"/>
          <w:lang w:val="en-GB"/>
        </w:rPr>
        <w:t>sing European financial markets’,</w:t>
      </w:r>
      <w:r w:rsidR="00326CA3" w:rsidRPr="008C08D4">
        <w:rPr>
          <w:rFonts w:ascii="Times New Roman" w:hAnsi="Times New Roman" w:cs="Times New Roman"/>
          <w:sz w:val="20"/>
          <w:szCs w:val="20"/>
          <w:lang w:val="en-GB"/>
        </w:rPr>
        <w:t xml:space="preserve"> </w:t>
      </w:r>
      <w:r w:rsidR="00326CA3" w:rsidRPr="008C08D4">
        <w:rPr>
          <w:rFonts w:ascii="Times New Roman" w:hAnsi="Times New Roman" w:cs="Times New Roman"/>
          <w:i/>
          <w:sz w:val="20"/>
          <w:szCs w:val="20"/>
          <w:lang w:val="en-GB"/>
        </w:rPr>
        <w:t>More risks than achievements</w:t>
      </w:r>
      <w:r w:rsidR="00326CA3" w:rsidRPr="008C08D4">
        <w:rPr>
          <w:rFonts w:ascii="Times New Roman" w:hAnsi="Times New Roman" w:cs="Times New Roman"/>
          <w:sz w:val="20"/>
          <w:szCs w:val="20"/>
          <w:lang w:val="en-GB"/>
        </w:rPr>
        <w:t xml:space="preserve">. Berlin: </w:t>
      </w:r>
      <w:r w:rsidR="007543EC" w:rsidRPr="008C08D4">
        <w:rPr>
          <w:rFonts w:ascii="Times New Roman" w:hAnsi="Times New Roman" w:cs="Times New Roman"/>
          <w:sz w:val="20"/>
          <w:szCs w:val="20"/>
          <w:lang w:val="en-GB"/>
        </w:rPr>
        <w:t>Springer.10.</w:t>
      </w:r>
    </w:p>
    <w:p w14:paraId="57C66382" w14:textId="03E66040" w:rsidR="00B43A50" w:rsidRPr="008C08D4" w:rsidRDefault="007543EC" w:rsidP="00C13928">
      <w:pPr>
        <w:jc w:val="both"/>
        <w:rPr>
          <w:rFonts w:ascii="Times New Roman" w:hAnsi="Times New Roman" w:cs="Times New Roman"/>
          <w:sz w:val="20"/>
          <w:szCs w:val="20"/>
          <w:lang w:val="en-GB"/>
        </w:rPr>
      </w:pPr>
      <w:proofErr w:type="spellStart"/>
      <w:r w:rsidRPr="008C08D4">
        <w:rPr>
          <w:rFonts w:ascii="Times New Roman" w:hAnsi="Times New Roman" w:cs="Times New Roman"/>
          <w:sz w:val="20"/>
          <w:szCs w:val="20"/>
          <w:lang w:val="en-GB"/>
        </w:rPr>
        <w:t>Bajakić</w:t>
      </w:r>
      <w:proofErr w:type="spellEnd"/>
      <w:r w:rsidRPr="008C08D4">
        <w:rPr>
          <w:rFonts w:ascii="Times New Roman" w:hAnsi="Times New Roman" w:cs="Times New Roman"/>
          <w:sz w:val="20"/>
          <w:szCs w:val="20"/>
          <w:lang w:val="en-GB"/>
        </w:rPr>
        <w:t>, I. and</w:t>
      </w:r>
      <w:r w:rsidR="009F3297" w:rsidRPr="008C08D4">
        <w:rPr>
          <w:rFonts w:ascii="Times New Roman" w:hAnsi="Times New Roman" w:cs="Times New Roman"/>
          <w:sz w:val="20"/>
          <w:szCs w:val="20"/>
          <w:lang w:val="en-GB"/>
        </w:rPr>
        <w:t xml:space="preserve"> </w:t>
      </w:r>
      <w:proofErr w:type="spellStart"/>
      <w:r w:rsidR="009F3297" w:rsidRPr="008C08D4">
        <w:rPr>
          <w:rFonts w:ascii="Times New Roman" w:hAnsi="Times New Roman" w:cs="Times New Roman"/>
          <w:sz w:val="20"/>
          <w:szCs w:val="20"/>
          <w:lang w:val="en-GB"/>
        </w:rPr>
        <w:t>Božina</w:t>
      </w:r>
      <w:proofErr w:type="spellEnd"/>
      <w:r w:rsidR="009F3297" w:rsidRPr="008C08D4">
        <w:rPr>
          <w:rFonts w:ascii="Times New Roman" w:hAnsi="Times New Roman" w:cs="Times New Roman"/>
          <w:sz w:val="20"/>
          <w:szCs w:val="20"/>
          <w:lang w:val="en-GB"/>
        </w:rPr>
        <w:t xml:space="preserve"> </w:t>
      </w:r>
      <w:proofErr w:type="spellStart"/>
      <w:r w:rsidR="009F3297" w:rsidRPr="008C08D4">
        <w:rPr>
          <w:rFonts w:ascii="Times New Roman" w:hAnsi="Times New Roman" w:cs="Times New Roman"/>
          <w:sz w:val="20"/>
          <w:szCs w:val="20"/>
          <w:lang w:val="en-GB"/>
        </w:rPr>
        <w:t>Beroš</w:t>
      </w:r>
      <w:proofErr w:type="spellEnd"/>
      <w:r w:rsidR="009F3297" w:rsidRPr="008C08D4">
        <w:rPr>
          <w:rFonts w:ascii="Times New Roman" w:hAnsi="Times New Roman" w:cs="Times New Roman"/>
          <w:sz w:val="20"/>
          <w:szCs w:val="20"/>
          <w:lang w:val="en-GB"/>
        </w:rPr>
        <w:t>, M. (2017)</w:t>
      </w:r>
      <w:r w:rsidRPr="008C08D4">
        <w:rPr>
          <w:rFonts w:ascii="Times New Roman" w:hAnsi="Times New Roman" w:cs="Times New Roman"/>
          <w:sz w:val="20"/>
          <w:szCs w:val="20"/>
          <w:lang w:val="en-GB"/>
        </w:rPr>
        <w:t>,</w:t>
      </w:r>
      <w:r w:rsidR="009F3297" w:rsidRPr="008C08D4">
        <w:rPr>
          <w:rFonts w:ascii="Times New Roman" w:hAnsi="Times New Roman" w:cs="Times New Roman"/>
          <w:sz w:val="20"/>
          <w:szCs w:val="20"/>
          <w:lang w:val="en-GB"/>
        </w:rPr>
        <w:t xml:space="preserve"> </w:t>
      </w:r>
      <w:r w:rsidRPr="008C08D4">
        <w:rPr>
          <w:rFonts w:ascii="Times New Roman" w:hAnsi="Times New Roman" w:cs="Times New Roman"/>
          <w:sz w:val="20"/>
          <w:szCs w:val="20"/>
          <w:lang w:val="en-GB"/>
        </w:rPr>
        <w:t>‘</w:t>
      </w:r>
      <w:r w:rsidR="009F3297" w:rsidRPr="008C08D4">
        <w:rPr>
          <w:rFonts w:ascii="Times New Roman" w:hAnsi="Times New Roman" w:cs="Times New Roman"/>
          <w:sz w:val="20"/>
          <w:szCs w:val="20"/>
          <w:lang w:val="en-GB"/>
        </w:rPr>
        <w:t>Examining agency governance in the European Union financial sector – a case-study of the European Securities and Markets Authority</w:t>
      </w:r>
      <w:r w:rsidRPr="008C08D4">
        <w:rPr>
          <w:rFonts w:ascii="Times New Roman" w:hAnsi="Times New Roman" w:cs="Times New Roman"/>
          <w:sz w:val="20"/>
          <w:szCs w:val="20"/>
          <w:lang w:val="en-GB"/>
        </w:rPr>
        <w:t>’</w:t>
      </w:r>
      <w:r w:rsidR="009F3297" w:rsidRPr="008C08D4">
        <w:rPr>
          <w:rFonts w:ascii="Times New Roman" w:hAnsi="Times New Roman" w:cs="Times New Roman"/>
          <w:sz w:val="20"/>
          <w:szCs w:val="20"/>
          <w:lang w:val="en-GB"/>
        </w:rPr>
        <w:t xml:space="preserve">, </w:t>
      </w:r>
      <w:r w:rsidR="009F3297" w:rsidRPr="008C08D4">
        <w:rPr>
          <w:rFonts w:ascii="Times New Roman" w:hAnsi="Times New Roman" w:cs="Times New Roman"/>
          <w:i/>
          <w:sz w:val="20"/>
          <w:szCs w:val="20"/>
          <w:lang w:val="en-GB"/>
        </w:rPr>
        <w:t>Economic Research-</w:t>
      </w:r>
      <w:proofErr w:type="spellStart"/>
      <w:r w:rsidR="009F3297" w:rsidRPr="008C08D4">
        <w:rPr>
          <w:rFonts w:ascii="Times New Roman" w:hAnsi="Times New Roman" w:cs="Times New Roman"/>
          <w:i/>
          <w:sz w:val="20"/>
          <w:szCs w:val="20"/>
          <w:lang w:val="en-GB"/>
        </w:rPr>
        <w:t>Ekonomska</w:t>
      </w:r>
      <w:proofErr w:type="spellEnd"/>
      <w:r w:rsidR="009F3297" w:rsidRPr="008C08D4">
        <w:rPr>
          <w:rFonts w:ascii="Times New Roman" w:hAnsi="Times New Roman" w:cs="Times New Roman"/>
          <w:i/>
          <w:sz w:val="20"/>
          <w:szCs w:val="20"/>
          <w:lang w:val="en-GB"/>
        </w:rPr>
        <w:t xml:space="preserve"> </w:t>
      </w:r>
      <w:proofErr w:type="spellStart"/>
      <w:r w:rsidR="009F3297" w:rsidRPr="008C08D4">
        <w:rPr>
          <w:rFonts w:ascii="Times New Roman" w:hAnsi="Times New Roman" w:cs="Times New Roman"/>
          <w:i/>
          <w:sz w:val="20"/>
          <w:szCs w:val="20"/>
          <w:lang w:val="en-GB"/>
        </w:rPr>
        <w:t>Istraživanja</w:t>
      </w:r>
      <w:proofErr w:type="spellEnd"/>
      <w:r w:rsidRPr="008C08D4">
        <w:rPr>
          <w:rFonts w:ascii="Times New Roman" w:hAnsi="Times New Roman" w:cs="Times New Roman"/>
          <w:sz w:val="20"/>
          <w:szCs w:val="20"/>
          <w:lang w:val="en-GB"/>
        </w:rPr>
        <w:t>, 30:1.</w:t>
      </w:r>
    </w:p>
    <w:p w14:paraId="378AFCCF" w14:textId="508D42F5" w:rsidR="00002ACC" w:rsidRDefault="00002ACC" w:rsidP="00002AC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noProof/>
          <w:sz w:val="20"/>
          <w:szCs w:val="20"/>
          <w:lang w:val="en-GB"/>
        </w:rPr>
      </w:pPr>
      <w:r w:rsidRPr="008C08D4">
        <w:rPr>
          <w:rFonts w:ascii="Times New Roman" w:eastAsia="Times New Roman" w:hAnsi="Times New Roman" w:cs="Times New Roman"/>
          <w:sz w:val="20"/>
          <w:szCs w:val="20"/>
        </w:rPr>
        <w:t xml:space="preserve">Banking </w:t>
      </w:r>
      <w:proofErr w:type="spellStart"/>
      <w:r w:rsidRPr="008C08D4">
        <w:rPr>
          <w:rFonts w:ascii="Times New Roman" w:eastAsia="Times New Roman" w:hAnsi="Times New Roman" w:cs="Times New Roman"/>
          <w:sz w:val="20"/>
          <w:szCs w:val="20"/>
        </w:rPr>
        <w:t>and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finance</w:t>
      </w:r>
      <w:proofErr w:type="spellEnd"/>
      <w:r w:rsidRPr="008C08D4">
        <w:rPr>
          <w:rFonts w:ascii="Times New Roman" w:eastAsia="Times New Roman" w:hAnsi="Times New Roman" w:cs="Times New Roman"/>
          <w:sz w:val="20"/>
          <w:szCs w:val="20"/>
        </w:rPr>
        <w:t xml:space="preserve"> EU </w:t>
      </w:r>
      <w:proofErr w:type="spellStart"/>
      <w:r w:rsidRPr="008C08D4">
        <w:rPr>
          <w:rFonts w:ascii="Times New Roman" w:eastAsia="Times New Roman" w:hAnsi="Times New Roman" w:cs="Times New Roman"/>
          <w:sz w:val="20"/>
          <w:szCs w:val="20"/>
        </w:rPr>
        <w:t>regulation</w:t>
      </w:r>
      <w:proofErr w:type="spellEnd"/>
      <w:r w:rsidRPr="008C08D4">
        <w:rPr>
          <w:rFonts w:ascii="Times New Roman" w:eastAsia="Times New Roman" w:hAnsi="Times New Roman" w:cs="Times New Roman"/>
          <w:sz w:val="20"/>
          <w:szCs w:val="20"/>
        </w:rPr>
        <w:t>, (2020) [Online],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October</w:t>
      </w:r>
      <w:proofErr w:type="spellEnd"/>
      <w:r w:rsidRPr="008C08D4">
        <w:rPr>
          <w:rFonts w:ascii="Times New Roman" w:eastAsia="Times New Roman" w:hAnsi="Times New Roman" w:cs="Times New Roman"/>
          <w:sz w:val="20"/>
          <w:szCs w:val="20"/>
        </w:rPr>
        <w:t xml:space="preserve">, 12 2020], </w:t>
      </w:r>
      <w:hyperlink r:id="rId19" w:history="1">
        <w:r w:rsidR="00CF7832" w:rsidRPr="00F343D4">
          <w:rPr>
            <w:rStyle w:val="Hyperlink"/>
            <w:rFonts w:ascii="Times New Roman" w:hAnsi="Times New Roman" w:cs="Times New Roman"/>
            <w:noProof/>
            <w:sz w:val="20"/>
            <w:szCs w:val="20"/>
            <w:lang w:val="en-GB"/>
          </w:rPr>
          <w:t>https://ec.europa.eu/info/business-economy-euro/banking-and-finance/regulatory-process-financial-services/regulatory-process-financial-services_e</w:t>
        </w:r>
      </w:hyperlink>
    </w:p>
    <w:p w14:paraId="2F581DBB" w14:textId="7C6F7B30" w:rsidR="00CF7832" w:rsidRDefault="00CF7832" w:rsidP="00CF7832">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noProof/>
          <w:sz w:val="20"/>
          <w:szCs w:val="20"/>
          <w:lang w:val="en-GB"/>
        </w:rPr>
      </w:pPr>
      <w:r w:rsidRPr="00CF7832">
        <w:rPr>
          <w:rFonts w:ascii="Times New Roman" w:hAnsi="Times New Roman" w:cs="Times New Roman"/>
          <w:noProof/>
          <w:sz w:val="20"/>
          <w:szCs w:val="20"/>
          <w:lang w:val="en-GB"/>
        </w:rPr>
        <w:t xml:space="preserve">Becker, P. (2019). </w:t>
      </w:r>
      <w:r>
        <w:rPr>
          <w:rFonts w:ascii="Times New Roman" w:hAnsi="Times New Roman" w:cs="Times New Roman"/>
          <w:noProof/>
          <w:sz w:val="20"/>
          <w:szCs w:val="20"/>
          <w:lang w:val="en-GB"/>
        </w:rPr>
        <w:t>‘</w:t>
      </w:r>
      <w:r w:rsidRPr="00CF7832">
        <w:rPr>
          <w:rFonts w:ascii="Times New Roman" w:hAnsi="Times New Roman" w:cs="Times New Roman"/>
          <w:noProof/>
          <w:sz w:val="20"/>
          <w:szCs w:val="20"/>
          <w:lang w:val="en-GB"/>
        </w:rPr>
        <w:t>A new budget for the EU: negotiations on the multiannual financial framework 2021-2027</w:t>
      </w:r>
      <w:r>
        <w:rPr>
          <w:rFonts w:ascii="Times New Roman" w:hAnsi="Times New Roman" w:cs="Times New Roman"/>
          <w:noProof/>
          <w:sz w:val="20"/>
          <w:szCs w:val="20"/>
          <w:lang w:val="en-GB"/>
        </w:rPr>
        <w:t>’, (</w:t>
      </w:r>
      <w:r w:rsidRPr="00CF7832">
        <w:rPr>
          <w:rFonts w:ascii="Times New Roman" w:hAnsi="Times New Roman" w:cs="Times New Roman"/>
          <w:i/>
          <w:noProof/>
          <w:sz w:val="20"/>
          <w:szCs w:val="20"/>
          <w:lang w:val="en-GB"/>
        </w:rPr>
        <w:t>SWP Research Paper</w:t>
      </w:r>
      <w:r w:rsidRPr="00CF7832">
        <w:rPr>
          <w:rFonts w:ascii="Times New Roman" w:hAnsi="Times New Roman" w:cs="Times New Roman"/>
          <w:noProof/>
          <w:sz w:val="20"/>
          <w:szCs w:val="20"/>
          <w:lang w:val="en-GB"/>
        </w:rPr>
        <w:t>, 11/2019). Berlin: Stiftung Wissenschaft und Politik -SWP- Deutsches Inst</w:t>
      </w:r>
      <w:r>
        <w:rPr>
          <w:rFonts w:ascii="Times New Roman" w:hAnsi="Times New Roman" w:cs="Times New Roman"/>
          <w:noProof/>
          <w:sz w:val="20"/>
          <w:szCs w:val="20"/>
          <w:lang w:val="en-GB"/>
        </w:rPr>
        <w:t xml:space="preserve">itut für Internationale Politik </w:t>
      </w:r>
      <w:r w:rsidRPr="00CF7832">
        <w:rPr>
          <w:rFonts w:ascii="Times New Roman" w:hAnsi="Times New Roman" w:cs="Times New Roman"/>
          <w:noProof/>
          <w:sz w:val="20"/>
          <w:szCs w:val="20"/>
          <w:lang w:val="en-GB"/>
        </w:rPr>
        <w:t>und Sicherheit.</w:t>
      </w:r>
    </w:p>
    <w:p w14:paraId="04ED2FD2" w14:textId="2CB54390" w:rsidR="007C1C40" w:rsidRPr="008C08D4" w:rsidRDefault="007543EC" w:rsidP="00C1392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cs="Times New Roman"/>
          <w:noProof/>
          <w:sz w:val="20"/>
          <w:szCs w:val="20"/>
          <w:lang w:val="en-GB"/>
        </w:rPr>
      </w:pPr>
      <w:r w:rsidRPr="008C08D4">
        <w:rPr>
          <w:rFonts w:ascii="Times New Roman" w:hAnsi="Times New Roman" w:cs="Times New Roman"/>
          <w:noProof/>
          <w:sz w:val="20"/>
          <w:szCs w:val="20"/>
          <w:lang w:val="en-GB"/>
        </w:rPr>
        <w:t xml:space="preserve">Belke, A. and </w:t>
      </w:r>
      <w:r w:rsidR="007C1C40" w:rsidRPr="008C08D4">
        <w:rPr>
          <w:rFonts w:ascii="Times New Roman" w:hAnsi="Times New Roman" w:cs="Times New Roman"/>
          <w:noProof/>
          <w:sz w:val="20"/>
          <w:szCs w:val="20"/>
          <w:lang w:val="en-GB"/>
        </w:rPr>
        <w:t>Gros</w:t>
      </w:r>
      <w:r w:rsidRPr="008C08D4">
        <w:rPr>
          <w:rFonts w:ascii="Times New Roman" w:hAnsi="Times New Roman" w:cs="Times New Roman"/>
          <w:noProof/>
          <w:sz w:val="20"/>
          <w:szCs w:val="20"/>
          <w:lang w:val="en-GB"/>
        </w:rPr>
        <w:t>, D</w:t>
      </w:r>
      <w:r w:rsidR="007C1C40" w:rsidRPr="008C08D4">
        <w:rPr>
          <w:rFonts w:ascii="Times New Roman" w:hAnsi="Times New Roman" w:cs="Times New Roman"/>
          <w:noProof/>
          <w:sz w:val="20"/>
          <w:szCs w:val="20"/>
          <w:lang w:val="en-GB"/>
        </w:rPr>
        <w:t xml:space="preserve">. </w:t>
      </w:r>
      <w:r w:rsidRPr="008C08D4">
        <w:rPr>
          <w:rFonts w:ascii="Times New Roman" w:hAnsi="Times New Roman" w:cs="Times New Roman"/>
          <w:noProof/>
          <w:sz w:val="20"/>
          <w:szCs w:val="20"/>
          <w:lang w:val="en-GB"/>
        </w:rPr>
        <w:t>(</w:t>
      </w:r>
      <w:r w:rsidR="007C1C40" w:rsidRPr="008C08D4">
        <w:rPr>
          <w:rFonts w:ascii="Times New Roman" w:hAnsi="Times New Roman" w:cs="Times New Roman"/>
          <w:noProof/>
          <w:sz w:val="20"/>
          <w:szCs w:val="20"/>
          <w:lang w:val="en-GB"/>
        </w:rPr>
        <w:t>2016</w:t>
      </w:r>
      <w:r w:rsidRPr="008C08D4">
        <w:rPr>
          <w:rFonts w:ascii="Times New Roman" w:hAnsi="Times New Roman" w:cs="Times New Roman"/>
          <w:noProof/>
          <w:sz w:val="20"/>
          <w:szCs w:val="20"/>
          <w:lang w:val="en-GB"/>
        </w:rPr>
        <w:t>),</w:t>
      </w:r>
      <w:r w:rsidR="007C1C40" w:rsidRPr="008C08D4">
        <w:rPr>
          <w:rFonts w:ascii="Times New Roman" w:hAnsi="Times New Roman" w:cs="Times New Roman"/>
          <w:noProof/>
          <w:sz w:val="20"/>
          <w:szCs w:val="20"/>
          <w:lang w:val="en-GB"/>
        </w:rPr>
        <w:t xml:space="preserve"> </w:t>
      </w:r>
      <w:r w:rsidRPr="008C08D4">
        <w:rPr>
          <w:rFonts w:ascii="Times New Roman" w:hAnsi="Times New Roman" w:cs="Times New Roman"/>
          <w:noProof/>
          <w:sz w:val="20"/>
          <w:szCs w:val="20"/>
          <w:lang w:val="en-GB"/>
        </w:rPr>
        <w:t>‘</w:t>
      </w:r>
      <w:r w:rsidR="007C1C40" w:rsidRPr="008C08D4">
        <w:rPr>
          <w:rFonts w:ascii="Times New Roman" w:hAnsi="Times New Roman" w:cs="Times New Roman"/>
          <w:iCs/>
          <w:noProof/>
          <w:sz w:val="20"/>
          <w:szCs w:val="20"/>
          <w:lang w:val="en-GB"/>
        </w:rPr>
        <w:t>Banking Union as a Shock Absorber</w:t>
      </w:r>
      <w:r w:rsidRPr="008C08D4">
        <w:rPr>
          <w:rFonts w:ascii="Times New Roman" w:hAnsi="Times New Roman" w:cs="Times New Roman"/>
          <w:iCs/>
          <w:noProof/>
          <w:sz w:val="20"/>
          <w:szCs w:val="20"/>
          <w:lang w:val="en-GB"/>
        </w:rPr>
        <w:t>’</w:t>
      </w:r>
      <w:r w:rsidR="007C1C40" w:rsidRPr="008C08D4">
        <w:rPr>
          <w:rFonts w:ascii="Times New Roman" w:hAnsi="Times New Roman" w:cs="Times New Roman"/>
          <w:noProof/>
          <w:sz w:val="20"/>
          <w:szCs w:val="20"/>
          <w:lang w:val="en-GB"/>
        </w:rPr>
        <w:t xml:space="preserve">. </w:t>
      </w:r>
      <w:r w:rsidR="007C1C40" w:rsidRPr="008C08D4">
        <w:rPr>
          <w:rFonts w:ascii="Times New Roman" w:hAnsi="Times New Roman" w:cs="Times New Roman"/>
          <w:i/>
          <w:noProof/>
          <w:sz w:val="20"/>
          <w:szCs w:val="20"/>
          <w:lang w:val="en-GB"/>
        </w:rPr>
        <w:t>Ruhr Economic Papers</w:t>
      </w:r>
      <w:r w:rsidR="00002ACC" w:rsidRPr="008C08D4">
        <w:rPr>
          <w:rFonts w:ascii="Times New Roman" w:hAnsi="Times New Roman" w:cs="Times New Roman"/>
          <w:noProof/>
          <w:sz w:val="20"/>
          <w:szCs w:val="20"/>
          <w:lang w:val="en-GB"/>
        </w:rPr>
        <w:t xml:space="preserve"> </w:t>
      </w:r>
      <w:r w:rsidR="007C1C40" w:rsidRPr="008C08D4">
        <w:rPr>
          <w:rFonts w:ascii="Times New Roman" w:hAnsi="Times New Roman" w:cs="Times New Roman"/>
          <w:noProof/>
          <w:sz w:val="20"/>
          <w:szCs w:val="20"/>
          <w:lang w:val="en-GB"/>
        </w:rPr>
        <w:t xml:space="preserve">#548 </w:t>
      </w:r>
    </w:p>
    <w:p w14:paraId="1A5041C4" w14:textId="549413A9" w:rsidR="007C1C40" w:rsidRPr="008C08D4" w:rsidRDefault="007543EC" w:rsidP="007543E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en-GB"/>
        </w:rPr>
      </w:pPr>
      <w:r w:rsidRPr="008C08D4">
        <w:rPr>
          <w:rFonts w:ascii="Times New Roman" w:hAnsi="Times New Roman" w:cs="Times New Roman"/>
          <w:noProof/>
          <w:sz w:val="20"/>
          <w:szCs w:val="20"/>
          <w:lang w:val="en-GB"/>
        </w:rPr>
        <w:lastRenderedPageBreak/>
        <w:t>Belke, A. and Gros, D</w:t>
      </w:r>
      <w:r w:rsidR="007C1C40" w:rsidRPr="008C08D4">
        <w:rPr>
          <w:rFonts w:ascii="Times New Roman" w:hAnsi="Times New Roman" w:cs="Times New Roman"/>
          <w:noProof/>
          <w:sz w:val="20"/>
          <w:szCs w:val="20"/>
          <w:lang w:val="en-GB"/>
        </w:rPr>
        <w:t xml:space="preserve">. </w:t>
      </w:r>
      <w:r w:rsidRPr="008C08D4">
        <w:rPr>
          <w:rFonts w:ascii="Times New Roman" w:hAnsi="Times New Roman" w:cs="Times New Roman"/>
          <w:noProof/>
          <w:sz w:val="20"/>
          <w:szCs w:val="20"/>
          <w:lang w:val="en-GB"/>
        </w:rPr>
        <w:t>(</w:t>
      </w:r>
      <w:r w:rsidR="007C1C40" w:rsidRPr="008C08D4">
        <w:rPr>
          <w:rFonts w:ascii="Times New Roman" w:hAnsi="Times New Roman" w:cs="Times New Roman"/>
          <w:noProof/>
          <w:sz w:val="20"/>
          <w:szCs w:val="20"/>
          <w:lang w:val="en-GB"/>
        </w:rPr>
        <w:t>2016</w:t>
      </w:r>
      <w:r w:rsidRPr="008C08D4">
        <w:rPr>
          <w:rFonts w:ascii="Times New Roman" w:hAnsi="Times New Roman" w:cs="Times New Roman"/>
          <w:noProof/>
          <w:sz w:val="20"/>
          <w:szCs w:val="20"/>
          <w:lang w:val="en-GB"/>
        </w:rPr>
        <w:t>),</w:t>
      </w:r>
      <w:r w:rsidR="007C1C40" w:rsidRPr="008C08D4">
        <w:rPr>
          <w:rFonts w:ascii="Times New Roman" w:hAnsi="Times New Roman" w:cs="Times New Roman"/>
          <w:noProof/>
          <w:sz w:val="20"/>
          <w:szCs w:val="20"/>
          <w:lang w:val="en-GB"/>
        </w:rPr>
        <w:t xml:space="preserve"> </w:t>
      </w:r>
      <w:r w:rsidRPr="008C08D4">
        <w:rPr>
          <w:rFonts w:ascii="Times New Roman" w:hAnsi="Times New Roman" w:cs="Times New Roman"/>
          <w:noProof/>
          <w:sz w:val="20"/>
          <w:szCs w:val="20"/>
          <w:lang w:val="en-GB"/>
        </w:rPr>
        <w:t>‘</w:t>
      </w:r>
      <w:r w:rsidR="007C1C40" w:rsidRPr="008C08D4">
        <w:rPr>
          <w:rFonts w:ascii="Times New Roman" w:hAnsi="Times New Roman" w:cs="Times New Roman"/>
          <w:iCs/>
          <w:noProof/>
          <w:sz w:val="20"/>
          <w:szCs w:val="20"/>
          <w:lang w:val="en-GB"/>
        </w:rPr>
        <w:t xml:space="preserve">On the Shock-Absorbing Properties of a Banking Union: </w:t>
      </w:r>
      <w:r w:rsidRPr="008C08D4">
        <w:rPr>
          <w:rFonts w:ascii="Times New Roman" w:hAnsi="Times New Roman" w:cs="Times New Roman"/>
          <w:iCs/>
          <w:noProof/>
          <w:sz w:val="20"/>
          <w:szCs w:val="20"/>
          <w:lang w:val="en-GB"/>
        </w:rPr>
        <w:t xml:space="preserve">Europe </w:t>
      </w:r>
      <w:r w:rsidR="007C1C40" w:rsidRPr="008C08D4">
        <w:rPr>
          <w:rFonts w:ascii="Times New Roman" w:hAnsi="Times New Roman" w:cs="Times New Roman"/>
          <w:iCs/>
          <w:noProof/>
          <w:sz w:val="20"/>
          <w:szCs w:val="20"/>
          <w:lang w:val="en-GB"/>
        </w:rPr>
        <w:t>Compared with the United</w:t>
      </w:r>
      <w:r w:rsidR="007C1C40" w:rsidRPr="008C08D4">
        <w:rPr>
          <w:rFonts w:ascii="Times New Roman" w:hAnsi="Times New Roman" w:cs="Times New Roman"/>
          <w:iCs/>
          <w:sz w:val="20"/>
          <w:szCs w:val="20"/>
          <w:lang w:val="en-GB"/>
        </w:rPr>
        <w:t xml:space="preserve"> States</w:t>
      </w:r>
      <w:r w:rsidRPr="008C08D4">
        <w:rPr>
          <w:rFonts w:ascii="Times New Roman" w:hAnsi="Times New Roman" w:cs="Times New Roman"/>
          <w:iCs/>
          <w:sz w:val="20"/>
          <w:szCs w:val="20"/>
          <w:lang w:val="en-GB"/>
        </w:rPr>
        <w:t>’</w:t>
      </w:r>
      <w:r w:rsidRPr="008C08D4">
        <w:rPr>
          <w:rFonts w:ascii="Times New Roman" w:hAnsi="Times New Roman" w:cs="Times New Roman"/>
          <w:sz w:val="20"/>
          <w:szCs w:val="20"/>
          <w:lang w:val="en-GB"/>
        </w:rPr>
        <w:t xml:space="preserve">, </w:t>
      </w:r>
      <w:r w:rsidR="007C1C40" w:rsidRPr="008C08D4">
        <w:rPr>
          <w:rFonts w:ascii="Times New Roman" w:hAnsi="Times New Roman" w:cs="Times New Roman"/>
          <w:i/>
          <w:sz w:val="20"/>
          <w:szCs w:val="20"/>
          <w:lang w:val="en-GB"/>
        </w:rPr>
        <w:t>Comparative Economic Studies</w:t>
      </w:r>
      <w:r w:rsidR="007C1C40" w:rsidRPr="008C08D4">
        <w:rPr>
          <w:rFonts w:ascii="Times New Roman" w:hAnsi="Times New Roman" w:cs="Times New Roman"/>
          <w:sz w:val="20"/>
          <w:szCs w:val="20"/>
          <w:lang w:val="en-GB"/>
        </w:rPr>
        <w:t>, Palgrave Macmillan; Association for Comparative Econ</w:t>
      </w:r>
      <w:r w:rsidRPr="008C08D4">
        <w:rPr>
          <w:rFonts w:ascii="Times New Roman" w:hAnsi="Times New Roman" w:cs="Times New Roman"/>
          <w:sz w:val="20"/>
          <w:szCs w:val="20"/>
          <w:lang w:val="en-GB"/>
        </w:rPr>
        <w:t>omic Studies, 58(3),</w:t>
      </w:r>
      <w:r w:rsidR="008B1BF2" w:rsidRPr="008C08D4">
        <w:rPr>
          <w:rFonts w:ascii="Times New Roman" w:hAnsi="Times New Roman" w:cs="Times New Roman"/>
          <w:sz w:val="20"/>
          <w:szCs w:val="20"/>
          <w:lang w:val="en-GB"/>
        </w:rPr>
        <w:t xml:space="preserve"> </w:t>
      </w:r>
      <w:r w:rsidR="007C1C40" w:rsidRPr="008C08D4">
        <w:rPr>
          <w:rFonts w:ascii="Times New Roman" w:hAnsi="Times New Roman" w:cs="Times New Roman"/>
          <w:sz w:val="20"/>
          <w:szCs w:val="20"/>
          <w:lang w:val="en-GB"/>
        </w:rPr>
        <w:t>359-386</w:t>
      </w:r>
      <w:r w:rsidRPr="008C08D4">
        <w:rPr>
          <w:rFonts w:ascii="Times New Roman" w:hAnsi="Times New Roman" w:cs="Times New Roman"/>
          <w:sz w:val="20"/>
          <w:szCs w:val="20"/>
          <w:lang w:val="en-GB"/>
        </w:rPr>
        <w:t>.</w:t>
      </w:r>
    </w:p>
    <w:p w14:paraId="3BEE98EA" w14:textId="77777777" w:rsidR="007543EC" w:rsidRPr="008C08D4" w:rsidRDefault="007543EC" w:rsidP="007543E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en-GB"/>
        </w:rPr>
      </w:pPr>
    </w:p>
    <w:p w14:paraId="13F7B1B4" w14:textId="7A88BCC8" w:rsidR="00D97981" w:rsidRDefault="007543EC" w:rsidP="007543E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en-GB"/>
        </w:rPr>
      </w:pPr>
      <w:proofErr w:type="spellStart"/>
      <w:r w:rsidRPr="008C08D4">
        <w:rPr>
          <w:rFonts w:ascii="Times New Roman" w:hAnsi="Times New Roman" w:cs="Times New Roman"/>
          <w:sz w:val="20"/>
          <w:szCs w:val="20"/>
          <w:lang w:val="en-GB"/>
        </w:rPr>
        <w:t>Belke</w:t>
      </w:r>
      <w:proofErr w:type="spellEnd"/>
      <w:r w:rsidRPr="008C08D4">
        <w:rPr>
          <w:rFonts w:ascii="Times New Roman" w:hAnsi="Times New Roman" w:cs="Times New Roman"/>
          <w:sz w:val="20"/>
          <w:szCs w:val="20"/>
          <w:lang w:val="en-GB"/>
        </w:rPr>
        <w:t xml:space="preserve">, A, </w:t>
      </w:r>
      <w:r w:rsidR="000C0AF9" w:rsidRPr="008C08D4">
        <w:rPr>
          <w:rFonts w:ascii="Times New Roman" w:hAnsi="Times New Roman" w:cs="Times New Roman"/>
          <w:sz w:val="20"/>
          <w:szCs w:val="20"/>
          <w:lang w:val="en-GB"/>
        </w:rPr>
        <w:t>Gros,</w:t>
      </w:r>
      <w:r w:rsidRPr="008C08D4">
        <w:rPr>
          <w:rFonts w:ascii="Times New Roman" w:hAnsi="Times New Roman" w:cs="Times New Roman"/>
          <w:sz w:val="20"/>
          <w:szCs w:val="20"/>
          <w:lang w:val="en-GB"/>
        </w:rPr>
        <w:t xml:space="preserve"> D. and </w:t>
      </w:r>
      <w:proofErr w:type="spellStart"/>
      <w:r w:rsidR="000C0AF9" w:rsidRPr="008C08D4">
        <w:rPr>
          <w:rFonts w:ascii="Times New Roman" w:hAnsi="Times New Roman" w:cs="Times New Roman"/>
          <w:sz w:val="20"/>
          <w:szCs w:val="20"/>
          <w:lang w:val="en-GB"/>
        </w:rPr>
        <w:t>Smaga</w:t>
      </w:r>
      <w:proofErr w:type="spellEnd"/>
      <w:r w:rsidR="000C0AF9" w:rsidRPr="008C08D4">
        <w:rPr>
          <w:rFonts w:ascii="Times New Roman" w:hAnsi="Times New Roman" w:cs="Times New Roman"/>
          <w:sz w:val="20"/>
          <w:szCs w:val="20"/>
          <w:lang w:val="en-GB"/>
        </w:rPr>
        <w:t>,</w:t>
      </w:r>
      <w:r w:rsidRPr="008C08D4">
        <w:rPr>
          <w:rFonts w:ascii="Times New Roman" w:hAnsi="Times New Roman" w:cs="Times New Roman"/>
          <w:sz w:val="20"/>
          <w:szCs w:val="20"/>
          <w:lang w:val="en-GB"/>
        </w:rPr>
        <w:t xml:space="preserve"> P. (2016),</w:t>
      </w:r>
      <w:r w:rsidR="000C0AF9" w:rsidRPr="008C08D4">
        <w:rPr>
          <w:rFonts w:ascii="Times New Roman" w:hAnsi="Times New Roman" w:cs="Times New Roman"/>
          <w:sz w:val="20"/>
          <w:szCs w:val="20"/>
          <w:lang w:val="en-GB"/>
        </w:rPr>
        <w:t xml:space="preserve"> </w:t>
      </w:r>
      <w:r w:rsidRPr="008C08D4">
        <w:rPr>
          <w:rFonts w:ascii="Times New Roman" w:hAnsi="Times New Roman" w:cs="Times New Roman"/>
          <w:sz w:val="20"/>
          <w:szCs w:val="20"/>
          <w:lang w:val="en-GB"/>
        </w:rPr>
        <w:t>‘</w:t>
      </w:r>
      <w:r w:rsidR="000C0AF9" w:rsidRPr="008C08D4">
        <w:rPr>
          <w:rFonts w:ascii="Times New Roman" w:hAnsi="Times New Roman" w:cs="Times New Roman"/>
          <w:sz w:val="20"/>
          <w:szCs w:val="20"/>
          <w:lang w:val="en-GB"/>
        </w:rPr>
        <w:t>(When) should a non-euro c</w:t>
      </w:r>
      <w:r w:rsidRPr="008C08D4">
        <w:rPr>
          <w:rFonts w:ascii="Times New Roman" w:hAnsi="Times New Roman" w:cs="Times New Roman"/>
          <w:sz w:val="20"/>
          <w:szCs w:val="20"/>
          <w:lang w:val="en-GB"/>
        </w:rPr>
        <w:t>ountry join the banking union?’</w:t>
      </w:r>
      <w:r w:rsidR="000C0AF9" w:rsidRPr="008C08D4">
        <w:rPr>
          <w:rFonts w:ascii="Times New Roman" w:hAnsi="Times New Roman" w:cs="Times New Roman"/>
          <w:sz w:val="20"/>
          <w:szCs w:val="20"/>
          <w:lang w:val="en-GB"/>
        </w:rPr>
        <w:t xml:space="preserve"> </w:t>
      </w:r>
      <w:r w:rsidR="000C0AF9" w:rsidRPr="008C08D4">
        <w:rPr>
          <w:rFonts w:ascii="Times New Roman" w:hAnsi="Times New Roman" w:cs="Times New Roman"/>
          <w:i/>
          <w:sz w:val="20"/>
          <w:szCs w:val="20"/>
          <w:lang w:val="en-GB"/>
        </w:rPr>
        <w:t>The Journal of Economic Asymmetries,</w:t>
      </w:r>
      <w:r w:rsidRPr="008C08D4">
        <w:rPr>
          <w:rFonts w:ascii="Times New Roman" w:hAnsi="Times New Roman" w:cs="Times New Roman"/>
          <w:sz w:val="20"/>
          <w:szCs w:val="20"/>
          <w:lang w:val="en-GB"/>
        </w:rPr>
        <w:t xml:space="preserve">14, Part A, 2016, </w:t>
      </w:r>
      <w:r w:rsidR="000C0AF9" w:rsidRPr="008C08D4">
        <w:rPr>
          <w:rFonts w:ascii="Times New Roman" w:hAnsi="Times New Roman" w:cs="Times New Roman"/>
          <w:sz w:val="20"/>
          <w:szCs w:val="20"/>
          <w:lang w:val="en-GB"/>
        </w:rPr>
        <w:t>4-19</w:t>
      </w:r>
      <w:r w:rsidRPr="008C08D4">
        <w:rPr>
          <w:rFonts w:ascii="Times New Roman" w:hAnsi="Times New Roman" w:cs="Times New Roman"/>
          <w:sz w:val="20"/>
          <w:szCs w:val="20"/>
          <w:lang w:val="en-GB"/>
        </w:rPr>
        <w:t xml:space="preserve">, </w:t>
      </w:r>
      <w:r w:rsidRPr="008C08D4">
        <w:rPr>
          <w:rFonts w:ascii="Times New Roman" w:eastAsia="Times New Roman" w:hAnsi="Times New Roman" w:cs="Times New Roman"/>
          <w:sz w:val="20"/>
          <w:szCs w:val="20"/>
        </w:rPr>
        <w:t>[Online],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January</w:t>
      </w:r>
      <w:proofErr w:type="spellEnd"/>
      <w:r w:rsidRPr="008C08D4">
        <w:rPr>
          <w:rFonts w:ascii="Times New Roman" w:eastAsia="Times New Roman" w:hAnsi="Times New Roman" w:cs="Times New Roman"/>
          <w:sz w:val="20"/>
          <w:szCs w:val="20"/>
        </w:rPr>
        <w:t xml:space="preserve"> 2, 2021], </w:t>
      </w:r>
      <w:hyperlink r:id="rId20" w:history="1">
        <w:r w:rsidR="00326CA3" w:rsidRPr="008C08D4">
          <w:rPr>
            <w:rStyle w:val="Hyperlink"/>
            <w:rFonts w:ascii="Times New Roman" w:hAnsi="Times New Roman" w:cs="Times New Roman"/>
            <w:color w:val="auto"/>
            <w:sz w:val="20"/>
            <w:szCs w:val="20"/>
            <w:u w:val="none"/>
            <w:lang w:val="en-GB"/>
          </w:rPr>
          <w:t>https://doi.org/10.1016/j.jeca.2016.07.008</w:t>
        </w:r>
      </w:hyperlink>
      <w:r w:rsidR="000C0AF9" w:rsidRPr="008C08D4">
        <w:rPr>
          <w:rFonts w:ascii="Times New Roman" w:hAnsi="Times New Roman" w:cs="Times New Roman"/>
          <w:sz w:val="20"/>
          <w:szCs w:val="20"/>
          <w:lang w:val="en-GB"/>
        </w:rPr>
        <w:t>.</w:t>
      </w:r>
    </w:p>
    <w:p w14:paraId="6ABF320D" w14:textId="43EFFE0E" w:rsidR="008B5D9B" w:rsidRDefault="008B5D9B" w:rsidP="007543E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en-GB"/>
        </w:rPr>
      </w:pPr>
    </w:p>
    <w:p w14:paraId="68F2370D" w14:textId="0CED22B2" w:rsidR="008B5D9B" w:rsidRPr="008C08D4" w:rsidRDefault="008B5D9B" w:rsidP="007543E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en-GB"/>
        </w:rPr>
      </w:pPr>
      <w:proofErr w:type="spellStart"/>
      <w:r>
        <w:rPr>
          <w:rFonts w:ascii="Times New Roman" w:hAnsi="Times New Roman" w:cs="Times New Roman"/>
          <w:sz w:val="20"/>
          <w:szCs w:val="20"/>
          <w:lang w:val="en-GB"/>
        </w:rPr>
        <w:t>Chavaz</w:t>
      </w:r>
      <w:proofErr w:type="spellEnd"/>
      <w:r>
        <w:rPr>
          <w:rFonts w:ascii="Times New Roman" w:hAnsi="Times New Roman" w:cs="Times New Roman"/>
          <w:sz w:val="20"/>
          <w:szCs w:val="20"/>
          <w:lang w:val="en-GB"/>
        </w:rPr>
        <w:t>, M. and Elliott, D. (2020),</w:t>
      </w:r>
      <w:r w:rsidRPr="008B5D9B">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8B5D9B">
        <w:rPr>
          <w:rFonts w:ascii="Times New Roman" w:hAnsi="Times New Roman" w:cs="Times New Roman"/>
          <w:sz w:val="20"/>
          <w:szCs w:val="20"/>
          <w:lang w:val="en-GB"/>
        </w:rPr>
        <w:t>Separating Retail and Investment Banking: Evidence from the UK</w:t>
      </w:r>
      <w:r>
        <w:rPr>
          <w:rFonts w:ascii="Times New Roman" w:hAnsi="Times New Roman" w:cs="Times New Roman"/>
          <w:sz w:val="20"/>
          <w:szCs w:val="20"/>
          <w:lang w:val="en-GB"/>
        </w:rPr>
        <w:t>’</w:t>
      </w:r>
      <w:r w:rsidRPr="008B5D9B">
        <w:rPr>
          <w:rFonts w:ascii="Times New Roman" w:hAnsi="Times New Roman" w:cs="Times New Roman"/>
          <w:sz w:val="20"/>
          <w:szCs w:val="20"/>
          <w:lang w:val="en-GB"/>
        </w:rPr>
        <w:t xml:space="preserve"> (November 27, 2020). Bank of England Working Paper No. 892, Available at SSRN: https://ssrn.com/abstract=3744276 or http://dx.doi.org/10.2139/ssrn.3744276</w:t>
      </w:r>
    </w:p>
    <w:p w14:paraId="69CDDE39" w14:textId="77777777" w:rsidR="00315780" w:rsidRDefault="00315780" w:rsidP="00002ACC">
      <w:pPr>
        <w:jc w:val="both"/>
        <w:rPr>
          <w:rFonts w:ascii="Times New Roman" w:eastAsia="Times New Roman" w:hAnsi="Times New Roman" w:cs="Times New Roman"/>
          <w:sz w:val="20"/>
          <w:szCs w:val="20"/>
        </w:rPr>
      </w:pPr>
    </w:p>
    <w:p w14:paraId="233F4227" w14:textId="3C1099A0" w:rsidR="00002ACC" w:rsidRDefault="00002ACC" w:rsidP="00002ACC">
      <w:pPr>
        <w:jc w:val="both"/>
        <w:rPr>
          <w:rStyle w:val="Hyperlink"/>
          <w:rFonts w:ascii="Times New Roman" w:hAnsi="Times New Roman" w:cs="Times New Roman"/>
          <w:color w:val="auto"/>
          <w:sz w:val="20"/>
          <w:szCs w:val="20"/>
          <w:lang w:val="en-GB"/>
        </w:rPr>
      </w:pPr>
      <w:proofErr w:type="spellStart"/>
      <w:r w:rsidRPr="008C08D4">
        <w:rPr>
          <w:rFonts w:ascii="Times New Roman" w:eastAsia="Times New Roman" w:hAnsi="Times New Roman" w:cs="Times New Roman"/>
          <w:sz w:val="20"/>
          <w:szCs w:val="20"/>
        </w:rPr>
        <w:t>Comitology</w:t>
      </w:r>
      <w:proofErr w:type="spellEnd"/>
      <w:r w:rsidRPr="008C08D4">
        <w:rPr>
          <w:rFonts w:ascii="Times New Roman" w:eastAsia="Times New Roman" w:hAnsi="Times New Roman" w:cs="Times New Roman"/>
          <w:sz w:val="20"/>
          <w:szCs w:val="20"/>
        </w:rPr>
        <w:t xml:space="preserve"> EU </w:t>
      </w:r>
      <w:proofErr w:type="spellStart"/>
      <w:r w:rsidRPr="008C08D4">
        <w:rPr>
          <w:rFonts w:ascii="Times New Roman" w:eastAsia="Times New Roman" w:hAnsi="Times New Roman" w:cs="Times New Roman"/>
          <w:sz w:val="20"/>
          <w:szCs w:val="20"/>
        </w:rPr>
        <w:t>regulation</w:t>
      </w:r>
      <w:proofErr w:type="spellEnd"/>
      <w:r w:rsidRPr="008C08D4">
        <w:rPr>
          <w:rFonts w:ascii="Times New Roman" w:eastAsia="Times New Roman" w:hAnsi="Times New Roman" w:cs="Times New Roman"/>
          <w:sz w:val="20"/>
          <w:szCs w:val="20"/>
        </w:rPr>
        <w:t xml:space="preserve"> (2020), [Online],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December</w:t>
      </w:r>
      <w:proofErr w:type="spellEnd"/>
      <w:r w:rsidRPr="008C08D4">
        <w:rPr>
          <w:rFonts w:ascii="Times New Roman" w:eastAsia="Times New Roman" w:hAnsi="Times New Roman" w:cs="Times New Roman"/>
          <w:sz w:val="20"/>
          <w:szCs w:val="20"/>
        </w:rPr>
        <w:t xml:space="preserve"> 13, 2020], </w:t>
      </w:r>
      <w:r w:rsidRPr="008C08D4">
        <w:rPr>
          <w:rFonts w:ascii="Times New Roman" w:hAnsi="Times New Roman" w:cs="Times New Roman"/>
          <w:sz w:val="20"/>
          <w:szCs w:val="20"/>
          <w:lang w:val="en-GB"/>
        </w:rPr>
        <w:t>(</w:t>
      </w:r>
      <w:hyperlink r:id="rId21" w:anchor="comitology-committees-working-on-financial-regulation" w:history="1">
        <w:r w:rsidRPr="008C08D4">
          <w:rPr>
            <w:rStyle w:val="Hyperlink"/>
            <w:rFonts w:ascii="Times New Roman" w:hAnsi="Times New Roman" w:cs="Times New Roman"/>
            <w:color w:val="auto"/>
            <w:sz w:val="20"/>
            <w:szCs w:val="20"/>
            <w:lang w:val="en-GB"/>
          </w:rPr>
          <w:t>https://ec.europa.eu/info/business-economy-euro/banking-and-finance/regulatory-process-financial-services/expert-groups-comitology-and-other-committees_hr#comitology-committees-working-on-financial-regulation</w:t>
        </w:r>
      </w:hyperlink>
    </w:p>
    <w:p w14:paraId="63E25688" w14:textId="7236E8B0" w:rsidR="009F2B2B" w:rsidRPr="009F2B2B" w:rsidRDefault="009F2B2B" w:rsidP="00002ACC">
      <w:pPr>
        <w:jc w:val="both"/>
        <w:rPr>
          <w:rStyle w:val="Hyperlink"/>
          <w:rFonts w:ascii="Times New Roman" w:hAnsi="Times New Roman" w:cs="Times New Roman"/>
          <w:color w:val="auto"/>
          <w:sz w:val="20"/>
          <w:szCs w:val="20"/>
          <w:u w:val="none"/>
          <w:lang w:val="en-GB"/>
        </w:rPr>
      </w:pPr>
      <w:r w:rsidRPr="009F2B2B">
        <w:rPr>
          <w:rStyle w:val="Hyperlink"/>
          <w:rFonts w:ascii="Times New Roman" w:hAnsi="Times New Roman" w:cs="Times New Roman"/>
          <w:color w:val="auto"/>
          <w:sz w:val="20"/>
          <w:szCs w:val="20"/>
          <w:u w:val="none"/>
          <w:lang w:val="en-GB"/>
        </w:rPr>
        <w:t xml:space="preserve">Eckert, S. (2021) </w:t>
      </w:r>
      <w:r w:rsidRPr="009F2B2B">
        <w:rPr>
          <w:rFonts w:ascii="Times New Roman" w:eastAsia="Times New Roman" w:hAnsi="Times New Roman" w:cs="Times New Roman"/>
          <w:sz w:val="20"/>
          <w:szCs w:val="20"/>
        </w:rPr>
        <w:t>[Online], [</w:t>
      </w:r>
      <w:proofErr w:type="spellStart"/>
      <w:r w:rsidRPr="009F2B2B">
        <w:rPr>
          <w:rFonts w:ascii="Times New Roman" w:eastAsia="Times New Roman" w:hAnsi="Times New Roman" w:cs="Times New Roman"/>
          <w:sz w:val="20"/>
          <w:szCs w:val="20"/>
        </w:rPr>
        <w:t>Retrieved</w:t>
      </w:r>
      <w:proofErr w:type="spellEnd"/>
      <w:r w:rsidRPr="009F2B2B">
        <w:rPr>
          <w:rFonts w:ascii="Times New Roman" w:eastAsia="Times New Roman" w:hAnsi="Times New Roman" w:cs="Times New Roman"/>
          <w:sz w:val="20"/>
          <w:szCs w:val="20"/>
        </w:rPr>
        <w:t xml:space="preserve"> </w:t>
      </w:r>
      <w:proofErr w:type="spellStart"/>
      <w:r w:rsidRPr="009F2B2B">
        <w:rPr>
          <w:rFonts w:ascii="Times New Roman" w:eastAsia="Times New Roman" w:hAnsi="Times New Roman" w:cs="Times New Roman"/>
          <w:sz w:val="20"/>
          <w:szCs w:val="20"/>
        </w:rPr>
        <w:t>February</w:t>
      </w:r>
      <w:proofErr w:type="spellEnd"/>
      <w:r w:rsidRPr="009F2B2B">
        <w:rPr>
          <w:rFonts w:ascii="Times New Roman" w:eastAsia="Times New Roman" w:hAnsi="Times New Roman" w:cs="Times New Roman"/>
          <w:sz w:val="20"/>
          <w:szCs w:val="20"/>
        </w:rPr>
        <w:t xml:space="preserve"> 26, </w:t>
      </w:r>
      <w:proofErr w:type="gramStart"/>
      <w:r w:rsidRPr="009F2B2B">
        <w:rPr>
          <w:rFonts w:ascii="Times New Roman" w:eastAsia="Times New Roman" w:hAnsi="Times New Roman" w:cs="Times New Roman"/>
          <w:sz w:val="20"/>
          <w:szCs w:val="20"/>
        </w:rPr>
        <w:t>2021]¸</w:t>
      </w:r>
      <w:proofErr w:type="gramEnd"/>
      <w:r w:rsidRPr="009F2B2B">
        <w:rPr>
          <w:rStyle w:val="Hyperlink"/>
          <w:rFonts w:ascii="Times New Roman" w:hAnsi="Times New Roman" w:cs="Times New Roman"/>
          <w:color w:val="auto"/>
          <w:sz w:val="20"/>
          <w:szCs w:val="20"/>
          <w:u w:val="none"/>
          <w:lang w:val="en-GB"/>
        </w:rPr>
        <w:t>https://www.uaces.org/events/eu-regulatory-state-turbulent-age-implications-crises-responses-core-integration</w:t>
      </w:r>
    </w:p>
    <w:p w14:paraId="7A401D89" w14:textId="2FAE63A8" w:rsidR="00326CA3" w:rsidRPr="008C08D4" w:rsidRDefault="007543EC" w:rsidP="007543E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sidRPr="008C08D4">
        <w:rPr>
          <w:rFonts w:ascii="Times New Roman" w:hAnsi="Times New Roman" w:cs="Times New Roman"/>
          <w:sz w:val="20"/>
          <w:szCs w:val="20"/>
          <w:lang w:val="en-GB"/>
        </w:rPr>
        <w:t>ESMA Regulation - Regulation</w:t>
      </w:r>
      <w:r w:rsidR="00326CA3" w:rsidRPr="008C08D4">
        <w:rPr>
          <w:rFonts w:ascii="Times New Roman" w:hAnsi="Times New Roman" w:cs="Times New Roman"/>
          <w:sz w:val="20"/>
          <w:szCs w:val="20"/>
          <w:lang w:val="en-GB"/>
        </w:rPr>
        <w:t xml:space="preserve"> (EU) </w:t>
      </w:r>
      <w:r w:rsidRPr="008C08D4">
        <w:rPr>
          <w:rFonts w:ascii="Times New Roman" w:hAnsi="Times New Roman" w:cs="Times New Roman"/>
          <w:sz w:val="20"/>
          <w:szCs w:val="20"/>
          <w:lang w:val="en-GB"/>
        </w:rPr>
        <w:t xml:space="preserve">(2010), </w:t>
      </w:r>
      <w:r w:rsidR="00326CA3" w:rsidRPr="008C08D4">
        <w:rPr>
          <w:rFonts w:ascii="Times New Roman" w:hAnsi="Times New Roman" w:cs="Times New Roman"/>
          <w:sz w:val="20"/>
          <w:szCs w:val="20"/>
          <w:lang w:val="en-GB"/>
        </w:rPr>
        <w:t>No 1095/2010 OF THE EUROPEAN PARLIAMENT AND OF THE COUNCIL of 24 November 2010 establishing a European Supervisory Authority (European Securities and Markets Authority), mending Decision No 716/2009/EC and repealing Commission Decision 2009/77/EC, (OJ L 331, 15.12.2010</w:t>
      </w:r>
      <w:r w:rsidRPr="008C08D4">
        <w:rPr>
          <w:rFonts w:ascii="Times New Roman" w:hAnsi="Times New Roman" w:cs="Times New Roman"/>
          <w:sz w:val="20"/>
          <w:szCs w:val="20"/>
          <w:lang w:val="en-GB"/>
        </w:rPr>
        <w:t xml:space="preserve">, p. 84). </w:t>
      </w:r>
    </w:p>
    <w:p w14:paraId="64F074CA" w14:textId="0DD4E91C" w:rsidR="00D97981" w:rsidRPr="008C08D4" w:rsidRDefault="007543EC" w:rsidP="007543E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noProof/>
          <w:sz w:val="20"/>
          <w:szCs w:val="20"/>
          <w:lang w:val="en-GB"/>
        </w:rPr>
      </w:pPr>
      <w:r w:rsidRPr="008C08D4">
        <w:rPr>
          <w:rFonts w:ascii="Times New Roman" w:hAnsi="Times New Roman" w:cs="Times New Roman"/>
          <w:noProof/>
          <w:sz w:val="20"/>
          <w:szCs w:val="20"/>
          <w:lang w:val="en-GB"/>
        </w:rPr>
        <w:t>Festić, M.</w:t>
      </w:r>
      <w:r w:rsidR="00D97981" w:rsidRPr="008C08D4">
        <w:rPr>
          <w:rFonts w:ascii="Times New Roman" w:hAnsi="Times New Roman" w:cs="Times New Roman"/>
          <w:noProof/>
          <w:sz w:val="20"/>
          <w:szCs w:val="20"/>
          <w:lang w:val="en-GB"/>
        </w:rPr>
        <w:t xml:space="preserve"> </w:t>
      </w:r>
      <w:r w:rsidRPr="008C08D4">
        <w:rPr>
          <w:rFonts w:ascii="Times New Roman" w:hAnsi="Times New Roman" w:cs="Times New Roman"/>
          <w:noProof/>
          <w:sz w:val="20"/>
          <w:szCs w:val="20"/>
          <w:lang w:val="en-GB"/>
        </w:rPr>
        <w:t>(</w:t>
      </w:r>
      <w:r w:rsidR="00D97981" w:rsidRPr="008C08D4">
        <w:rPr>
          <w:rFonts w:ascii="Times New Roman" w:hAnsi="Times New Roman" w:cs="Times New Roman"/>
          <w:noProof/>
          <w:sz w:val="20"/>
          <w:szCs w:val="20"/>
          <w:lang w:val="en-GB"/>
        </w:rPr>
        <w:t>2019</w:t>
      </w:r>
      <w:r w:rsidR="006D2D6B" w:rsidRPr="008C08D4">
        <w:rPr>
          <w:rFonts w:ascii="Times New Roman" w:hAnsi="Times New Roman" w:cs="Times New Roman"/>
          <w:noProof/>
          <w:sz w:val="20"/>
          <w:szCs w:val="20"/>
          <w:lang w:val="en-GB"/>
        </w:rPr>
        <w:t>),</w:t>
      </w:r>
      <w:r w:rsidR="00D97981" w:rsidRPr="008C08D4">
        <w:rPr>
          <w:rFonts w:ascii="Times New Roman" w:hAnsi="Times New Roman" w:cs="Times New Roman"/>
          <w:noProof/>
          <w:sz w:val="20"/>
          <w:szCs w:val="20"/>
          <w:lang w:val="en-GB"/>
        </w:rPr>
        <w:t xml:space="preserve"> </w:t>
      </w:r>
      <w:r w:rsidR="00D97981" w:rsidRPr="008C08D4">
        <w:rPr>
          <w:rFonts w:ascii="Times New Roman" w:hAnsi="Times New Roman" w:cs="Times New Roman"/>
          <w:iCs/>
          <w:noProof/>
          <w:sz w:val="20"/>
          <w:szCs w:val="20"/>
          <w:lang w:val="en-GB"/>
        </w:rPr>
        <w:t>International Environment: Recovery and resolution regimes as the pillar of the Banking Union</w:t>
      </w:r>
      <w:r w:rsidR="00D97981" w:rsidRPr="008C08D4">
        <w:rPr>
          <w:rFonts w:ascii="Times New Roman" w:hAnsi="Times New Roman" w:cs="Times New Roman"/>
          <w:noProof/>
          <w:sz w:val="20"/>
          <w:szCs w:val="20"/>
          <w:lang w:val="en-GB"/>
        </w:rPr>
        <w:t xml:space="preserve">. </w:t>
      </w:r>
      <w:r w:rsidR="00D97981" w:rsidRPr="008C08D4">
        <w:rPr>
          <w:rFonts w:ascii="Times New Roman" w:hAnsi="Times New Roman" w:cs="Times New Roman"/>
          <w:i/>
          <w:noProof/>
          <w:sz w:val="20"/>
          <w:szCs w:val="20"/>
          <w:lang w:val="en-GB"/>
        </w:rPr>
        <w:t>Our economy</w:t>
      </w:r>
      <w:r w:rsidR="006D2D6B" w:rsidRPr="008C08D4">
        <w:rPr>
          <w:rFonts w:ascii="Times New Roman" w:hAnsi="Times New Roman" w:cs="Times New Roman"/>
          <w:noProof/>
          <w:sz w:val="20"/>
          <w:szCs w:val="20"/>
          <w:lang w:val="en-GB"/>
        </w:rPr>
        <w:t>, 65(</w:t>
      </w:r>
      <w:r w:rsidR="00D97981" w:rsidRPr="008C08D4">
        <w:rPr>
          <w:rFonts w:ascii="Times New Roman" w:hAnsi="Times New Roman" w:cs="Times New Roman"/>
          <w:noProof/>
          <w:sz w:val="20"/>
          <w:szCs w:val="20"/>
          <w:lang w:val="en-GB"/>
        </w:rPr>
        <w:t>2</w:t>
      </w:r>
      <w:r w:rsidR="006D2D6B" w:rsidRPr="008C08D4">
        <w:rPr>
          <w:rFonts w:ascii="Times New Roman" w:hAnsi="Times New Roman" w:cs="Times New Roman"/>
          <w:noProof/>
          <w:sz w:val="20"/>
          <w:szCs w:val="20"/>
          <w:lang w:val="en-GB"/>
        </w:rPr>
        <w:t>).</w:t>
      </w:r>
    </w:p>
    <w:p w14:paraId="349D3E4D" w14:textId="11AC18FC" w:rsidR="00892AD0" w:rsidRDefault="00892AD0" w:rsidP="007543EC">
      <w:pPr>
        <w:rPr>
          <w:rFonts w:ascii="Times New Roman" w:hAnsi="Times New Roman" w:cs="Times New Roman"/>
          <w:noProof/>
          <w:sz w:val="20"/>
          <w:szCs w:val="20"/>
          <w:u w:val="single"/>
          <w:lang w:val="en-GB"/>
        </w:rPr>
      </w:pPr>
      <w:r w:rsidRPr="008C08D4">
        <w:rPr>
          <w:rFonts w:ascii="Times New Roman" w:hAnsi="Times New Roman" w:cs="Times New Roman"/>
          <w:noProof/>
          <w:sz w:val="20"/>
          <w:szCs w:val="20"/>
          <w:lang w:val="en-GB"/>
        </w:rPr>
        <w:t>Financial Services Act</w:t>
      </w:r>
      <w:r w:rsidR="006D2D6B" w:rsidRPr="008C08D4">
        <w:rPr>
          <w:rFonts w:ascii="Times New Roman" w:hAnsi="Times New Roman" w:cs="Times New Roman"/>
          <w:noProof/>
          <w:sz w:val="20"/>
          <w:szCs w:val="20"/>
          <w:lang w:val="en-GB"/>
        </w:rPr>
        <w:t xml:space="preserve">, (2013), </w:t>
      </w:r>
      <w:r w:rsidRPr="008C08D4">
        <w:rPr>
          <w:rFonts w:ascii="Times New Roman" w:hAnsi="Times New Roman" w:cs="Times New Roman"/>
          <w:noProof/>
          <w:sz w:val="20"/>
          <w:szCs w:val="20"/>
          <w:lang w:val="en-GB"/>
        </w:rPr>
        <w:t xml:space="preserve">UK Parliament, ‘Financial Services (Banking Reform) Act 2013’, </w:t>
      </w:r>
      <w:r w:rsidR="006D2D6B" w:rsidRPr="008C08D4">
        <w:rPr>
          <w:rFonts w:ascii="Times New Roman" w:eastAsia="Times New Roman" w:hAnsi="Times New Roman" w:cs="Times New Roman"/>
          <w:sz w:val="20"/>
          <w:szCs w:val="20"/>
        </w:rPr>
        <w:t>[Online], [</w:t>
      </w:r>
      <w:proofErr w:type="spellStart"/>
      <w:r w:rsidR="006D2D6B" w:rsidRPr="008C08D4">
        <w:rPr>
          <w:rFonts w:ascii="Times New Roman" w:eastAsia="Times New Roman" w:hAnsi="Times New Roman" w:cs="Times New Roman"/>
          <w:sz w:val="20"/>
          <w:szCs w:val="20"/>
        </w:rPr>
        <w:t>Retrieved</w:t>
      </w:r>
      <w:proofErr w:type="spellEnd"/>
      <w:r w:rsidR="006D2D6B" w:rsidRPr="008C08D4">
        <w:rPr>
          <w:rFonts w:ascii="Times New Roman" w:eastAsia="Times New Roman" w:hAnsi="Times New Roman" w:cs="Times New Roman"/>
          <w:sz w:val="20"/>
          <w:szCs w:val="20"/>
        </w:rPr>
        <w:t xml:space="preserve"> </w:t>
      </w:r>
      <w:proofErr w:type="spellStart"/>
      <w:r w:rsidR="006D2D6B" w:rsidRPr="008C08D4">
        <w:rPr>
          <w:rFonts w:ascii="Times New Roman" w:eastAsia="Times New Roman" w:hAnsi="Times New Roman" w:cs="Times New Roman"/>
          <w:sz w:val="20"/>
          <w:szCs w:val="20"/>
        </w:rPr>
        <w:t>January</w:t>
      </w:r>
      <w:proofErr w:type="spellEnd"/>
      <w:r w:rsidR="006D2D6B" w:rsidRPr="008C08D4">
        <w:rPr>
          <w:rFonts w:ascii="Times New Roman" w:eastAsia="Times New Roman" w:hAnsi="Times New Roman" w:cs="Times New Roman"/>
          <w:sz w:val="20"/>
          <w:szCs w:val="20"/>
        </w:rPr>
        <w:t xml:space="preserve"> 17, 2021], </w:t>
      </w:r>
      <w:hyperlink r:id="rId22" w:history="1">
        <w:r w:rsidR="0068261C" w:rsidRPr="00F343D4">
          <w:rPr>
            <w:rStyle w:val="Hyperlink"/>
            <w:rFonts w:ascii="Times New Roman" w:hAnsi="Times New Roman" w:cs="Times New Roman"/>
            <w:noProof/>
            <w:sz w:val="20"/>
            <w:szCs w:val="20"/>
            <w:lang w:val="en-GB"/>
          </w:rPr>
          <w:t>http://services.parliament.uk/bills/2012 13/financialservicesbankingreform.html</w:t>
        </w:r>
      </w:hyperlink>
      <w:r w:rsidRPr="008C08D4">
        <w:rPr>
          <w:rFonts w:ascii="Times New Roman" w:hAnsi="Times New Roman" w:cs="Times New Roman"/>
          <w:noProof/>
          <w:sz w:val="20"/>
          <w:szCs w:val="20"/>
          <w:u w:val="single"/>
          <w:lang w:val="en-GB"/>
        </w:rPr>
        <w:t>.</w:t>
      </w:r>
    </w:p>
    <w:p w14:paraId="1247329F" w14:textId="51F151C7" w:rsidR="005F5BF1" w:rsidRPr="005F5BF1" w:rsidRDefault="005F5BF1" w:rsidP="005F5BF1">
      <w:pPr>
        <w:rPr>
          <w:rFonts w:ascii="Times New Roman" w:hAnsi="Times New Roman" w:cs="Times New Roman"/>
          <w:noProof/>
          <w:sz w:val="20"/>
          <w:szCs w:val="20"/>
          <w:lang w:val="en-GB"/>
        </w:rPr>
      </w:pPr>
      <w:r>
        <w:rPr>
          <w:rFonts w:ascii="Times New Roman" w:hAnsi="Times New Roman" w:cs="Times New Roman"/>
          <w:noProof/>
          <w:sz w:val="20"/>
          <w:szCs w:val="20"/>
          <w:lang w:val="en-GB"/>
        </w:rPr>
        <w:t>Götz, M. Krahnen, JP.</w:t>
      </w:r>
      <w:r w:rsidRPr="005F5BF1">
        <w:rPr>
          <w:rFonts w:ascii="Times New Roman" w:hAnsi="Times New Roman" w:cs="Times New Roman"/>
          <w:noProof/>
          <w:sz w:val="20"/>
          <w:szCs w:val="20"/>
          <w:lang w:val="en-GB"/>
        </w:rPr>
        <w:t xml:space="preserve"> Tröger, T</w:t>
      </w:r>
      <w:r>
        <w:rPr>
          <w:rFonts w:ascii="Times New Roman" w:hAnsi="Times New Roman" w:cs="Times New Roman"/>
          <w:noProof/>
          <w:sz w:val="20"/>
          <w:szCs w:val="20"/>
          <w:lang w:val="en-GB"/>
        </w:rPr>
        <w:t>. (2017), ‘</w:t>
      </w:r>
      <w:r w:rsidRPr="005F5BF1">
        <w:rPr>
          <w:rFonts w:ascii="Times New Roman" w:hAnsi="Times New Roman" w:cs="Times New Roman"/>
          <w:noProof/>
          <w:sz w:val="20"/>
          <w:szCs w:val="20"/>
          <w:lang w:val="en-GB"/>
        </w:rPr>
        <w:t>Five years after the Liikanen Report: What have we learned?</w:t>
      </w:r>
      <w:r>
        <w:rPr>
          <w:rFonts w:ascii="Times New Roman" w:hAnsi="Times New Roman" w:cs="Times New Roman"/>
          <w:noProof/>
          <w:sz w:val="20"/>
          <w:szCs w:val="20"/>
          <w:lang w:val="en-GB"/>
        </w:rPr>
        <w:t>’</w:t>
      </w:r>
      <w:r w:rsidRPr="005F5BF1">
        <w:rPr>
          <w:rFonts w:ascii="Times New Roman" w:hAnsi="Times New Roman" w:cs="Times New Roman"/>
          <w:noProof/>
          <w:sz w:val="20"/>
          <w:szCs w:val="20"/>
          <w:lang w:val="en-GB"/>
        </w:rPr>
        <w:t xml:space="preserve">, </w:t>
      </w:r>
      <w:r w:rsidRPr="005F5BF1">
        <w:rPr>
          <w:rFonts w:ascii="Times New Roman" w:hAnsi="Times New Roman" w:cs="Times New Roman"/>
          <w:i/>
          <w:noProof/>
          <w:sz w:val="20"/>
          <w:szCs w:val="20"/>
          <w:lang w:val="en-GB"/>
        </w:rPr>
        <w:t>SAFE White Paper</w:t>
      </w:r>
      <w:r w:rsidRPr="005F5BF1">
        <w:rPr>
          <w:rFonts w:ascii="Times New Roman" w:hAnsi="Times New Roman" w:cs="Times New Roman"/>
          <w:noProof/>
          <w:sz w:val="20"/>
          <w:szCs w:val="20"/>
          <w:lang w:val="en-GB"/>
        </w:rPr>
        <w:t>, No. 50, Goethe University Frankfurt, SAFE - Sustainable Architecture for Finance in Europe, Frankfurt a. M., http://nbn-resolving.de/urn:nbn:de:hebis:30:3-452013</w:t>
      </w:r>
    </w:p>
    <w:p w14:paraId="4E301719" w14:textId="0711FA4B" w:rsidR="005C1B86" w:rsidRPr="005C1B86" w:rsidRDefault="005C1B86" w:rsidP="007543EC">
      <w:pPr>
        <w:rPr>
          <w:rFonts w:ascii="Times New Roman" w:hAnsi="Times New Roman" w:cs="Times New Roman"/>
          <w:noProof/>
          <w:sz w:val="20"/>
          <w:szCs w:val="20"/>
          <w:lang w:val="en-GB"/>
        </w:rPr>
      </w:pPr>
      <w:r>
        <w:rPr>
          <w:rFonts w:ascii="Times New Roman" w:hAnsi="Times New Roman" w:cs="Times New Roman"/>
          <w:noProof/>
          <w:sz w:val="20"/>
          <w:szCs w:val="20"/>
          <w:lang w:val="en-GB"/>
        </w:rPr>
        <w:t>Grund, S. (2020),</w:t>
      </w:r>
      <w:r w:rsidRPr="005C1B86">
        <w:rPr>
          <w:rFonts w:ascii="Times New Roman" w:hAnsi="Times New Roman" w:cs="Times New Roman"/>
          <w:noProof/>
          <w:sz w:val="20"/>
          <w:szCs w:val="20"/>
          <w:lang w:val="en-GB"/>
        </w:rPr>
        <w:t xml:space="preserve"> </w:t>
      </w:r>
      <w:r>
        <w:rPr>
          <w:rFonts w:ascii="Times New Roman" w:hAnsi="Times New Roman" w:cs="Times New Roman"/>
          <w:noProof/>
          <w:sz w:val="20"/>
          <w:szCs w:val="20"/>
          <w:lang w:val="en-GB"/>
        </w:rPr>
        <w:t>‘</w:t>
      </w:r>
      <w:r w:rsidRPr="005C1B86">
        <w:rPr>
          <w:rFonts w:ascii="Times New Roman" w:hAnsi="Times New Roman" w:cs="Times New Roman"/>
          <w:noProof/>
          <w:sz w:val="20"/>
          <w:szCs w:val="20"/>
          <w:lang w:val="en-GB"/>
        </w:rPr>
        <w:t>The Legality of the European Central Bank's Pandemic Emergency Purchase Programme</w:t>
      </w:r>
      <w:r>
        <w:rPr>
          <w:rFonts w:ascii="Times New Roman" w:hAnsi="Times New Roman" w:cs="Times New Roman"/>
          <w:noProof/>
          <w:sz w:val="20"/>
          <w:szCs w:val="20"/>
          <w:lang w:val="en-GB"/>
        </w:rPr>
        <w:t>’</w:t>
      </w:r>
      <w:r w:rsidRPr="005C1B86">
        <w:rPr>
          <w:rFonts w:ascii="Times New Roman" w:hAnsi="Times New Roman" w:cs="Times New Roman"/>
          <w:noProof/>
          <w:sz w:val="20"/>
          <w:szCs w:val="20"/>
          <w:lang w:val="en-GB"/>
        </w:rPr>
        <w:t xml:space="preserve"> (March 21, 2020). Delors Institute Policy Brief (March 25, 2020) , Available at SSRN: https://ssrn.com/abstract=3558677 or http://dx.doi.org/10.2139/ssrn.3558677</w:t>
      </w:r>
    </w:p>
    <w:p w14:paraId="599CB982" w14:textId="5AA48C98" w:rsidR="0068261C" w:rsidRDefault="0068261C" w:rsidP="007543EC">
      <w:pPr>
        <w:rPr>
          <w:rFonts w:ascii="Times New Roman" w:hAnsi="Times New Roman" w:cs="Times New Roman"/>
          <w:noProof/>
          <w:sz w:val="20"/>
          <w:szCs w:val="20"/>
          <w:u w:val="single"/>
          <w:lang w:val="en-GB"/>
        </w:rPr>
      </w:pPr>
      <w:r>
        <w:rPr>
          <w:rFonts w:ascii="Times New Roman" w:hAnsi="Times New Roman" w:cs="Times New Roman"/>
          <w:noProof/>
          <w:sz w:val="20"/>
          <w:szCs w:val="20"/>
          <w:lang w:val="en-GB"/>
        </w:rPr>
        <w:t>Gualandri, E. and Grasso, AG. (</w:t>
      </w:r>
      <w:r w:rsidRPr="0068261C">
        <w:rPr>
          <w:rFonts w:ascii="Times New Roman" w:hAnsi="Times New Roman" w:cs="Times New Roman"/>
          <w:noProof/>
          <w:sz w:val="20"/>
          <w:szCs w:val="20"/>
          <w:lang w:val="en-GB"/>
        </w:rPr>
        <w:t>2006</w:t>
      </w:r>
      <w:r>
        <w:rPr>
          <w:rFonts w:ascii="Times New Roman" w:hAnsi="Times New Roman" w:cs="Times New Roman"/>
          <w:noProof/>
          <w:sz w:val="20"/>
          <w:szCs w:val="20"/>
          <w:lang w:val="en-GB"/>
        </w:rPr>
        <w:t>). ‘</w:t>
      </w:r>
      <w:r w:rsidRPr="0068261C">
        <w:rPr>
          <w:rFonts w:ascii="Times New Roman" w:hAnsi="Times New Roman" w:cs="Times New Roman"/>
          <w:noProof/>
          <w:sz w:val="20"/>
          <w:szCs w:val="20"/>
          <w:lang w:val="en-GB"/>
        </w:rPr>
        <w:t>Towards a new Approach to Regulation and Supervision in th</w:t>
      </w:r>
      <w:r>
        <w:rPr>
          <w:rFonts w:ascii="Times New Roman" w:hAnsi="Times New Roman" w:cs="Times New Roman"/>
          <w:noProof/>
          <w:sz w:val="20"/>
          <w:szCs w:val="20"/>
          <w:lang w:val="en-GB"/>
        </w:rPr>
        <w:t>e EU: Post-FSAP and Comitology’,</w:t>
      </w:r>
      <w:r w:rsidRPr="0068261C">
        <w:rPr>
          <w:rFonts w:ascii="Times New Roman" w:hAnsi="Times New Roman" w:cs="Times New Roman"/>
          <w:noProof/>
          <w:sz w:val="20"/>
          <w:szCs w:val="20"/>
          <w:lang w:val="en-GB"/>
        </w:rPr>
        <w:t xml:space="preserve"> </w:t>
      </w:r>
      <w:r w:rsidRPr="0068261C">
        <w:rPr>
          <w:rFonts w:ascii="Times New Roman" w:hAnsi="Times New Roman" w:cs="Times New Roman"/>
          <w:i/>
          <w:noProof/>
          <w:sz w:val="20"/>
          <w:szCs w:val="20"/>
          <w:lang w:val="en-GB"/>
        </w:rPr>
        <w:t>MPRA Paper 1780,</w:t>
      </w:r>
      <w:r w:rsidRPr="0068261C">
        <w:rPr>
          <w:rFonts w:ascii="Times New Roman" w:hAnsi="Times New Roman" w:cs="Times New Roman"/>
          <w:noProof/>
          <w:sz w:val="20"/>
          <w:szCs w:val="20"/>
          <w:lang w:val="en-GB"/>
        </w:rPr>
        <w:t xml:space="preserve"> University Library of Munich, Germany</w:t>
      </w:r>
      <w:r w:rsidRPr="0068261C">
        <w:rPr>
          <w:rFonts w:ascii="Times New Roman" w:hAnsi="Times New Roman" w:cs="Times New Roman"/>
          <w:noProof/>
          <w:sz w:val="20"/>
          <w:szCs w:val="20"/>
          <w:u w:val="single"/>
          <w:lang w:val="en-GB"/>
        </w:rPr>
        <w:t>.</w:t>
      </w:r>
    </w:p>
    <w:p w14:paraId="55D8D590" w14:textId="7AF542E1" w:rsidR="00B31A57" w:rsidRPr="00B31A57" w:rsidRDefault="00B31A57" w:rsidP="00B31A57">
      <w:pPr>
        <w:rPr>
          <w:rFonts w:ascii="Times New Roman" w:hAnsi="Times New Roman" w:cs="Times New Roman"/>
          <w:noProof/>
          <w:sz w:val="20"/>
          <w:szCs w:val="20"/>
          <w:lang w:val="en-GB"/>
        </w:rPr>
      </w:pPr>
      <w:r w:rsidRPr="00B31A57">
        <w:rPr>
          <w:rFonts w:ascii="Times New Roman" w:hAnsi="Times New Roman" w:cs="Times New Roman"/>
          <w:noProof/>
          <w:sz w:val="20"/>
          <w:szCs w:val="20"/>
          <w:lang w:val="en-GB"/>
        </w:rPr>
        <w:t xml:space="preserve">International Monetary Fund; Bank for International Settlements; Financial Stability Board. Guidance to Assess the Systemic Importance of Financial Institutions, Markets and Instruments: Initial Considerations. </w:t>
      </w:r>
      <w:r>
        <w:rPr>
          <w:rFonts w:ascii="Times New Roman" w:hAnsi="Times New Roman" w:cs="Times New Roman"/>
          <w:noProof/>
          <w:sz w:val="20"/>
          <w:szCs w:val="20"/>
          <w:lang w:val="en-GB"/>
        </w:rPr>
        <w:t xml:space="preserve">2009. </w:t>
      </w:r>
      <w:r w:rsidRPr="008C08D4">
        <w:rPr>
          <w:rFonts w:ascii="Times New Roman" w:eastAsia="Times New Roman" w:hAnsi="Times New Roman" w:cs="Times New Roman"/>
          <w:sz w:val="20"/>
          <w:szCs w:val="20"/>
        </w:rPr>
        <w:t>[Online],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January</w:t>
      </w:r>
      <w:proofErr w:type="spellEnd"/>
      <w:r w:rsidRPr="008C08D4">
        <w:rPr>
          <w:rFonts w:ascii="Times New Roman" w:eastAsia="Times New Roman" w:hAnsi="Times New Roman" w:cs="Times New Roman"/>
          <w:sz w:val="20"/>
          <w:szCs w:val="20"/>
        </w:rPr>
        <w:t xml:space="preserve"> 17, 2021</w:t>
      </w:r>
      <w:proofErr w:type="gramStart"/>
      <w:r w:rsidRPr="008C08D4">
        <w:rPr>
          <w:rFonts w:ascii="Times New Roman" w:eastAsia="Times New Roman" w:hAnsi="Times New Roman" w:cs="Times New Roman"/>
          <w:sz w:val="20"/>
          <w:szCs w:val="20"/>
        </w:rPr>
        <w:t xml:space="preserve">], </w:t>
      </w:r>
      <w:r w:rsidRPr="00B31A57">
        <w:rPr>
          <w:rFonts w:ascii="Times New Roman" w:hAnsi="Times New Roman" w:cs="Times New Roman"/>
          <w:noProof/>
          <w:sz w:val="20"/>
          <w:szCs w:val="20"/>
          <w:lang w:val="en-GB"/>
        </w:rPr>
        <w:t xml:space="preserve"> https://www.imf.org/external/np/g20/pdf/100109.pd</w:t>
      </w:r>
      <w:r>
        <w:rPr>
          <w:rFonts w:ascii="Times New Roman" w:hAnsi="Times New Roman" w:cs="Times New Roman"/>
          <w:noProof/>
          <w:sz w:val="20"/>
          <w:szCs w:val="20"/>
          <w:lang w:val="en-GB"/>
        </w:rPr>
        <w:t>f</w:t>
      </w:r>
      <w:proofErr w:type="gramEnd"/>
      <w:r>
        <w:rPr>
          <w:rFonts w:ascii="Times New Roman" w:hAnsi="Times New Roman" w:cs="Times New Roman"/>
          <w:noProof/>
          <w:sz w:val="20"/>
          <w:szCs w:val="20"/>
          <w:lang w:val="en-GB"/>
        </w:rPr>
        <w:t xml:space="preserve"> </w:t>
      </w:r>
    </w:p>
    <w:p w14:paraId="6FDD85CB" w14:textId="73625193" w:rsidR="00002ACC" w:rsidRDefault="00002ACC" w:rsidP="00002ACC">
      <w:pPr>
        <w:jc w:val="both"/>
        <w:rPr>
          <w:rFonts w:ascii="Times New Roman" w:eastAsia="Times New Roman" w:hAnsi="Times New Roman" w:cs="Times New Roman"/>
          <w:sz w:val="20"/>
          <w:szCs w:val="20"/>
          <w:lang w:val="en-US"/>
        </w:rPr>
      </w:pPr>
      <w:proofErr w:type="spellStart"/>
      <w:r w:rsidRPr="008C08D4">
        <w:rPr>
          <w:rFonts w:ascii="Times New Roman" w:eastAsia="Times New Roman" w:hAnsi="Times New Roman" w:cs="Times New Roman"/>
          <w:sz w:val="20"/>
          <w:szCs w:val="20"/>
          <w:lang w:val="en-US"/>
        </w:rPr>
        <w:t>Krstić</w:t>
      </w:r>
      <w:proofErr w:type="spellEnd"/>
      <w:r w:rsidRPr="008C08D4">
        <w:rPr>
          <w:rFonts w:ascii="Times New Roman" w:eastAsia="Times New Roman" w:hAnsi="Times New Roman" w:cs="Times New Roman"/>
          <w:sz w:val="20"/>
          <w:szCs w:val="20"/>
          <w:lang w:val="en-US"/>
        </w:rPr>
        <w:t xml:space="preserve">, M. Filipe, J. A. and </w:t>
      </w:r>
      <w:proofErr w:type="spellStart"/>
      <w:r w:rsidRPr="008C08D4">
        <w:rPr>
          <w:rFonts w:ascii="Times New Roman" w:eastAsia="Times New Roman" w:hAnsi="Times New Roman" w:cs="Times New Roman"/>
          <w:sz w:val="20"/>
          <w:szCs w:val="20"/>
          <w:lang w:val="en-US"/>
        </w:rPr>
        <w:t>Chavaglia</w:t>
      </w:r>
      <w:proofErr w:type="spellEnd"/>
      <w:r w:rsidRPr="008C08D4">
        <w:rPr>
          <w:rFonts w:ascii="Times New Roman" w:eastAsia="Times New Roman" w:hAnsi="Times New Roman" w:cs="Times New Roman"/>
          <w:sz w:val="20"/>
          <w:szCs w:val="20"/>
          <w:lang w:val="en-US"/>
        </w:rPr>
        <w:t xml:space="preserve">, J. (2020). ‘Higher Education as a Determinant of the Competitiveness and Sustainable Development of an Economy’, </w:t>
      </w:r>
      <w:r w:rsidRPr="008C08D4">
        <w:rPr>
          <w:rFonts w:ascii="Times New Roman" w:eastAsia="Times New Roman" w:hAnsi="Times New Roman" w:cs="Times New Roman"/>
          <w:i/>
          <w:iCs/>
          <w:sz w:val="20"/>
          <w:szCs w:val="20"/>
          <w:lang w:val="en-US"/>
        </w:rPr>
        <w:t>Sustainability</w:t>
      </w:r>
      <w:r w:rsidRPr="008C08D4">
        <w:rPr>
          <w:rFonts w:ascii="Times New Roman" w:eastAsia="Times New Roman" w:hAnsi="Times New Roman" w:cs="Times New Roman"/>
          <w:sz w:val="20"/>
          <w:szCs w:val="20"/>
          <w:lang w:val="en-US"/>
        </w:rPr>
        <w:t xml:space="preserve">, </w:t>
      </w:r>
      <w:r w:rsidRPr="008C08D4">
        <w:rPr>
          <w:rFonts w:ascii="Times New Roman" w:eastAsia="Times New Roman" w:hAnsi="Times New Roman" w:cs="Times New Roman"/>
          <w:i/>
          <w:iCs/>
          <w:sz w:val="20"/>
          <w:szCs w:val="20"/>
          <w:lang w:val="en-US"/>
        </w:rPr>
        <w:t>12</w:t>
      </w:r>
      <w:r w:rsidRPr="008C08D4">
        <w:rPr>
          <w:rFonts w:ascii="Times New Roman" w:eastAsia="Times New Roman" w:hAnsi="Times New Roman" w:cs="Times New Roman"/>
          <w:sz w:val="20"/>
          <w:szCs w:val="20"/>
          <w:lang w:val="en-US"/>
        </w:rPr>
        <w:t>(16), 6607.</w:t>
      </w:r>
    </w:p>
    <w:p w14:paraId="7240D6F1" w14:textId="77777777" w:rsidR="009F2B2B" w:rsidRPr="008C08D4" w:rsidRDefault="009F2B2B" w:rsidP="009F2B2B">
      <w:pPr>
        <w:jc w:val="both"/>
        <w:rPr>
          <w:rFonts w:ascii="Times New Roman" w:hAnsi="Times New Roman" w:cs="Times New Roman"/>
          <w:sz w:val="20"/>
          <w:szCs w:val="20"/>
          <w:lang w:val="en-GB"/>
        </w:rPr>
      </w:pPr>
      <w:r w:rsidRPr="00EC593C">
        <w:rPr>
          <w:rFonts w:ascii="Times New Roman" w:hAnsi="Times New Roman" w:cs="Times New Roman"/>
          <w:sz w:val="20"/>
          <w:szCs w:val="20"/>
          <w:lang w:val="en-GB"/>
        </w:rPr>
        <w:t xml:space="preserve">Krugman, P. (2020), `Notes on </w:t>
      </w:r>
      <w:proofErr w:type="spellStart"/>
      <w:r w:rsidRPr="00EC593C">
        <w:rPr>
          <w:rFonts w:ascii="Times New Roman" w:hAnsi="Times New Roman" w:cs="Times New Roman"/>
          <w:sz w:val="20"/>
          <w:szCs w:val="20"/>
          <w:lang w:val="en-GB"/>
        </w:rPr>
        <w:t>coronacoma</w:t>
      </w:r>
      <w:proofErr w:type="spellEnd"/>
      <w:r w:rsidRPr="00EC593C">
        <w:rPr>
          <w:rFonts w:ascii="Times New Roman" w:hAnsi="Times New Roman" w:cs="Times New Roman"/>
          <w:sz w:val="20"/>
          <w:szCs w:val="20"/>
          <w:lang w:val="en-GB"/>
        </w:rPr>
        <w:t xml:space="preserve"> economics'.</w:t>
      </w:r>
    </w:p>
    <w:p w14:paraId="0B666230" w14:textId="0DC3715D" w:rsidR="009F2B2B" w:rsidRDefault="009F2B2B" w:rsidP="00002ACC">
      <w:p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Kühnhardt</w:t>
      </w:r>
      <w:proofErr w:type="spellEnd"/>
      <w:r>
        <w:rPr>
          <w:rFonts w:ascii="Times New Roman" w:eastAsia="Times New Roman" w:hAnsi="Times New Roman" w:cs="Times New Roman"/>
          <w:sz w:val="20"/>
          <w:szCs w:val="20"/>
          <w:lang w:val="en-US"/>
        </w:rPr>
        <w:t>, L. (2011),</w:t>
      </w:r>
      <w:r w:rsidRPr="009F2B2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9F2B2B">
        <w:rPr>
          <w:rFonts w:ascii="Times New Roman" w:eastAsia="Times New Roman" w:hAnsi="Times New Roman" w:cs="Times New Roman"/>
          <w:sz w:val="20"/>
          <w:szCs w:val="20"/>
          <w:lang w:val="en-US"/>
        </w:rPr>
        <w:t>Crises in European Integration. Challenges and Response</w:t>
      </w:r>
      <w:r>
        <w:rPr>
          <w:rFonts w:ascii="Times New Roman" w:eastAsia="Times New Roman" w:hAnsi="Times New Roman" w:cs="Times New Roman"/>
          <w:sz w:val="20"/>
          <w:szCs w:val="20"/>
          <w:lang w:val="en-US"/>
        </w:rPr>
        <w:t xml:space="preserve">’s, 1945-2005. </w:t>
      </w:r>
      <w:proofErr w:type="spellStart"/>
      <w:r>
        <w:rPr>
          <w:rFonts w:ascii="Times New Roman" w:eastAsia="Times New Roman" w:hAnsi="Times New Roman" w:cs="Times New Roman"/>
          <w:sz w:val="20"/>
          <w:szCs w:val="20"/>
          <w:lang w:val="en-US"/>
        </w:rPr>
        <w:t>B</w:t>
      </w:r>
      <w:r w:rsidRPr="009F2B2B">
        <w:rPr>
          <w:rFonts w:ascii="Times New Roman" w:eastAsia="Times New Roman" w:hAnsi="Times New Roman" w:cs="Times New Roman"/>
          <w:sz w:val="20"/>
          <w:szCs w:val="20"/>
          <w:lang w:val="en-US"/>
        </w:rPr>
        <w:t>erghahn</w:t>
      </w:r>
      <w:proofErr w:type="spellEnd"/>
      <w:r w:rsidRPr="009F2B2B">
        <w:rPr>
          <w:rFonts w:ascii="Times New Roman" w:eastAsia="Times New Roman" w:hAnsi="Times New Roman" w:cs="Times New Roman"/>
          <w:sz w:val="20"/>
          <w:szCs w:val="20"/>
          <w:lang w:val="en-US"/>
        </w:rPr>
        <w:t xml:space="preserve"> books.</w:t>
      </w:r>
    </w:p>
    <w:p w14:paraId="2062AB7E" w14:textId="637DF585" w:rsidR="00002ACC" w:rsidRDefault="00002ACC" w:rsidP="00002ACC">
      <w:pPr>
        <w:shd w:val="clear" w:color="auto" w:fill="FFFFFF"/>
        <w:spacing w:line="330" w:lineRule="atLeast"/>
        <w:rPr>
          <w:rStyle w:val="Hyperlink"/>
          <w:rFonts w:ascii="Times New Roman" w:hAnsi="Times New Roman" w:cs="Times New Roman"/>
          <w:color w:val="auto"/>
          <w:sz w:val="20"/>
          <w:szCs w:val="20"/>
          <w:lang w:val="en-GB"/>
        </w:rPr>
      </w:pPr>
      <w:r w:rsidRPr="008C08D4">
        <w:rPr>
          <w:rFonts w:ascii="Times New Roman" w:hAnsi="Times New Roman" w:cs="Times New Roman"/>
          <w:sz w:val="20"/>
          <w:szCs w:val="20"/>
          <w:lang w:val="en-GB"/>
        </w:rPr>
        <w:lastRenderedPageBreak/>
        <w:t xml:space="preserve">Li, Y. Liu, Z. and Pei, S. (2020), ‘Does bank transparency benefit from the Volcker </w:t>
      </w:r>
      <w:proofErr w:type="spellStart"/>
      <w:r w:rsidRPr="008C08D4">
        <w:rPr>
          <w:rFonts w:ascii="Times New Roman" w:hAnsi="Times New Roman" w:cs="Times New Roman"/>
          <w:sz w:val="20"/>
          <w:szCs w:val="20"/>
          <w:lang w:val="en-GB"/>
        </w:rPr>
        <w:t>Rule?</w:t>
      </w:r>
      <w:r w:rsidRPr="008C08D4">
        <w:rPr>
          <w:rFonts w:ascii="Times New Roman" w:hAnsi="Times New Roman" w:cs="Times New Roman"/>
          <w:i/>
          <w:sz w:val="20"/>
          <w:szCs w:val="20"/>
          <w:lang w:val="en-GB"/>
        </w:rPr>
        <w:t>’Account</w:t>
      </w:r>
      <w:proofErr w:type="spellEnd"/>
      <w:r w:rsidRPr="008C08D4">
        <w:rPr>
          <w:rFonts w:ascii="Times New Roman" w:hAnsi="Times New Roman" w:cs="Times New Roman"/>
          <w:i/>
          <w:sz w:val="20"/>
          <w:szCs w:val="20"/>
          <w:lang w:val="en-GB"/>
        </w:rPr>
        <w:t xml:space="preserve"> Finance</w:t>
      </w:r>
      <w:r w:rsidRPr="008C08D4">
        <w:rPr>
          <w:rFonts w:ascii="Times New Roman" w:hAnsi="Times New Roman" w:cs="Times New Roman"/>
          <w:sz w:val="20"/>
          <w:szCs w:val="20"/>
          <w:lang w:val="en-GB"/>
        </w:rPr>
        <w:t xml:space="preserve">, 60,1471-1500. </w:t>
      </w:r>
      <w:r w:rsidRPr="008C08D4">
        <w:rPr>
          <w:rFonts w:ascii="Times New Roman" w:eastAsia="Times New Roman" w:hAnsi="Times New Roman" w:cs="Times New Roman"/>
          <w:sz w:val="20"/>
          <w:szCs w:val="20"/>
        </w:rPr>
        <w:t>[Online],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October</w:t>
      </w:r>
      <w:proofErr w:type="spellEnd"/>
      <w:r w:rsidRPr="008C08D4">
        <w:rPr>
          <w:rFonts w:ascii="Times New Roman" w:eastAsia="Times New Roman" w:hAnsi="Times New Roman" w:cs="Times New Roman"/>
          <w:sz w:val="20"/>
          <w:szCs w:val="20"/>
        </w:rPr>
        <w:t>, 16 2020],</w:t>
      </w:r>
      <w:r w:rsidRPr="008C08D4">
        <w:rPr>
          <w:rFonts w:ascii="Times New Roman" w:hAnsi="Times New Roman" w:cs="Times New Roman"/>
          <w:sz w:val="20"/>
          <w:szCs w:val="20"/>
          <w:lang w:val="en-GB"/>
        </w:rPr>
        <w:t> </w:t>
      </w:r>
      <w:hyperlink r:id="rId23" w:history="1">
        <w:r w:rsidRPr="008C08D4">
          <w:rPr>
            <w:rStyle w:val="Hyperlink"/>
            <w:rFonts w:ascii="Times New Roman" w:hAnsi="Times New Roman" w:cs="Times New Roman"/>
            <w:color w:val="auto"/>
            <w:sz w:val="20"/>
            <w:szCs w:val="20"/>
            <w:lang w:val="en-GB"/>
          </w:rPr>
          <w:t>https://doi.org/10.1111/acfi.12476</w:t>
        </w:r>
      </w:hyperlink>
    </w:p>
    <w:p w14:paraId="27AADE60" w14:textId="14980C7C" w:rsidR="00D32CEE" w:rsidRDefault="00D32CEE" w:rsidP="00D32CEE">
      <w:pPr>
        <w:shd w:val="clear" w:color="auto" w:fill="FFFFFF"/>
        <w:spacing w:after="0" w:line="330" w:lineRule="atLeast"/>
        <w:contextualSpacing/>
        <w:jc w:val="both"/>
        <w:rPr>
          <w:rFonts w:ascii="Times New Roman" w:hAnsi="Times New Roman" w:cs="Times New Roman"/>
          <w:sz w:val="20"/>
          <w:szCs w:val="20"/>
          <w:lang w:val="en-GB"/>
        </w:rPr>
      </w:pPr>
      <w:proofErr w:type="spellStart"/>
      <w:r w:rsidRPr="00D32CEE">
        <w:rPr>
          <w:rFonts w:ascii="Times New Roman" w:hAnsi="Times New Roman" w:cs="Times New Roman"/>
          <w:sz w:val="20"/>
          <w:szCs w:val="20"/>
          <w:lang w:val="en-GB"/>
        </w:rPr>
        <w:t>Liikanen</w:t>
      </w:r>
      <w:proofErr w:type="spellEnd"/>
      <w:r>
        <w:rPr>
          <w:rFonts w:ascii="Times New Roman" w:hAnsi="Times New Roman" w:cs="Times New Roman"/>
          <w:sz w:val="20"/>
          <w:szCs w:val="20"/>
          <w:lang w:val="en-GB"/>
        </w:rPr>
        <w:t>, E. (2014), ‘</w:t>
      </w:r>
      <w:r w:rsidRPr="00D32CEE">
        <w:rPr>
          <w:rFonts w:ascii="Times New Roman" w:hAnsi="Times New Roman" w:cs="Times New Roman"/>
          <w:sz w:val="20"/>
          <w:szCs w:val="20"/>
          <w:lang w:val="en-GB"/>
        </w:rPr>
        <w:t>Too-big-to-fail and a reform of banking structures</w:t>
      </w:r>
      <w:r>
        <w:rPr>
          <w:rFonts w:ascii="Times New Roman" w:hAnsi="Times New Roman" w:cs="Times New Roman"/>
          <w:sz w:val="20"/>
          <w:szCs w:val="20"/>
          <w:lang w:val="en-GB"/>
        </w:rPr>
        <w:t xml:space="preserve">’, Speech by Mr </w:t>
      </w:r>
      <w:proofErr w:type="spellStart"/>
      <w:r>
        <w:rPr>
          <w:rFonts w:ascii="Times New Roman" w:hAnsi="Times New Roman" w:cs="Times New Roman"/>
          <w:sz w:val="20"/>
          <w:szCs w:val="20"/>
          <w:lang w:val="en-GB"/>
        </w:rPr>
        <w:t>Erkki</w:t>
      </w:r>
      <w:proofErr w:type="spellEnd"/>
      <w:r>
        <w:rPr>
          <w:rFonts w:ascii="Times New Roman" w:hAnsi="Times New Roman" w:cs="Times New Roman"/>
          <w:sz w:val="20"/>
          <w:szCs w:val="20"/>
          <w:lang w:val="en-GB"/>
        </w:rPr>
        <w:t xml:space="preserve"> </w:t>
      </w:r>
      <w:proofErr w:type="spellStart"/>
      <w:r w:rsidRPr="00D32CEE">
        <w:rPr>
          <w:rFonts w:ascii="Times New Roman" w:hAnsi="Times New Roman" w:cs="Times New Roman"/>
          <w:sz w:val="20"/>
          <w:szCs w:val="20"/>
          <w:lang w:val="en-GB"/>
        </w:rPr>
        <w:t>Liikanen</w:t>
      </w:r>
      <w:proofErr w:type="spellEnd"/>
      <w:r w:rsidRPr="00D32CEE">
        <w:rPr>
          <w:rFonts w:ascii="Times New Roman" w:hAnsi="Times New Roman" w:cs="Times New Roman"/>
          <w:sz w:val="20"/>
          <w:szCs w:val="20"/>
          <w:lang w:val="en-GB"/>
        </w:rPr>
        <w:t>, Governor of the Bank of Finlan</w:t>
      </w:r>
      <w:r>
        <w:rPr>
          <w:rFonts w:ascii="Times New Roman" w:hAnsi="Times New Roman" w:cs="Times New Roman"/>
          <w:sz w:val="20"/>
          <w:szCs w:val="20"/>
          <w:lang w:val="en-GB"/>
        </w:rPr>
        <w:t xml:space="preserve">d and Chairman of the </w:t>
      </w:r>
      <w:proofErr w:type="spellStart"/>
      <w:r>
        <w:rPr>
          <w:rFonts w:ascii="Times New Roman" w:hAnsi="Times New Roman" w:cs="Times New Roman"/>
          <w:sz w:val="20"/>
          <w:szCs w:val="20"/>
          <w:lang w:val="en-GB"/>
        </w:rPr>
        <w:t>Highlevel</w:t>
      </w:r>
      <w:proofErr w:type="spellEnd"/>
      <w:r>
        <w:rPr>
          <w:rFonts w:ascii="Times New Roman" w:hAnsi="Times New Roman" w:cs="Times New Roman"/>
          <w:sz w:val="20"/>
          <w:szCs w:val="20"/>
          <w:lang w:val="en-GB"/>
        </w:rPr>
        <w:t xml:space="preserve"> </w:t>
      </w:r>
      <w:r w:rsidRPr="00D32CEE">
        <w:rPr>
          <w:rFonts w:ascii="Times New Roman" w:hAnsi="Times New Roman" w:cs="Times New Roman"/>
          <w:sz w:val="20"/>
          <w:szCs w:val="20"/>
          <w:lang w:val="en-GB"/>
        </w:rPr>
        <w:t>Expert Group on reforming the structure of the EU bank</w:t>
      </w:r>
      <w:r>
        <w:rPr>
          <w:rFonts w:ascii="Times New Roman" w:hAnsi="Times New Roman" w:cs="Times New Roman"/>
          <w:sz w:val="20"/>
          <w:szCs w:val="20"/>
          <w:lang w:val="en-GB"/>
        </w:rPr>
        <w:t xml:space="preserve">ing sector, at a seminar at the </w:t>
      </w:r>
      <w:r w:rsidRPr="00D32CEE">
        <w:rPr>
          <w:rFonts w:ascii="Times New Roman" w:hAnsi="Times New Roman" w:cs="Times New Roman"/>
          <w:sz w:val="20"/>
          <w:szCs w:val="20"/>
          <w:lang w:val="en-GB"/>
        </w:rPr>
        <w:t>Bank of Italy, Rome, 27 June 2014.</w:t>
      </w:r>
    </w:p>
    <w:p w14:paraId="2823B10A" w14:textId="77777777" w:rsidR="00D32CEE" w:rsidRPr="008C08D4" w:rsidRDefault="00D32CEE" w:rsidP="00D32CEE">
      <w:pPr>
        <w:shd w:val="clear" w:color="auto" w:fill="FFFFFF"/>
        <w:spacing w:after="0" w:line="330" w:lineRule="atLeast"/>
        <w:jc w:val="both"/>
        <w:rPr>
          <w:rFonts w:ascii="Times New Roman" w:hAnsi="Times New Roman" w:cs="Times New Roman"/>
          <w:sz w:val="20"/>
          <w:szCs w:val="20"/>
          <w:lang w:val="en-GB"/>
        </w:rPr>
      </w:pPr>
    </w:p>
    <w:p w14:paraId="0316ADE3" w14:textId="77777777" w:rsidR="00002ACC" w:rsidRPr="008C08D4" w:rsidRDefault="00002ACC" w:rsidP="00002ACC">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sidRPr="008C08D4">
        <w:rPr>
          <w:rFonts w:ascii="Times New Roman" w:hAnsi="Times New Roman" w:cs="Times New Roman"/>
          <w:sz w:val="20"/>
          <w:szCs w:val="20"/>
          <w:lang w:val="en-GB"/>
        </w:rPr>
        <w:t>Mayer Brown, (2014),</w:t>
      </w:r>
      <w:r w:rsidRPr="008C08D4">
        <w:rPr>
          <w:rFonts w:ascii="Times New Roman" w:eastAsia="Times New Roman" w:hAnsi="Times New Roman" w:cs="Times New Roman"/>
          <w:sz w:val="20"/>
          <w:szCs w:val="20"/>
        </w:rPr>
        <w:t xml:space="preserve"> [Online],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January</w:t>
      </w:r>
      <w:proofErr w:type="spellEnd"/>
      <w:r w:rsidRPr="008C08D4">
        <w:rPr>
          <w:rFonts w:ascii="Times New Roman" w:eastAsia="Times New Roman" w:hAnsi="Times New Roman" w:cs="Times New Roman"/>
          <w:sz w:val="20"/>
          <w:szCs w:val="20"/>
        </w:rPr>
        <w:t>, 11 2020</w:t>
      </w:r>
      <w:proofErr w:type="gramStart"/>
      <w:r w:rsidRPr="008C08D4">
        <w:rPr>
          <w:rFonts w:ascii="Times New Roman" w:eastAsia="Times New Roman" w:hAnsi="Times New Roman" w:cs="Times New Roman"/>
          <w:sz w:val="20"/>
          <w:szCs w:val="20"/>
        </w:rPr>
        <w:t>],</w:t>
      </w:r>
      <w:r w:rsidRPr="008C08D4">
        <w:rPr>
          <w:rFonts w:ascii="Times New Roman" w:hAnsi="Times New Roman" w:cs="Times New Roman"/>
          <w:sz w:val="20"/>
          <w:szCs w:val="20"/>
          <w:lang w:val="en-GB"/>
        </w:rPr>
        <w:t>  https://www.mayerbrown.com/-/media/files/perspectives-events/publications/2014/08/summer-2014-fund-finance-market-review/files/get-the-full-report/fileattachment/140805-nyc-newsletter-fund-finance.pdf</w:t>
      </w:r>
      <w:proofErr w:type="gramEnd"/>
    </w:p>
    <w:p w14:paraId="7ECE0F4C" w14:textId="77777777" w:rsidR="00CF7832" w:rsidRDefault="006D2D6B" w:rsidP="00CF7832">
      <w:proofErr w:type="spellStart"/>
      <w:r w:rsidRPr="008C08D4">
        <w:rPr>
          <w:rFonts w:ascii="Times New Roman" w:eastAsia="Times New Roman" w:hAnsi="Times New Roman" w:cs="Times New Roman"/>
          <w:sz w:val="20"/>
          <w:szCs w:val="20"/>
        </w:rPr>
        <w:t>Next</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Generation</w:t>
      </w:r>
      <w:proofErr w:type="spellEnd"/>
      <w:r w:rsidRPr="008C08D4">
        <w:rPr>
          <w:rFonts w:ascii="Times New Roman" w:eastAsia="Times New Roman" w:hAnsi="Times New Roman" w:cs="Times New Roman"/>
          <w:sz w:val="20"/>
          <w:szCs w:val="20"/>
        </w:rPr>
        <w:t xml:space="preserve"> EU </w:t>
      </w:r>
      <w:proofErr w:type="spellStart"/>
      <w:r w:rsidRPr="008C08D4">
        <w:rPr>
          <w:rFonts w:ascii="Times New Roman" w:eastAsia="Times New Roman" w:hAnsi="Times New Roman" w:cs="Times New Roman"/>
          <w:sz w:val="20"/>
          <w:szCs w:val="20"/>
        </w:rPr>
        <w:t>Bonds</w:t>
      </w:r>
      <w:proofErr w:type="spellEnd"/>
      <w:r w:rsidRPr="008C08D4">
        <w:rPr>
          <w:rFonts w:ascii="Times New Roman" w:eastAsia="Times New Roman" w:hAnsi="Times New Roman" w:cs="Times New Roman"/>
          <w:sz w:val="20"/>
          <w:szCs w:val="20"/>
        </w:rPr>
        <w:t>, (2021), [Online],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January</w:t>
      </w:r>
      <w:proofErr w:type="spellEnd"/>
      <w:r w:rsidRPr="008C08D4">
        <w:rPr>
          <w:rFonts w:ascii="Times New Roman" w:eastAsia="Times New Roman" w:hAnsi="Times New Roman" w:cs="Times New Roman"/>
          <w:sz w:val="20"/>
          <w:szCs w:val="20"/>
        </w:rPr>
        <w:t xml:space="preserve"> 17, 2021], </w:t>
      </w:r>
      <w:hyperlink r:id="rId24" w:history="1">
        <w:r w:rsidR="00CF7832" w:rsidRPr="00F343D4">
          <w:rPr>
            <w:rStyle w:val="Hyperlink"/>
            <w:rFonts w:ascii="Times New Roman" w:hAnsi="Times New Roman" w:cs="Times New Roman"/>
            <w:noProof/>
            <w:sz w:val="20"/>
            <w:szCs w:val="20"/>
            <w:lang w:val="en-GB"/>
          </w:rPr>
          <w:t>https://corporate.nordea.com/article/59136/bond-watch-next-generation-eu-bonds</w:t>
        </w:r>
      </w:hyperlink>
      <w:r w:rsidR="00CF7832" w:rsidRPr="00CF7832">
        <w:t xml:space="preserve"> </w:t>
      </w:r>
    </w:p>
    <w:p w14:paraId="0F6BD5E2" w14:textId="0C1F4E26" w:rsidR="00990FC8" w:rsidRDefault="00CF7832" w:rsidP="00CF7832">
      <w:pPr>
        <w:rPr>
          <w:rFonts w:ascii="Times New Roman" w:hAnsi="Times New Roman" w:cs="Times New Roman"/>
          <w:noProof/>
          <w:sz w:val="20"/>
          <w:szCs w:val="20"/>
          <w:lang w:val="en-GB"/>
        </w:rPr>
      </w:pPr>
      <w:r w:rsidRPr="00CF7832">
        <w:rPr>
          <w:rFonts w:ascii="Times New Roman" w:hAnsi="Times New Roman" w:cs="Times New Roman"/>
          <w:noProof/>
          <w:sz w:val="20"/>
          <w:szCs w:val="20"/>
          <w:lang w:val="en-GB"/>
        </w:rPr>
        <w:t xml:space="preserve">Oettinger, </w:t>
      </w:r>
      <w:r>
        <w:rPr>
          <w:rFonts w:ascii="Times New Roman" w:hAnsi="Times New Roman" w:cs="Times New Roman"/>
          <w:noProof/>
          <w:sz w:val="20"/>
          <w:szCs w:val="20"/>
          <w:lang w:val="en-GB"/>
        </w:rPr>
        <w:t>G. (2018), ‘</w:t>
      </w:r>
      <w:r w:rsidRPr="00CF7832">
        <w:rPr>
          <w:rFonts w:ascii="Times New Roman" w:hAnsi="Times New Roman" w:cs="Times New Roman"/>
          <w:noProof/>
          <w:sz w:val="20"/>
          <w:szCs w:val="20"/>
          <w:lang w:val="en-GB"/>
        </w:rPr>
        <w:t>EU-Budget mit Europäischem</w:t>
      </w:r>
      <w:r>
        <w:rPr>
          <w:rFonts w:ascii="Times New Roman" w:hAnsi="Times New Roman" w:cs="Times New Roman"/>
          <w:noProof/>
          <w:sz w:val="20"/>
          <w:szCs w:val="20"/>
          <w:lang w:val="en-GB"/>
        </w:rPr>
        <w:t xml:space="preserve"> Mehrwert’</w:t>
      </w:r>
      <w:r w:rsidRPr="00CF7832">
        <w:rPr>
          <w:rFonts w:ascii="Times New Roman" w:hAnsi="Times New Roman" w:cs="Times New Roman"/>
          <w:noProof/>
          <w:sz w:val="20"/>
          <w:szCs w:val="20"/>
          <w:lang w:val="en-GB"/>
        </w:rPr>
        <w:t>, Speech</w:t>
      </w:r>
      <w:r>
        <w:rPr>
          <w:rFonts w:ascii="Times New Roman" w:hAnsi="Times New Roman" w:cs="Times New Roman"/>
          <w:noProof/>
          <w:sz w:val="20"/>
          <w:szCs w:val="20"/>
          <w:lang w:val="en-GB"/>
        </w:rPr>
        <w:t xml:space="preserve"> at the Commission’s conference </w:t>
      </w:r>
      <w:r w:rsidRPr="00CF7832">
        <w:rPr>
          <w:rFonts w:ascii="Times New Roman" w:hAnsi="Times New Roman" w:cs="Times New Roman"/>
          <w:noProof/>
          <w:sz w:val="20"/>
          <w:szCs w:val="20"/>
          <w:lang w:val="en-GB"/>
        </w:rPr>
        <w:t>“Shaping our Future”, 8 Janu</w:t>
      </w:r>
      <w:r>
        <w:rPr>
          <w:rFonts w:ascii="Times New Roman" w:hAnsi="Times New Roman" w:cs="Times New Roman"/>
          <w:noProof/>
          <w:sz w:val="20"/>
          <w:szCs w:val="20"/>
          <w:lang w:val="en-GB"/>
        </w:rPr>
        <w:t xml:space="preserve">ary 2018, </w:t>
      </w:r>
      <w:hyperlink r:id="rId25" w:history="1">
        <w:r w:rsidRPr="00F343D4">
          <w:rPr>
            <w:rStyle w:val="Hyperlink"/>
            <w:rFonts w:ascii="Times New Roman" w:hAnsi="Times New Roman" w:cs="Times New Roman"/>
            <w:noProof/>
            <w:sz w:val="20"/>
            <w:szCs w:val="20"/>
            <w:lang w:val="en-GB"/>
          </w:rPr>
          <w:t>https://ec.europa.eu/</w:t>
        </w:r>
      </w:hyperlink>
      <w:r>
        <w:rPr>
          <w:rFonts w:ascii="Times New Roman" w:hAnsi="Times New Roman" w:cs="Times New Roman"/>
          <w:noProof/>
          <w:sz w:val="20"/>
          <w:szCs w:val="20"/>
          <w:lang w:val="en-GB"/>
        </w:rPr>
        <w:t xml:space="preserve"> </w:t>
      </w:r>
      <w:r w:rsidRPr="00CF7832">
        <w:rPr>
          <w:rFonts w:ascii="Times New Roman" w:hAnsi="Times New Roman" w:cs="Times New Roman"/>
          <w:noProof/>
          <w:sz w:val="20"/>
          <w:szCs w:val="20"/>
          <w:lang w:val="en-GB"/>
        </w:rPr>
        <w:t>commission/commissioners/201</w:t>
      </w:r>
      <w:r>
        <w:rPr>
          <w:rFonts w:ascii="Times New Roman" w:hAnsi="Times New Roman" w:cs="Times New Roman"/>
          <w:noProof/>
          <w:sz w:val="20"/>
          <w:szCs w:val="20"/>
          <w:lang w:val="en-GB"/>
        </w:rPr>
        <w:t xml:space="preserve">4-2019/oettinger/blog/eubudget- </w:t>
      </w:r>
      <w:r w:rsidRPr="00CF7832">
        <w:rPr>
          <w:rFonts w:ascii="Times New Roman" w:hAnsi="Times New Roman" w:cs="Times New Roman"/>
          <w:noProof/>
          <w:sz w:val="20"/>
          <w:szCs w:val="20"/>
          <w:lang w:val="en-GB"/>
        </w:rPr>
        <w:t>mit-europaischem-mehrwert</w:t>
      </w:r>
      <w:r>
        <w:rPr>
          <w:rFonts w:ascii="Times New Roman" w:hAnsi="Times New Roman" w:cs="Times New Roman"/>
          <w:noProof/>
          <w:sz w:val="20"/>
          <w:szCs w:val="20"/>
          <w:lang w:val="en-GB"/>
        </w:rPr>
        <w:t>-rede-auf-der-konferenzshaping-</w:t>
      </w:r>
      <w:r w:rsidRPr="00CF7832">
        <w:rPr>
          <w:rFonts w:ascii="Times New Roman" w:hAnsi="Times New Roman" w:cs="Times New Roman"/>
          <w:noProof/>
          <w:sz w:val="20"/>
          <w:szCs w:val="20"/>
          <w:lang w:val="en-GB"/>
        </w:rPr>
        <w:t>our-future-08012018_en.</w:t>
      </w:r>
    </w:p>
    <w:p w14:paraId="7B17F6B9" w14:textId="4DEEA9B8" w:rsidR="00E07930" w:rsidRDefault="006D2D6B" w:rsidP="007543EC">
      <w:pPr>
        <w:jc w:val="both"/>
        <w:rPr>
          <w:rStyle w:val="Hyperlink"/>
          <w:rFonts w:ascii="Times New Roman" w:hAnsi="Times New Roman" w:cs="Times New Roman"/>
          <w:color w:val="auto"/>
          <w:sz w:val="20"/>
          <w:szCs w:val="20"/>
          <w:lang w:val="en-GB"/>
        </w:rPr>
      </w:pPr>
      <w:proofErr w:type="spellStart"/>
      <w:r w:rsidRPr="008C08D4">
        <w:rPr>
          <w:rFonts w:ascii="Times New Roman" w:eastAsia="Times New Roman" w:hAnsi="Times New Roman" w:cs="Times New Roman"/>
          <w:sz w:val="20"/>
          <w:szCs w:val="20"/>
        </w:rPr>
        <w:t>Recovery</w:t>
      </w:r>
      <w:proofErr w:type="spellEnd"/>
      <w:r w:rsidRPr="008C08D4">
        <w:rPr>
          <w:rFonts w:ascii="Times New Roman" w:eastAsia="Times New Roman" w:hAnsi="Times New Roman" w:cs="Times New Roman"/>
          <w:sz w:val="20"/>
          <w:szCs w:val="20"/>
        </w:rPr>
        <w:t xml:space="preserve"> Plan Europe (2021) [Online],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January</w:t>
      </w:r>
      <w:proofErr w:type="spellEnd"/>
      <w:r w:rsidRPr="008C08D4">
        <w:rPr>
          <w:rFonts w:ascii="Times New Roman" w:eastAsia="Times New Roman" w:hAnsi="Times New Roman" w:cs="Times New Roman"/>
          <w:sz w:val="20"/>
          <w:szCs w:val="20"/>
        </w:rPr>
        <w:t xml:space="preserve"> 12, 2021], </w:t>
      </w:r>
      <w:hyperlink r:id="rId26" w:history="1">
        <w:r w:rsidR="00E07930" w:rsidRPr="008C08D4">
          <w:rPr>
            <w:rStyle w:val="Hyperlink"/>
            <w:rFonts w:ascii="Times New Roman" w:hAnsi="Times New Roman" w:cs="Times New Roman"/>
            <w:color w:val="auto"/>
            <w:sz w:val="20"/>
            <w:szCs w:val="20"/>
            <w:lang w:val="en-GB"/>
          </w:rPr>
          <w:t>https://ec.europa.eu/info/strategy/recovery-plan-europe_en</w:t>
        </w:r>
      </w:hyperlink>
    </w:p>
    <w:p w14:paraId="011B0C8B" w14:textId="61BDBAC2" w:rsidR="0004583D" w:rsidRPr="008C08D4" w:rsidRDefault="0004583D" w:rsidP="007543EC">
      <w:pPr>
        <w:jc w:val="both"/>
        <w:rPr>
          <w:rFonts w:ascii="Times New Roman" w:hAnsi="Times New Roman" w:cs="Times New Roman"/>
          <w:sz w:val="20"/>
          <w:szCs w:val="20"/>
          <w:lang w:val="en-GB"/>
        </w:rPr>
      </w:pPr>
      <w:r w:rsidRPr="00697C07">
        <w:rPr>
          <w:rStyle w:val="Hyperlink"/>
          <w:rFonts w:ascii="Times New Roman" w:hAnsi="Times New Roman" w:cs="Times New Roman"/>
          <w:color w:val="auto"/>
          <w:sz w:val="20"/>
          <w:szCs w:val="20"/>
          <w:u w:val="none"/>
          <w:lang w:val="en-GB"/>
        </w:rPr>
        <w:t>Reforming the struc</w:t>
      </w:r>
      <w:r>
        <w:rPr>
          <w:rStyle w:val="Hyperlink"/>
          <w:rFonts w:ascii="Times New Roman" w:hAnsi="Times New Roman" w:cs="Times New Roman"/>
          <w:color w:val="auto"/>
          <w:sz w:val="20"/>
          <w:szCs w:val="20"/>
          <w:u w:val="none"/>
          <w:lang w:val="en-GB"/>
        </w:rPr>
        <w:t xml:space="preserve">ture of the EU banking sector, (2014) </w:t>
      </w:r>
      <w:r w:rsidRPr="008C08D4">
        <w:rPr>
          <w:rFonts w:ascii="Times New Roman" w:eastAsia="Times New Roman" w:hAnsi="Times New Roman" w:cs="Times New Roman"/>
          <w:sz w:val="20"/>
          <w:szCs w:val="20"/>
        </w:rPr>
        <w:t>[Online],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February</w:t>
      </w:r>
      <w:proofErr w:type="spellEnd"/>
      <w:r w:rsidRPr="008C08D4">
        <w:rPr>
          <w:rFonts w:ascii="Times New Roman" w:eastAsia="Times New Roman" w:hAnsi="Times New Roman" w:cs="Times New Roman"/>
          <w:sz w:val="20"/>
          <w:szCs w:val="20"/>
        </w:rPr>
        <w:t>, 15 2021]</w:t>
      </w:r>
      <w:r>
        <w:rPr>
          <w:rFonts w:ascii="Times New Roman" w:eastAsia="Times New Roman" w:hAnsi="Times New Roman" w:cs="Times New Roman"/>
          <w:sz w:val="20"/>
          <w:szCs w:val="20"/>
        </w:rPr>
        <w:t xml:space="preserve">, </w:t>
      </w:r>
      <w:r w:rsidRPr="00B07A90">
        <w:rPr>
          <w:rStyle w:val="Hyperlink"/>
          <w:rFonts w:ascii="Times New Roman" w:hAnsi="Times New Roman" w:cs="Times New Roman"/>
          <w:color w:val="auto"/>
          <w:sz w:val="20"/>
          <w:szCs w:val="20"/>
          <w:u w:val="none"/>
          <w:lang w:val="en-GB"/>
        </w:rPr>
        <w:t>https://www.europarl.europa.eu/RegData/etudes/BRIE/2014/542145/EPRS_BRI(2014)542145_REV1_EN.pdf</w:t>
      </w:r>
    </w:p>
    <w:p w14:paraId="5A45DA37" w14:textId="3714F942" w:rsidR="000C0AF9" w:rsidRDefault="006D2D6B" w:rsidP="006D2D6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sidRPr="008C08D4">
        <w:rPr>
          <w:rFonts w:ascii="Times New Roman" w:hAnsi="Times New Roman" w:cs="Times New Roman"/>
          <w:sz w:val="20"/>
          <w:szCs w:val="20"/>
          <w:lang w:val="en-GB"/>
        </w:rPr>
        <w:t>Schenk,</w:t>
      </w:r>
      <w:r w:rsidR="008B1BF2" w:rsidRPr="008C08D4">
        <w:rPr>
          <w:rFonts w:ascii="Times New Roman" w:hAnsi="Times New Roman" w:cs="Times New Roman"/>
          <w:sz w:val="20"/>
          <w:szCs w:val="20"/>
          <w:lang w:val="en-GB"/>
        </w:rPr>
        <w:t xml:space="preserve"> CR.</w:t>
      </w:r>
      <w:r w:rsidRPr="008C08D4">
        <w:rPr>
          <w:rFonts w:ascii="Times New Roman" w:hAnsi="Times New Roman" w:cs="Times New Roman"/>
          <w:sz w:val="20"/>
          <w:szCs w:val="20"/>
          <w:lang w:val="en-GB"/>
        </w:rPr>
        <w:t xml:space="preserve"> (2021),</w:t>
      </w:r>
      <w:r w:rsidR="000C0AF9" w:rsidRPr="008C08D4">
        <w:rPr>
          <w:rFonts w:ascii="Times New Roman" w:hAnsi="Times New Roman" w:cs="Times New Roman"/>
          <w:sz w:val="20"/>
          <w:szCs w:val="20"/>
          <w:lang w:val="en-GB"/>
        </w:rPr>
        <w:t xml:space="preserve"> </w:t>
      </w:r>
      <w:r w:rsidR="008B1BF2" w:rsidRPr="008C08D4">
        <w:rPr>
          <w:rFonts w:ascii="Times New Roman" w:hAnsi="Times New Roman" w:cs="Times New Roman"/>
          <w:sz w:val="20"/>
          <w:szCs w:val="20"/>
          <w:lang w:val="en-GB"/>
        </w:rPr>
        <w:t>‘</w:t>
      </w:r>
      <w:r w:rsidR="000C0AF9" w:rsidRPr="008C08D4">
        <w:rPr>
          <w:rFonts w:ascii="Times New Roman" w:hAnsi="Times New Roman" w:cs="Times New Roman"/>
          <w:sz w:val="20"/>
          <w:szCs w:val="20"/>
          <w:lang w:val="en-GB"/>
        </w:rPr>
        <w:t>The global financial crisis and banking regulat</w:t>
      </w:r>
      <w:r w:rsidR="008B1BF2" w:rsidRPr="008C08D4">
        <w:rPr>
          <w:rFonts w:ascii="Times New Roman" w:hAnsi="Times New Roman" w:cs="Times New Roman"/>
          <w:sz w:val="20"/>
          <w:szCs w:val="20"/>
          <w:lang w:val="en-GB"/>
        </w:rPr>
        <w:t xml:space="preserve">ion: Another turn of the wheel?’, </w:t>
      </w:r>
      <w:r w:rsidR="000C0AF9" w:rsidRPr="008C08D4">
        <w:rPr>
          <w:rFonts w:ascii="Times New Roman" w:hAnsi="Times New Roman" w:cs="Times New Roman"/>
          <w:i/>
          <w:sz w:val="20"/>
          <w:szCs w:val="20"/>
          <w:lang w:val="en-GB"/>
        </w:rPr>
        <w:t>Journal of Modern European History</w:t>
      </w:r>
      <w:r w:rsidR="008B1BF2" w:rsidRPr="008C08D4">
        <w:rPr>
          <w:rFonts w:ascii="Times New Roman" w:hAnsi="Times New Roman" w:cs="Times New Roman"/>
          <w:sz w:val="20"/>
          <w:szCs w:val="20"/>
          <w:lang w:val="en-GB"/>
        </w:rPr>
        <w:t xml:space="preserve">, 19(1), </w:t>
      </w:r>
      <w:r w:rsidR="000C0AF9" w:rsidRPr="008C08D4">
        <w:rPr>
          <w:rFonts w:ascii="Times New Roman" w:hAnsi="Times New Roman" w:cs="Times New Roman"/>
          <w:sz w:val="20"/>
          <w:szCs w:val="20"/>
          <w:lang w:val="en-GB"/>
        </w:rPr>
        <w:t xml:space="preserve">8-13. </w:t>
      </w:r>
      <w:r w:rsidR="008B1BF2" w:rsidRPr="008C08D4">
        <w:rPr>
          <w:rFonts w:ascii="Times New Roman" w:eastAsia="Times New Roman" w:hAnsi="Times New Roman" w:cs="Times New Roman"/>
          <w:sz w:val="20"/>
          <w:szCs w:val="20"/>
        </w:rPr>
        <w:t>[Online], [</w:t>
      </w:r>
      <w:proofErr w:type="spellStart"/>
      <w:r w:rsidR="008B1BF2" w:rsidRPr="008C08D4">
        <w:rPr>
          <w:rFonts w:ascii="Times New Roman" w:eastAsia="Times New Roman" w:hAnsi="Times New Roman" w:cs="Times New Roman"/>
          <w:sz w:val="20"/>
          <w:szCs w:val="20"/>
        </w:rPr>
        <w:t>Retrieved</w:t>
      </w:r>
      <w:proofErr w:type="spellEnd"/>
      <w:r w:rsidR="008B1BF2" w:rsidRPr="008C08D4">
        <w:rPr>
          <w:rFonts w:ascii="Times New Roman" w:eastAsia="Times New Roman" w:hAnsi="Times New Roman" w:cs="Times New Roman"/>
          <w:sz w:val="20"/>
          <w:szCs w:val="20"/>
        </w:rPr>
        <w:t xml:space="preserve"> </w:t>
      </w:r>
      <w:proofErr w:type="spellStart"/>
      <w:r w:rsidR="008B1BF2" w:rsidRPr="008C08D4">
        <w:rPr>
          <w:rFonts w:ascii="Times New Roman" w:eastAsia="Times New Roman" w:hAnsi="Times New Roman" w:cs="Times New Roman"/>
          <w:sz w:val="20"/>
          <w:szCs w:val="20"/>
        </w:rPr>
        <w:t>January</w:t>
      </w:r>
      <w:proofErr w:type="spellEnd"/>
      <w:r w:rsidR="008B1BF2" w:rsidRPr="008C08D4">
        <w:rPr>
          <w:rFonts w:ascii="Times New Roman" w:eastAsia="Times New Roman" w:hAnsi="Times New Roman" w:cs="Times New Roman"/>
          <w:sz w:val="20"/>
          <w:szCs w:val="20"/>
        </w:rPr>
        <w:t>, 15 2021]</w:t>
      </w:r>
      <w:r w:rsidR="000C0AF9" w:rsidRPr="008C08D4">
        <w:rPr>
          <w:rFonts w:ascii="Times New Roman" w:hAnsi="Times New Roman" w:cs="Times New Roman"/>
          <w:sz w:val="20"/>
          <w:szCs w:val="20"/>
          <w:lang w:val="en-GB"/>
        </w:rPr>
        <w:t>doi:10.1177/1611894420974252</w:t>
      </w:r>
    </w:p>
    <w:p w14:paraId="4B99A409" w14:textId="19D330C3" w:rsidR="00315780" w:rsidRDefault="00315780" w:rsidP="006D2D6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spellStart"/>
      <w:r w:rsidRPr="00315780">
        <w:rPr>
          <w:rFonts w:ascii="Times New Roman" w:hAnsi="Times New Roman" w:cs="Times New Roman"/>
          <w:sz w:val="20"/>
          <w:szCs w:val="20"/>
        </w:rPr>
        <w:t>Schwarcz</w:t>
      </w:r>
      <w:proofErr w:type="spellEnd"/>
      <w:r w:rsidRPr="00315780">
        <w:rPr>
          <w:rFonts w:ascii="Times New Roman" w:hAnsi="Times New Roman" w:cs="Times New Roman"/>
          <w:sz w:val="20"/>
          <w:szCs w:val="20"/>
        </w:rPr>
        <w:t>, SL. (2012), '</w:t>
      </w:r>
      <w:proofErr w:type="spellStart"/>
      <w:r w:rsidRPr="00315780">
        <w:rPr>
          <w:rFonts w:ascii="Times New Roman" w:hAnsi="Times New Roman" w:cs="Times New Roman"/>
          <w:iCs/>
          <w:sz w:val="20"/>
          <w:szCs w:val="20"/>
        </w:rPr>
        <w:t>Controlling</w:t>
      </w:r>
      <w:proofErr w:type="spellEnd"/>
      <w:r w:rsidRPr="00315780">
        <w:rPr>
          <w:rFonts w:ascii="Times New Roman" w:hAnsi="Times New Roman" w:cs="Times New Roman"/>
          <w:iCs/>
          <w:sz w:val="20"/>
          <w:szCs w:val="20"/>
        </w:rPr>
        <w:t xml:space="preserve"> Financial </w:t>
      </w:r>
      <w:proofErr w:type="spellStart"/>
      <w:r w:rsidRPr="00315780">
        <w:rPr>
          <w:rFonts w:ascii="Times New Roman" w:hAnsi="Times New Roman" w:cs="Times New Roman"/>
          <w:iCs/>
          <w:sz w:val="20"/>
          <w:szCs w:val="20"/>
        </w:rPr>
        <w:t>Chaos</w:t>
      </w:r>
      <w:proofErr w:type="spellEnd"/>
      <w:r w:rsidRPr="00315780">
        <w:rPr>
          <w:rFonts w:ascii="Times New Roman" w:hAnsi="Times New Roman" w:cs="Times New Roman"/>
          <w:iCs/>
          <w:sz w:val="20"/>
          <w:szCs w:val="20"/>
        </w:rPr>
        <w:t xml:space="preserve">: </w:t>
      </w:r>
      <w:proofErr w:type="spellStart"/>
      <w:r w:rsidRPr="00315780">
        <w:rPr>
          <w:rFonts w:ascii="Times New Roman" w:hAnsi="Times New Roman" w:cs="Times New Roman"/>
          <w:iCs/>
          <w:sz w:val="20"/>
          <w:szCs w:val="20"/>
        </w:rPr>
        <w:t>The</w:t>
      </w:r>
      <w:proofErr w:type="spellEnd"/>
      <w:r w:rsidRPr="00315780">
        <w:rPr>
          <w:rFonts w:ascii="Times New Roman" w:hAnsi="Times New Roman" w:cs="Times New Roman"/>
          <w:iCs/>
          <w:sz w:val="20"/>
          <w:szCs w:val="20"/>
        </w:rPr>
        <w:t xml:space="preserve"> Power </w:t>
      </w:r>
      <w:proofErr w:type="spellStart"/>
      <w:r w:rsidRPr="00315780">
        <w:rPr>
          <w:rFonts w:ascii="Times New Roman" w:hAnsi="Times New Roman" w:cs="Times New Roman"/>
          <w:iCs/>
          <w:sz w:val="20"/>
          <w:szCs w:val="20"/>
        </w:rPr>
        <w:t>and</w:t>
      </w:r>
      <w:proofErr w:type="spellEnd"/>
      <w:r w:rsidRPr="00315780">
        <w:rPr>
          <w:rFonts w:ascii="Times New Roman" w:hAnsi="Times New Roman" w:cs="Times New Roman"/>
          <w:iCs/>
          <w:sz w:val="20"/>
          <w:szCs w:val="20"/>
        </w:rPr>
        <w:t xml:space="preserve"> </w:t>
      </w:r>
      <w:proofErr w:type="spellStart"/>
      <w:r w:rsidRPr="00315780">
        <w:rPr>
          <w:rFonts w:ascii="Times New Roman" w:hAnsi="Times New Roman" w:cs="Times New Roman"/>
          <w:iCs/>
          <w:sz w:val="20"/>
          <w:szCs w:val="20"/>
        </w:rPr>
        <w:t>Limits</w:t>
      </w:r>
      <w:proofErr w:type="spellEnd"/>
      <w:r w:rsidRPr="00315780">
        <w:rPr>
          <w:rFonts w:ascii="Times New Roman" w:hAnsi="Times New Roman" w:cs="Times New Roman"/>
          <w:iCs/>
          <w:sz w:val="20"/>
          <w:szCs w:val="20"/>
        </w:rPr>
        <w:t xml:space="preserve"> </w:t>
      </w:r>
      <w:proofErr w:type="spellStart"/>
      <w:r w:rsidRPr="00315780">
        <w:rPr>
          <w:rFonts w:ascii="Times New Roman" w:hAnsi="Times New Roman" w:cs="Times New Roman"/>
          <w:iCs/>
          <w:sz w:val="20"/>
          <w:szCs w:val="20"/>
        </w:rPr>
        <w:t>of</w:t>
      </w:r>
      <w:proofErr w:type="spellEnd"/>
      <w:r w:rsidRPr="00315780">
        <w:rPr>
          <w:rFonts w:ascii="Times New Roman" w:hAnsi="Times New Roman" w:cs="Times New Roman"/>
          <w:iCs/>
          <w:sz w:val="20"/>
          <w:szCs w:val="20"/>
        </w:rPr>
        <w:t xml:space="preserve"> </w:t>
      </w:r>
      <w:proofErr w:type="spellStart"/>
      <w:r w:rsidRPr="00315780">
        <w:rPr>
          <w:rFonts w:ascii="Times New Roman" w:hAnsi="Times New Roman" w:cs="Times New Roman"/>
          <w:iCs/>
          <w:sz w:val="20"/>
          <w:szCs w:val="20"/>
        </w:rPr>
        <w:t>Law</w:t>
      </w:r>
      <w:proofErr w:type="spellEnd"/>
      <w:r w:rsidRPr="00315780">
        <w:rPr>
          <w:rFonts w:ascii="Times New Roman" w:hAnsi="Times New Roman" w:cs="Times New Roman"/>
          <w:iCs/>
          <w:sz w:val="20"/>
          <w:szCs w:val="20"/>
        </w:rPr>
        <w:t>'</w:t>
      </w:r>
      <w:r w:rsidRPr="00315780">
        <w:rPr>
          <w:rFonts w:ascii="Times New Roman" w:hAnsi="Times New Roman" w:cs="Times New Roman"/>
          <w:sz w:val="20"/>
          <w:szCs w:val="20"/>
        </w:rPr>
        <w:t xml:space="preserve">. WIS. L. REV. 815, 827 n.44. </w:t>
      </w:r>
    </w:p>
    <w:p w14:paraId="56026C93" w14:textId="06256652" w:rsidR="00315780" w:rsidRDefault="00315780" w:rsidP="006D2D6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proofErr w:type="spellStart"/>
      <w:r>
        <w:rPr>
          <w:rFonts w:ascii="Times New Roman" w:hAnsi="Times New Roman" w:cs="Times New Roman"/>
          <w:sz w:val="20"/>
          <w:szCs w:val="20"/>
          <w:lang w:val="en-GB"/>
        </w:rPr>
        <w:t>Schwarcz</w:t>
      </w:r>
      <w:proofErr w:type="spellEnd"/>
      <w:r>
        <w:rPr>
          <w:rFonts w:ascii="Times New Roman" w:hAnsi="Times New Roman" w:cs="Times New Roman"/>
          <w:sz w:val="20"/>
          <w:szCs w:val="20"/>
          <w:lang w:val="en-GB"/>
        </w:rPr>
        <w:t>, SL. and Leonhardt, TL</w:t>
      </w:r>
      <w:r w:rsidRPr="00315780">
        <w:rPr>
          <w:rFonts w:ascii="Times New Roman" w:hAnsi="Times New Roman" w:cs="Times New Roman"/>
          <w:sz w:val="20"/>
          <w:szCs w:val="20"/>
          <w:lang w:val="en-GB"/>
        </w:rPr>
        <w:t>.</w:t>
      </w:r>
      <w:r>
        <w:rPr>
          <w:rFonts w:ascii="Times New Roman" w:hAnsi="Times New Roman" w:cs="Times New Roman"/>
          <w:sz w:val="20"/>
          <w:szCs w:val="20"/>
          <w:lang w:val="en-GB"/>
        </w:rPr>
        <w:t xml:space="preserve"> (2020)</w:t>
      </w:r>
      <w:r w:rsidRPr="00315780">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315780">
        <w:rPr>
          <w:rFonts w:ascii="Times New Roman" w:hAnsi="Times New Roman" w:cs="Times New Roman"/>
          <w:sz w:val="20"/>
          <w:szCs w:val="20"/>
          <w:lang w:val="en-GB"/>
        </w:rPr>
        <w:t>Scoping and Defining Financial Inclusion, Access to Credit, and Sustainable Finance</w:t>
      </w:r>
      <w:r>
        <w:rPr>
          <w:rFonts w:ascii="Times New Roman" w:hAnsi="Times New Roman" w:cs="Times New Roman"/>
          <w:sz w:val="20"/>
          <w:szCs w:val="20"/>
          <w:lang w:val="en-GB"/>
        </w:rPr>
        <w:t>’</w:t>
      </w:r>
      <w:r w:rsidRPr="00315780">
        <w:rPr>
          <w:rFonts w:ascii="Times New Roman" w:hAnsi="Times New Roman" w:cs="Times New Roman"/>
          <w:sz w:val="20"/>
          <w:szCs w:val="20"/>
          <w:lang w:val="en-GB"/>
        </w:rPr>
        <w:t xml:space="preserve"> (December 28, 2020). </w:t>
      </w:r>
      <w:r w:rsidRPr="00315780">
        <w:rPr>
          <w:rFonts w:ascii="Times New Roman" w:hAnsi="Times New Roman" w:cs="Times New Roman"/>
          <w:i/>
          <w:sz w:val="20"/>
          <w:szCs w:val="20"/>
          <w:lang w:val="en-GB"/>
        </w:rPr>
        <w:t>Law and Contemporary Problems, Forthcoming</w:t>
      </w:r>
      <w:r w:rsidRPr="00315780">
        <w:rPr>
          <w:rFonts w:ascii="Times New Roman" w:hAnsi="Times New Roman" w:cs="Times New Roman"/>
          <w:sz w:val="20"/>
          <w:szCs w:val="20"/>
          <w:lang w:val="en-GB"/>
        </w:rPr>
        <w:t>, Duke Law School Pub</w:t>
      </w:r>
      <w:r>
        <w:rPr>
          <w:rFonts w:ascii="Times New Roman" w:hAnsi="Times New Roman" w:cs="Times New Roman"/>
          <w:sz w:val="20"/>
          <w:szCs w:val="20"/>
          <w:lang w:val="en-GB"/>
        </w:rPr>
        <w:t xml:space="preserve">lic Law &amp; Legal Theory </w:t>
      </w:r>
      <w:proofErr w:type="gramStart"/>
      <w:r>
        <w:rPr>
          <w:rFonts w:ascii="Times New Roman" w:hAnsi="Times New Roman" w:cs="Times New Roman"/>
          <w:sz w:val="20"/>
          <w:szCs w:val="20"/>
          <w:lang w:val="en-GB"/>
        </w:rPr>
        <w:t>Series  2021</w:t>
      </w:r>
      <w:proofErr w:type="gramEnd"/>
      <w:r>
        <w:rPr>
          <w:rFonts w:ascii="Times New Roman" w:hAnsi="Times New Roman" w:cs="Times New Roman"/>
          <w:sz w:val="20"/>
          <w:szCs w:val="20"/>
          <w:lang w:val="en-GB"/>
        </w:rPr>
        <w:t>-02.</w:t>
      </w:r>
    </w:p>
    <w:p w14:paraId="63D2F8D5" w14:textId="4CAA64CA" w:rsidR="008B5D9B" w:rsidRPr="00315780" w:rsidRDefault="008B5D9B" w:rsidP="008B5D9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Stieglitz, J. (2009), ‘Too big to fail or too big to save? </w:t>
      </w:r>
      <w:proofErr w:type="spellStart"/>
      <w:r>
        <w:rPr>
          <w:rFonts w:ascii="Times New Roman" w:hAnsi="Times New Roman" w:cs="Times New Roman"/>
          <w:sz w:val="20"/>
          <w:szCs w:val="20"/>
          <w:lang w:val="en-GB"/>
        </w:rPr>
        <w:t>Examing</w:t>
      </w:r>
      <w:proofErr w:type="spellEnd"/>
      <w:r>
        <w:rPr>
          <w:rFonts w:ascii="Times New Roman" w:hAnsi="Times New Roman" w:cs="Times New Roman"/>
          <w:sz w:val="20"/>
          <w:szCs w:val="20"/>
          <w:lang w:val="en-GB"/>
        </w:rPr>
        <w:t xml:space="preserve"> the systemic threats of large financial institutions </w:t>
      </w:r>
      <w:r>
        <w:rPr>
          <w:rFonts w:ascii="Times New Roman" w:eastAsia="Times New Roman" w:hAnsi="Times New Roman" w:cs="Times New Roman"/>
          <w:sz w:val="20"/>
          <w:szCs w:val="20"/>
        </w:rPr>
        <w:t>[Online], [</w:t>
      </w:r>
      <w:proofErr w:type="spellStart"/>
      <w:r>
        <w:rPr>
          <w:rFonts w:ascii="Times New Roman" w:eastAsia="Times New Roman" w:hAnsi="Times New Roman" w:cs="Times New Roman"/>
          <w:sz w:val="20"/>
          <w:szCs w:val="20"/>
        </w:rPr>
        <w:t>Retrieved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January</w:t>
      </w:r>
      <w:proofErr w:type="spellEnd"/>
      <w:r>
        <w:rPr>
          <w:rFonts w:ascii="Times New Roman" w:eastAsia="Times New Roman" w:hAnsi="Times New Roman" w:cs="Times New Roman"/>
          <w:sz w:val="20"/>
          <w:szCs w:val="20"/>
        </w:rPr>
        <w:t xml:space="preserve"> 19</w:t>
      </w:r>
      <w:r w:rsidRPr="008C08D4">
        <w:rPr>
          <w:rFonts w:ascii="Times New Roman" w:eastAsia="Times New Roman" w:hAnsi="Times New Roman" w:cs="Times New Roman"/>
          <w:sz w:val="20"/>
          <w:szCs w:val="20"/>
        </w:rPr>
        <w:t>, 2021</w:t>
      </w:r>
      <w:proofErr w:type="gramStart"/>
      <w:r w:rsidRPr="008C08D4">
        <w:rPr>
          <w:rFonts w:ascii="Times New Roman" w:eastAsia="Times New Roman" w:hAnsi="Times New Roman" w:cs="Times New Roman"/>
          <w:sz w:val="20"/>
          <w:szCs w:val="20"/>
        </w:rPr>
        <w:t xml:space="preserve">], </w:t>
      </w:r>
      <w:r>
        <w:rPr>
          <w:rFonts w:ascii="Times New Roman" w:hAnsi="Times New Roman" w:cs="Times New Roman"/>
          <w:sz w:val="20"/>
          <w:szCs w:val="20"/>
          <w:lang w:val="en-GB"/>
        </w:rPr>
        <w:t xml:space="preserve"> </w:t>
      </w:r>
      <w:r w:rsidRPr="008B5D9B">
        <w:rPr>
          <w:rFonts w:ascii="Times New Roman" w:hAnsi="Times New Roman" w:cs="Times New Roman"/>
          <w:sz w:val="20"/>
          <w:szCs w:val="20"/>
          <w:lang w:val="en-GB"/>
        </w:rPr>
        <w:t>https://www.govinfo.gov/content/pkg/CHRG-111shrg52189/html/CHRG-111shrg52189.htm</w:t>
      </w:r>
      <w:proofErr w:type="gramEnd"/>
    </w:p>
    <w:p w14:paraId="44D16026" w14:textId="37AF04A6" w:rsidR="00990FC8" w:rsidRDefault="008B1BF2" w:rsidP="008B1BF2">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proofErr w:type="spellStart"/>
      <w:r w:rsidRPr="008C08D4">
        <w:rPr>
          <w:rFonts w:ascii="Times New Roman" w:hAnsi="Times New Roman" w:cs="Times New Roman"/>
          <w:sz w:val="20"/>
          <w:szCs w:val="20"/>
          <w:lang w:val="en-GB"/>
        </w:rPr>
        <w:t>Taleb</w:t>
      </w:r>
      <w:proofErr w:type="spellEnd"/>
      <w:r w:rsidRPr="008C08D4">
        <w:rPr>
          <w:rFonts w:ascii="Times New Roman" w:hAnsi="Times New Roman" w:cs="Times New Roman"/>
          <w:sz w:val="20"/>
          <w:szCs w:val="20"/>
          <w:lang w:val="en-GB"/>
        </w:rPr>
        <w:t>, NN, (2010), ’</w:t>
      </w:r>
      <w:r w:rsidR="00990FC8" w:rsidRPr="008C08D4">
        <w:rPr>
          <w:rFonts w:ascii="Times New Roman" w:hAnsi="Times New Roman" w:cs="Times New Roman"/>
          <w:sz w:val="20"/>
          <w:szCs w:val="20"/>
          <w:lang w:val="en-GB"/>
        </w:rPr>
        <w:t xml:space="preserve">The Black Swan: the </w:t>
      </w:r>
      <w:r w:rsidRPr="008C08D4">
        <w:rPr>
          <w:rFonts w:ascii="Times New Roman" w:hAnsi="Times New Roman" w:cs="Times New Roman"/>
          <w:sz w:val="20"/>
          <w:szCs w:val="20"/>
          <w:lang w:val="en-GB"/>
        </w:rPr>
        <w:t xml:space="preserve">impact of the highly </w:t>
      </w:r>
      <w:proofErr w:type="gramStart"/>
      <w:r w:rsidRPr="008C08D4">
        <w:rPr>
          <w:rFonts w:ascii="Times New Roman" w:hAnsi="Times New Roman" w:cs="Times New Roman"/>
          <w:sz w:val="20"/>
          <w:szCs w:val="20"/>
          <w:lang w:val="en-GB"/>
        </w:rPr>
        <w:t xml:space="preserve">improbable‘ </w:t>
      </w:r>
      <w:r w:rsidR="00990FC8" w:rsidRPr="008C08D4">
        <w:rPr>
          <w:rFonts w:ascii="Times New Roman" w:hAnsi="Times New Roman" w:cs="Times New Roman"/>
          <w:sz w:val="20"/>
          <w:szCs w:val="20"/>
          <w:lang w:val="en-GB"/>
        </w:rPr>
        <w:t>(</w:t>
      </w:r>
      <w:proofErr w:type="gramEnd"/>
      <w:r w:rsidR="00990FC8" w:rsidRPr="008C08D4">
        <w:rPr>
          <w:rFonts w:ascii="Times New Roman" w:hAnsi="Times New Roman" w:cs="Times New Roman"/>
          <w:sz w:val="20"/>
          <w:szCs w:val="20"/>
          <w:lang w:val="en-GB"/>
        </w:rPr>
        <w:t xml:space="preserve">2nd ed.). London: </w:t>
      </w:r>
      <w:r w:rsidRPr="008C08D4">
        <w:rPr>
          <w:rFonts w:ascii="Times New Roman" w:hAnsi="Times New Roman" w:cs="Times New Roman"/>
          <w:sz w:val="20"/>
          <w:szCs w:val="20"/>
          <w:lang w:val="en-GB"/>
        </w:rPr>
        <w:t>Penguin.</w:t>
      </w:r>
    </w:p>
    <w:p w14:paraId="50522E71" w14:textId="2B8B1225" w:rsidR="004D269E" w:rsidRPr="008C08D4" w:rsidRDefault="004D269E" w:rsidP="008B1BF2">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Finance Watch Team (2015) </w:t>
      </w:r>
      <w:r w:rsidRPr="008C08D4">
        <w:rPr>
          <w:rFonts w:ascii="Times New Roman" w:eastAsia="Times New Roman" w:hAnsi="Times New Roman" w:cs="Times New Roman"/>
          <w:sz w:val="20"/>
          <w:szCs w:val="20"/>
        </w:rPr>
        <w:t>[</w:t>
      </w:r>
      <w:r>
        <w:rPr>
          <w:rFonts w:ascii="Times New Roman" w:eastAsia="Times New Roman" w:hAnsi="Times New Roman" w:cs="Times New Roman"/>
          <w:sz w:val="20"/>
          <w:szCs w:val="20"/>
        </w:rPr>
        <w:t>Online], [</w:t>
      </w:r>
      <w:proofErr w:type="spellStart"/>
      <w:r>
        <w:rPr>
          <w:rFonts w:ascii="Times New Roman" w:eastAsia="Times New Roman" w:hAnsi="Times New Roman" w:cs="Times New Roman"/>
          <w:sz w:val="20"/>
          <w:szCs w:val="20"/>
        </w:rPr>
        <w:t>Retrieved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February</w:t>
      </w:r>
      <w:proofErr w:type="spellEnd"/>
      <w:r>
        <w:rPr>
          <w:rFonts w:ascii="Times New Roman" w:eastAsia="Times New Roman" w:hAnsi="Times New Roman" w:cs="Times New Roman"/>
          <w:sz w:val="20"/>
          <w:szCs w:val="20"/>
        </w:rPr>
        <w:t>, 26</w:t>
      </w:r>
      <w:r w:rsidRPr="008C08D4">
        <w:rPr>
          <w:rFonts w:ascii="Times New Roman" w:eastAsia="Times New Roman" w:hAnsi="Times New Roman" w:cs="Times New Roman"/>
          <w:sz w:val="20"/>
          <w:szCs w:val="20"/>
        </w:rPr>
        <w:t xml:space="preserve"> 2021], </w:t>
      </w:r>
      <w:r w:rsidRPr="004D269E">
        <w:rPr>
          <w:rFonts w:ascii="Times New Roman" w:hAnsi="Times New Roman" w:cs="Times New Roman"/>
          <w:sz w:val="20"/>
          <w:szCs w:val="20"/>
          <w:lang w:val="en-GB"/>
        </w:rPr>
        <w:t>https://www.finance-watch.org/broad-support-for-cmu-from-the-financial-industry/</w:t>
      </w:r>
    </w:p>
    <w:p w14:paraId="2F62686C" w14:textId="6F48BD53" w:rsidR="00D97981" w:rsidRPr="008C08D4" w:rsidRDefault="008B1BF2" w:rsidP="008B1BF2">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sidRPr="008C08D4">
        <w:rPr>
          <w:rFonts w:ascii="Times New Roman" w:hAnsi="Times New Roman" w:cs="Times New Roman"/>
          <w:sz w:val="20"/>
          <w:szCs w:val="20"/>
          <w:lang w:val="en-GB"/>
        </w:rPr>
        <w:t>T</w:t>
      </w:r>
      <w:r w:rsidR="00342915" w:rsidRPr="008C08D4">
        <w:rPr>
          <w:rFonts w:ascii="Times New Roman" w:hAnsi="Times New Roman" w:cs="Times New Roman"/>
          <w:sz w:val="20"/>
          <w:szCs w:val="20"/>
          <w:lang w:val="en-GB"/>
        </w:rPr>
        <w:t>oussaint, E. (2015)</w:t>
      </w:r>
      <w:r w:rsidRPr="008C08D4">
        <w:rPr>
          <w:rFonts w:ascii="Times New Roman" w:hAnsi="Times New Roman" w:cs="Times New Roman"/>
          <w:sz w:val="20"/>
          <w:szCs w:val="20"/>
          <w:lang w:val="en-GB"/>
        </w:rPr>
        <w:t>, ‘</w:t>
      </w:r>
      <w:r w:rsidR="00342915" w:rsidRPr="008C08D4">
        <w:rPr>
          <w:rFonts w:ascii="Times New Roman" w:hAnsi="Times New Roman" w:cs="Times New Roman"/>
          <w:sz w:val="20"/>
          <w:szCs w:val="20"/>
          <w:lang w:val="en-GB"/>
        </w:rPr>
        <w:t>Banking regulations: truth and lies</w:t>
      </w:r>
      <w:r w:rsidRPr="008C08D4">
        <w:rPr>
          <w:rFonts w:ascii="Times New Roman" w:hAnsi="Times New Roman" w:cs="Times New Roman"/>
          <w:sz w:val="20"/>
          <w:szCs w:val="20"/>
          <w:lang w:val="en-GB"/>
        </w:rPr>
        <w:t>’</w:t>
      </w:r>
      <w:r w:rsidR="00342915" w:rsidRPr="008C08D4">
        <w:rPr>
          <w:rFonts w:ascii="Times New Roman" w:hAnsi="Times New Roman" w:cs="Times New Roman"/>
          <w:sz w:val="20"/>
          <w:szCs w:val="20"/>
          <w:lang w:val="en-GB"/>
        </w:rPr>
        <w:t xml:space="preserve"> </w:t>
      </w:r>
      <w:r w:rsidRPr="008C08D4">
        <w:rPr>
          <w:rFonts w:ascii="Times New Roman" w:eastAsia="Times New Roman" w:hAnsi="Times New Roman" w:cs="Times New Roman"/>
          <w:sz w:val="20"/>
          <w:szCs w:val="20"/>
        </w:rPr>
        <w:t>[Online],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February</w:t>
      </w:r>
      <w:proofErr w:type="spellEnd"/>
      <w:r w:rsidRPr="008C08D4">
        <w:rPr>
          <w:rFonts w:ascii="Times New Roman" w:eastAsia="Times New Roman" w:hAnsi="Times New Roman" w:cs="Times New Roman"/>
          <w:sz w:val="20"/>
          <w:szCs w:val="20"/>
        </w:rPr>
        <w:t xml:space="preserve">, 15 2021], </w:t>
      </w:r>
      <w:hyperlink r:id="rId27" w:history="1">
        <w:r w:rsidR="00892AD0" w:rsidRPr="008C08D4">
          <w:rPr>
            <w:rStyle w:val="Hyperlink"/>
            <w:rFonts w:ascii="Times New Roman" w:hAnsi="Times New Roman" w:cs="Times New Roman"/>
            <w:color w:val="auto"/>
            <w:sz w:val="20"/>
            <w:szCs w:val="20"/>
            <w:lang w:val="en-GB"/>
          </w:rPr>
          <w:t>http://www.cadtm.org/Banking-regulations-truth-and-lies</w:t>
        </w:r>
      </w:hyperlink>
    </w:p>
    <w:p w14:paraId="6D4CD02C" w14:textId="7E4710AA" w:rsidR="00892AD0" w:rsidRDefault="008B1BF2" w:rsidP="008B1BF2">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proofErr w:type="spellStart"/>
      <w:r w:rsidRPr="008C08D4">
        <w:rPr>
          <w:rFonts w:ascii="Times New Roman" w:hAnsi="Times New Roman" w:cs="Times New Roman"/>
          <w:sz w:val="20"/>
          <w:szCs w:val="20"/>
          <w:lang w:val="en-GB"/>
        </w:rPr>
        <w:t>Veron</w:t>
      </w:r>
      <w:proofErr w:type="spellEnd"/>
      <w:r w:rsidRPr="008C08D4">
        <w:rPr>
          <w:rFonts w:ascii="Times New Roman" w:hAnsi="Times New Roman" w:cs="Times New Roman"/>
          <w:sz w:val="20"/>
          <w:szCs w:val="20"/>
          <w:lang w:val="en-GB"/>
        </w:rPr>
        <w:t xml:space="preserve">, N. (2020), </w:t>
      </w:r>
      <w:r w:rsidRPr="008C08D4">
        <w:rPr>
          <w:rFonts w:ascii="Times New Roman" w:eastAsia="Times New Roman" w:hAnsi="Times New Roman" w:cs="Times New Roman"/>
          <w:sz w:val="20"/>
          <w:szCs w:val="20"/>
        </w:rPr>
        <w:t>[Online],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February</w:t>
      </w:r>
      <w:proofErr w:type="spellEnd"/>
      <w:r w:rsidRPr="008C08D4">
        <w:rPr>
          <w:rFonts w:ascii="Times New Roman" w:eastAsia="Times New Roman" w:hAnsi="Times New Roman" w:cs="Times New Roman"/>
          <w:sz w:val="20"/>
          <w:szCs w:val="20"/>
        </w:rPr>
        <w:t xml:space="preserve">, 24 2021] </w:t>
      </w:r>
      <w:hyperlink r:id="rId28" w:history="1">
        <w:r w:rsidR="00027D06" w:rsidRPr="00917F02">
          <w:rPr>
            <w:rStyle w:val="Hyperlink"/>
            <w:rFonts w:ascii="Times New Roman" w:hAnsi="Times New Roman" w:cs="Times New Roman"/>
            <w:sz w:val="20"/>
            <w:szCs w:val="20"/>
            <w:lang w:val="en-GB"/>
          </w:rPr>
          <w:t>https://www.nicolasveron.info/main/2020/12/a-memo-to-the-financial-services-commissioner.html</w:t>
        </w:r>
      </w:hyperlink>
    </w:p>
    <w:p w14:paraId="191E0424" w14:textId="07574ADD" w:rsidR="00027D06" w:rsidRDefault="00027D06" w:rsidP="008B1BF2">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p>
    <w:p w14:paraId="3ADFB290" w14:textId="531BED47" w:rsidR="00027D06" w:rsidRPr="008C08D4" w:rsidRDefault="00027D06" w:rsidP="008B1BF2">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Volcker rule (2011) </w:t>
      </w:r>
      <w:r w:rsidRPr="008C08D4">
        <w:rPr>
          <w:rFonts w:ascii="Times New Roman" w:eastAsia="Times New Roman" w:hAnsi="Times New Roman" w:cs="Times New Roman"/>
          <w:sz w:val="20"/>
          <w:szCs w:val="20"/>
        </w:rPr>
        <w:t>[</w:t>
      </w:r>
      <w:r>
        <w:rPr>
          <w:rFonts w:ascii="Times New Roman" w:eastAsia="Times New Roman" w:hAnsi="Times New Roman" w:cs="Times New Roman"/>
          <w:sz w:val="20"/>
          <w:szCs w:val="20"/>
        </w:rPr>
        <w:t>Online], [</w:t>
      </w:r>
      <w:proofErr w:type="spellStart"/>
      <w:r>
        <w:rPr>
          <w:rFonts w:ascii="Times New Roman" w:eastAsia="Times New Roman" w:hAnsi="Times New Roman" w:cs="Times New Roman"/>
          <w:sz w:val="20"/>
          <w:szCs w:val="20"/>
        </w:rPr>
        <w:t>Retrieved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February</w:t>
      </w:r>
      <w:proofErr w:type="spellEnd"/>
      <w:r>
        <w:rPr>
          <w:rFonts w:ascii="Times New Roman" w:eastAsia="Times New Roman" w:hAnsi="Times New Roman" w:cs="Times New Roman"/>
          <w:sz w:val="20"/>
          <w:szCs w:val="20"/>
        </w:rPr>
        <w:t>, 1</w:t>
      </w:r>
      <w:r w:rsidRPr="008C08D4">
        <w:rPr>
          <w:rFonts w:ascii="Times New Roman" w:eastAsia="Times New Roman" w:hAnsi="Times New Roman" w:cs="Times New Roman"/>
          <w:sz w:val="20"/>
          <w:szCs w:val="20"/>
        </w:rPr>
        <w:t xml:space="preserve"> 2021], </w:t>
      </w:r>
      <w:r w:rsidRPr="00027D06">
        <w:rPr>
          <w:rFonts w:ascii="Times New Roman" w:hAnsi="Times New Roman" w:cs="Times New Roman"/>
          <w:sz w:val="20"/>
          <w:szCs w:val="20"/>
          <w:lang w:val="en-GB"/>
        </w:rPr>
        <w:t>https://www.federalreserve.gov/supervisionreg/volcker-rule.htm</w:t>
      </w:r>
    </w:p>
    <w:p w14:paraId="36DB1921" w14:textId="1B382938" w:rsidR="00B43A50" w:rsidRPr="008C08D4" w:rsidRDefault="008B1BF2" w:rsidP="007543EC">
      <w:pPr>
        <w:jc w:val="both"/>
        <w:rPr>
          <w:rFonts w:ascii="Times New Roman" w:hAnsi="Times New Roman" w:cs="Times New Roman"/>
          <w:i/>
          <w:iCs/>
          <w:noProof/>
          <w:sz w:val="20"/>
          <w:szCs w:val="20"/>
          <w:lang w:val="en-GB"/>
        </w:rPr>
      </w:pPr>
      <w:r w:rsidRPr="008C08D4">
        <w:rPr>
          <w:rFonts w:ascii="Times New Roman" w:hAnsi="Times New Roman" w:cs="Times New Roman"/>
          <w:noProof/>
          <w:sz w:val="20"/>
          <w:szCs w:val="20"/>
          <w:lang w:val="en-GB"/>
        </w:rPr>
        <w:lastRenderedPageBreak/>
        <w:t>Vujčić B</w:t>
      </w:r>
      <w:r w:rsidR="007C1C40" w:rsidRPr="008C08D4">
        <w:rPr>
          <w:rFonts w:ascii="Times New Roman" w:hAnsi="Times New Roman" w:cs="Times New Roman"/>
          <w:noProof/>
          <w:sz w:val="20"/>
          <w:szCs w:val="20"/>
          <w:lang w:val="en-GB"/>
        </w:rPr>
        <w:t xml:space="preserve">. </w:t>
      </w:r>
      <w:r w:rsidRPr="008C08D4">
        <w:rPr>
          <w:rFonts w:ascii="Times New Roman" w:hAnsi="Times New Roman" w:cs="Times New Roman"/>
          <w:noProof/>
          <w:sz w:val="20"/>
          <w:szCs w:val="20"/>
          <w:lang w:val="en-GB"/>
        </w:rPr>
        <w:t>(</w:t>
      </w:r>
      <w:r w:rsidR="007C1C40" w:rsidRPr="008C08D4">
        <w:rPr>
          <w:rFonts w:ascii="Times New Roman" w:hAnsi="Times New Roman" w:cs="Times New Roman"/>
          <w:noProof/>
          <w:sz w:val="20"/>
          <w:szCs w:val="20"/>
          <w:lang w:val="en-GB"/>
        </w:rPr>
        <w:t>2016</w:t>
      </w:r>
      <w:r w:rsidRPr="008C08D4">
        <w:rPr>
          <w:rFonts w:ascii="Times New Roman" w:hAnsi="Times New Roman" w:cs="Times New Roman"/>
          <w:noProof/>
          <w:sz w:val="20"/>
          <w:szCs w:val="20"/>
          <w:lang w:val="en-GB"/>
        </w:rPr>
        <w:t>),</w:t>
      </w:r>
      <w:r w:rsidR="007C1C40" w:rsidRPr="008C08D4">
        <w:rPr>
          <w:rFonts w:ascii="Times New Roman" w:hAnsi="Times New Roman" w:cs="Times New Roman"/>
          <w:noProof/>
          <w:sz w:val="20"/>
          <w:szCs w:val="20"/>
          <w:lang w:val="en-GB"/>
        </w:rPr>
        <w:t xml:space="preserve"> [Governor speech]. </w:t>
      </w:r>
      <w:r w:rsidR="007C1C40" w:rsidRPr="008C08D4">
        <w:rPr>
          <w:rFonts w:ascii="Times New Roman" w:hAnsi="Times New Roman" w:cs="Times New Roman"/>
          <w:i/>
          <w:iCs/>
          <w:noProof/>
          <w:sz w:val="20"/>
          <w:szCs w:val="20"/>
          <w:lang w:val="en-GB"/>
        </w:rPr>
        <w:t>Conference Zagreb: Banking union - achievements and challenges</w:t>
      </w:r>
    </w:p>
    <w:p w14:paraId="0E5FC542" w14:textId="5AC9EC91" w:rsidR="00342915" w:rsidRPr="008C08D4" w:rsidRDefault="008B1BF2" w:rsidP="007543EC">
      <w:pPr>
        <w:pStyle w:val="NormalWeb"/>
        <w:spacing w:before="0" w:beforeAutospacing="0" w:after="0" w:afterAutospacing="0"/>
        <w:textAlignment w:val="bottom"/>
        <w:rPr>
          <w:sz w:val="20"/>
          <w:szCs w:val="20"/>
          <w:lang w:val="en-GB"/>
        </w:rPr>
      </w:pPr>
      <w:r w:rsidRPr="008C08D4">
        <w:rPr>
          <w:sz w:val="20"/>
          <w:szCs w:val="20"/>
          <w:lang w:val="en-GB"/>
        </w:rPr>
        <w:t>Wallach</w:t>
      </w:r>
      <w:r w:rsidR="00342915" w:rsidRPr="008C08D4">
        <w:rPr>
          <w:sz w:val="20"/>
          <w:szCs w:val="20"/>
          <w:lang w:val="en-GB"/>
        </w:rPr>
        <w:t>,</w:t>
      </w:r>
      <w:r w:rsidRPr="008C08D4">
        <w:rPr>
          <w:sz w:val="20"/>
          <w:szCs w:val="20"/>
          <w:lang w:val="en-GB"/>
        </w:rPr>
        <w:t xml:space="preserve"> </w:t>
      </w:r>
      <w:r w:rsidR="00342915" w:rsidRPr="008C08D4">
        <w:rPr>
          <w:sz w:val="20"/>
          <w:szCs w:val="20"/>
          <w:lang w:val="en-GB"/>
        </w:rPr>
        <w:t>L. (2015)</w:t>
      </w:r>
      <w:proofErr w:type="gramStart"/>
      <w:r w:rsidR="00342915" w:rsidRPr="008C08D4">
        <w:rPr>
          <w:sz w:val="20"/>
          <w:szCs w:val="20"/>
          <w:lang w:val="en-GB"/>
        </w:rPr>
        <w:t>, ,</w:t>
      </w:r>
      <w:proofErr w:type="gramEnd"/>
      <w:r w:rsidR="00342915" w:rsidRPr="008C08D4">
        <w:rPr>
          <w:sz w:val="20"/>
          <w:szCs w:val="20"/>
          <w:lang w:val="en-GB"/>
        </w:rPr>
        <w:t xml:space="preserve"> ‘The corporation invasion’, </w:t>
      </w:r>
      <w:r w:rsidR="00342915" w:rsidRPr="008C08D4">
        <w:rPr>
          <w:i/>
          <w:sz w:val="20"/>
          <w:szCs w:val="20"/>
          <w:lang w:val="en-GB"/>
        </w:rPr>
        <w:t>Le Monde diplomatique</w:t>
      </w:r>
      <w:r w:rsidR="00342915" w:rsidRPr="008C08D4">
        <w:rPr>
          <w:sz w:val="20"/>
          <w:szCs w:val="20"/>
          <w:lang w:val="en-GB"/>
        </w:rPr>
        <w:t>, December 2013, </w:t>
      </w:r>
      <w:hyperlink r:id="rId29" w:history="1">
        <w:r w:rsidR="00342915" w:rsidRPr="008C08D4">
          <w:rPr>
            <w:rStyle w:val="Hyperlink"/>
            <w:color w:val="auto"/>
            <w:sz w:val="20"/>
            <w:szCs w:val="20"/>
            <w:u w:val="none"/>
            <w:lang w:val="en-GB"/>
          </w:rPr>
          <w:t>http://mondediplo.com/2013/12/02tafta</w:t>
        </w:r>
      </w:hyperlink>
      <w:r w:rsidR="00342915" w:rsidRPr="008C08D4">
        <w:rPr>
          <w:sz w:val="20"/>
          <w:szCs w:val="20"/>
          <w:lang w:val="en-GB"/>
        </w:rPr>
        <w:t xml:space="preserve"> See also another agreement in negotiation: ‘Public Citizen, TISA Leak Reveals 10 </w:t>
      </w:r>
      <w:proofErr w:type="spellStart"/>
      <w:r w:rsidR="00342915" w:rsidRPr="008C08D4">
        <w:rPr>
          <w:sz w:val="20"/>
          <w:szCs w:val="20"/>
          <w:lang w:val="en-GB"/>
        </w:rPr>
        <w:t>KeyThreats</w:t>
      </w:r>
      <w:proofErr w:type="spellEnd"/>
      <w:r w:rsidR="00342915" w:rsidRPr="008C08D4">
        <w:rPr>
          <w:sz w:val="20"/>
          <w:szCs w:val="20"/>
          <w:lang w:val="en-GB"/>
        </w:rPr>
        <w:t xml:space="preserve"> to </w:t>
      </w:r>
      <w:proofErr w:type="spellStart"/>
      <w:r w:rsidR="00342915" w:rsidRPr="008C08D4">
        <w:rPr>
          <w:sz w:val="20"/>
          <w:szCs w:val="20"/>
          <w:lang w:val="en-GB"/>
        </w:rPr>
        <w:t>Commonsense</w:t>
      </w:r>
      <w:proofErr w:type="spellEnd"/>
      <w:r w:rsidR="00342915" w:rsidRPr="008C08D4">
        <w:rPr>
          <w:sz w:val="20"/>
          <w:szCs w:val="20"/>
          <w:lang w:val="en-GB"/>
        </w:rPr>
        <w:t xml:space="preserve"> Financial Regulations’, 2 July 2015, </w:t>
      </w:r>
      <w:hyperlink r:id="rId30" w:history="1">
        <w:r w:rsidR="00342915" w:rsidRPr="008C08D4">
          <w:rPr>
            <w:rStyle w:val="Hyperlink"/>
            <w:color w:val="auto"/>
            <w:sz w:val="20"/>
            <w:szCs w:val="20"/>
            <w:u w:val="none"/>
            <w:lang w:val="en-GB"/>
          </w:rPr>
          <w:t>https://wikileaks.org/tisa/financial/04-2015/analysis/Analysis-TiSA-Financial-Services-Annex.pdf</w:t>
        </w:r>
      </w:hyperlink>
    </w:p>
    <w:p w14:paraId="09C8DAA3" w14:textId="77777777" w:rsidR="00002ACC" w:rsidRPr="008C08D4" w:rsidRDefault="00002ACC" w:rsidP="00002ACC">
      <w:pPr>
        <w:jc w:val="both"/>
        <w:rPr>
          <w:rFonts w:ascii="Times New Roman" w:eastAsia="Times New Roman" w:hAnsi="Times New Roman" w:cs="Times New Roman"/>
          <w:sz w:val="20"/>
          <w:szCs w:val="20"/>
        </w:rPr>
      </w:pPr>
    </w:p>
    <w:p w14:paraId="17220274" w14:textId="4C76EF58" w:rsidR="00002ACC" w:rsidRPr="008C08D4" w:rsidRDefault="00002ACC" w:rsidP="00002ACC">
      <w:pPr>
        <w:jc w:val="both"/>
        <w:rPr>
          <w:rStyle w:val="Hyperlink"/>
          <w:rFonts w:ascii="Times New Roman" w:hAnsi="Times New Roman" w:cs="Times New Roman"/>
          <w:color w:val="auto"/>
          <w:sz w:val="20"/>
          <w:szCs w:val="20"/>
          <w:lang w:val="en-GB"/>
        </w:rPr>
      </w:pPr>
      <w:proofErr w:type="spellStart"/>
      <w:r w:rsidRPr="008C08D4">
        <w:rPr>
          <w:rFonts w:ascii="Times New Roman" w:eastAsia="Times New Roman" w:hAnsi="Times New Roman" w:cs="Times New Roman"/>
          <w:sz w:val="20"/>
          <w:szCs w:val="20"/>
        </w:rPr>
        <w:t>Wetzer</w:t>
      </w:r>
      <w:proofErr w:type="spellEnd"/>
      <w:r w:rsidRPr="008C08D4">
        <w:rPr>
          <w:rFonts w:ascii="Times New Roman" w:eastAsia="Times New Roman" w:hAnsi="Times New Roman" w:cs="Times New Roman"/>
          <w:sz w:val="20"/>
          <w:szCs w:val="20"/>
        </w:rPr>
        <w:t>, T. (2019), [Online], [</w:t>
      </w:r>
      <w:proofErr w:type="spellStart"/>
      <w:r w:rsidRPr="008C08D4">
        <w:rPr>
          <w:rFonts w:ascii="Times New Roman" w:eastAsia="Times New Roman" w:hAnsi="Times New Roman" w:cs="Times New Roman"/>
          <w:sz w:val="20"/>
          <w:szCs w:val="20"/>
        </w:rPr>
        <w:t>Retrieved</w:t>
      </w:r>
      <w:proofErr w:type="spellEnd"/>
      <w:r w:rsidRPr="008C08D4">
        <w:rPr>
          <w:rFonts w:ascii="Times New Roman" w:eastAsia="Times New Roman" w:hAnsi="Times New Roman" w:cs="Times New Roman"/>
          <w:sz w:val="20"/>
          <w:szCs w:val="20"/>
        </w:rPr>
        <w:t xml:space="preserve"> </w:t>
      </w:r>
      <w:proofErr w:type="spellStart"/>
      <w:r w:rsidRPr="008C08D4">
        <w:rPr>
          <w:rFonts w:ascii="Times New Roman" w:eastAsia="Times New Roman" w:hAnsi="Times New Roman" w:cs="Times New Roman"/>
          <w:sz w:val="20"/>
          <w:szCs w:val="20"/>
        </w:rPr>
        <w:t>October</w:t>
      </w:r>
      <w:proofErr w:type="spellEnd"/>
      <w:r w:rsidRPr="008C08D4">
        <w:rPr>
          <w:rFonts w:ascii="Times New Roman" w:eastAsia="Times New Roman" w:hAnsi="Times New Roman" w:cs="Times New Roman"/>
          <w:sz w:val="20"/>
          <w:szCs w:val="20"/>
        </w:rPr>
        <w:t xml:space="preserve"> 15, 2020], </w:t>
      </w:r>
      <w:r w:rsidRPr="008C08D4">
        <w:rPr>
          <w:rFonts w:ascii="Times New Roman" w:hAnsi="Times New Roman" w:cs="Times New Roman"/>
          <w:sz w:val="20"/>
          <w:szCs w:val="20"/>
          <w:lang w:val="en-GB"/>
        </w:rPr>
        <w:t>(</w:t>
      </w:r>
      <w:hyperlink r:id="rId31" w:history="1">
        <w:r w:rsidRPr="008C08D4">
          <w:rPr>
            <w:rStyle w:val="Hyperlink"/>
            <w:rFonts w:ascii="Times New Roman" w:hAnsi="Times New Roman" w:cs="Times New Roman"/>
            <w:color w:val="auto"/>
            <w:sz w:val="20"/>
            <w:szCs w:val="20"/>
            <w:lang w:val="en-GB"/>
          </w:rPr>
          <w:t>https://www.law.ox.ac.uk/business-law-blog/blog/2019/02/two-minds-governance-ring-fenced-banks</w:t>
        </w:r>
      </w:hyperlink>
    </w:p>
    <w:p w14:paraId="422EC400" w14:textId="77777777" w:rsidR="00002ACC" w:rsidRPr="008C08D4" w:rsidRDefault="00002ACC" w:rsidP="007543EC">
      <w:pPr>
        <w:autoSpaceDE w:val="0"/>
        <w:autoSpaceDN w:val="0"/>
        <w:adjustRightInd w:val="0"/>
        <w:spacing w:after="0" w:line="240" w:lineRule="auto"/>
        <w:jc w:val="both"/>
        <w:rPr>
          <w:rFonts w:ascii="Times New Roman" w:hAnsi="Times New Roman" w:cs="Times New Roman"/>
          <w:sz w:val="20"/>
          <w:szCs w:val="20"/>
          <w:lang w:val="en-GB"/>
        </w:rPr>
      </w:pPr>
    </w:p>
    <w:p w14:paraId="450C5F90" w14:textId="6B980618" w:rsidR="0084532A" w:rsidRPr="008C08D4" w:rsidRDefault="0084532A" w:rsidP="007543EC">
      <w:pPr>
        <w:autoSpaceDE w:val="0"/>
        <w:autoSpaceDN w:val="0"/>
        <w:adjustRightInd w:val="0"/>
        <w:spacing w:after="0" w:line="240" w:lineRule="auto"/>
        <w:jc w:val="both"/>
        <w:rPr>
          <w:rFonts w:ascii="Times New Roman" w:hAnsi="Times New Roman" w:cs="Times New Roman"/>
          <w:sz w:val="20"/>
          <w:szCs w:val="20"/>
          <w:lang w:val="en-GB"/>
        </w:rPr>
      </w:pPr>
      <w:r w:rsidRPr="008C08D4">
        <w:rPr>
          <w:rFonts w:ascii="Times New Roman" w:hAnsi="Times New Roman" w:cs="Times New Roman"/>
          <w:sz w:val="20"/>
          <w:szCs w:val="20"/>
          <w:lang w:val="en-GB"/>
        </w:rPr>
        <w:t>Wyman</w:t>
      </w:r>
      <w:r w:rsidR="008B1BF2" w:rsidRPr="008C08D4">
        <w:rPr>
          <w:rFonts w:ascii="Times New Roman" w:hAnsi="Times New Roman" w:cs="Times New Roman"/>
          <w:sz w:val="20"/>
          <w:szCs w:val="20"/>
          <w:lang w:val="en-GB"/>
        </w:rPr>
        <w:t>, O.</w:t>
      </w:r>
      <w:r w:rsidRPr="008C08D4">
        <w:rPr>
          <w:rFonts w:ascii="Times New Roman" w:hAnsi="Times New Roman" w:cs="Times New Roman"/>
          <w:sz w:val="20"/>
          <w:szCs w:val="20"/>
          <w:lang w:val="en-GB"/>
        </w:rPr>
        <w:t xml:space="preserve"> (2020)</w:t>
      </w:r>
      <w:r w:rsidR="008B1BF2" w:rsidRPr="008C08D4">
        <w:rPr>
          <w:rFonts w:ascii="Times New Roman" w:hAnsi="Times New Roman" w:cs="Times New Roman"/>
          <w:sz w:val="20"/>
          <w:szCs w:val="20"/>
          <w:lang w:val="en-GB"/>
        </w:rPr>
        <w:t xml:space="preserve">, </w:t>
      </w:r>
      <w:r w:rsidR="008B1BF2" w:rsidRPr="008C08D4">
        <w:rPr>
          <w:rFonts w:ascii="Times New Roman" w:eastAsia="Times New Roman" w:hAnsi="Times New Roman" w:cs="Times New Roman"/>
          <w:sz w:val="20"/>
          <w:szCs w:val="20"/>
        </w:rPr>
        <w:t>[Online], [</w:t>
      </w:r>
      <w:proofErr w:type="spellStart"/>
      <w:r w:rsidR="008B1BF2" w:rsidRPr="008C08D4">
        <w:rPr>
          <w:rFonts w:ascii="Times New Roman" w:eastAsia="Times New Roman" w:hAnsi="Times New Roman" w:cs="Times New Roman"/>
          <w:sz w:val="20"/>
          <w:szCs w:val="20"/>
        </w:rPr>
        <w:t>Retrieved</w:t>
      </w:r>
      <w:proofErr w:type="spellEnd"/>
      <w:r w:rsidR="008B1BF2" w:rsidRPr="008C08D4">
        <w:rPr>
          <w:rFonts w:ascii="Times New Roman" w:eastAsia="Times New Roman" w:hAnsi="Times New Roman" w:cs="Times New Roman"/>
          <w:sz w:val="20"/>
          <w:szCs w:val="20"/>
        </w:rPr>
        <w:t xml:space="preserve"> </w:t>
      </w:r>
      <w:proofErr w:type="spellStart"/>
      <w:r w:rsidR="008B1BF2" w:rsidRPr="008C08D4">
        <w:rPr>
          <w:rFonts w:ascii="Times New Roman" w:eastAsia="Times New Roman" w:hAnsi="Times New Roman" w:cs="Times New Roman"/>
          <w:sz w:val="20"/>
          <w:szCs w:val="20"/>
        </w:rPr>
        <w:t>February</w:t>
      </w:r>
      <w:proofErr w:type="spellEnd"/>
      <w:r w:rsidR="008B1BF2" w:rsidRPr="008C08D4">
        <w:rPr>
          <w:rFonts w:ascii="Times New Roman" w:eastAsia="Times New Roman" w:hAnsi="Times New Roman" w:cs="Times New Roman"/>
          <w:sz w:val="20"/>
          <w:szCs w:val="20"/>
        </w:rPr>
        <w:t>, 28 2021</w:t>
      </w:r>
      <w:proofErr w:type="gramStart"/>
      <w:r w:rsidR="008B1BF2" w:rsidRPr="008C08D4">
        <w:rPr>
          <w:rFonts w:ascii="Times New Roman" w:eastAsia="Times New Roman" w:hAnsi="Times New Roman" w:cs="Times New Roman"/>
          <w:sz w:val="20"/>
          <w:szCs w:val="20"/>
        </w:rPr>
        <w:t>]</w:t>
      </w:r>
      <w:r w:rsidRPr="008C08D4">
        <w:rPr>
          <w:rFonts w:ascii="Times New Roman" w:hAnsi="Times New Roman" w:cs="Times New Roman"/>
          <w:sz w:val="20"/>
          <w:szCs w:val="20"/>
          <w:lang w:val="en-GB"/>
        </w:rPr>
        <w:t xml:space="preserve">  https://www.oliverwyman.com/content/dam/oliver-wyman/v2/publications/2020/dec/Oliver_Wyman_Financial_Regulation_Under_Biden_December_Update.pdf</w:t>
      </w:r>
      <w:proofErr w:type="gramEnd"/>
    </w:p>
    <w:p w14:paraId="06BAF520" w14:textId="77777777" w:rsidR="0084532A" w:rsidRPr="00697C07" w:rsidRDefault="0084532A" w:rsidP="00C13928">
      <w:pPr>
        <w:jc w:val="both"/>
        <w:rPr>
          <w:rFonts w:ascii="Times New Roman" w:hAnsi="Times New Roman" w:cs="Times New Roman"/>
          <w:sz w:val="20"/>
          <w:szCs w:val="20"/>
          <w:lang w:val="en-GB"/>
        </w:rPr>
      </w:pPr>
    </w:p>
    <w:sectPr w:rsidR="0084532A" w:rsidRPr="00697C07" w:rsidSect="00697C07">
      <w:pgSz w:w="11906" w:h="16838"/>
      <w:pgMar w:top="1871" w:right="1871" w:bottom="1871"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170F" w14:textId="77777777" w:rsidR="00910FC5" w:rsidRDefault="00910FC5" w:rsidP="005C1B86">
      <w:pPr>
        <w:spacing w:after="0" w:line="240" w:lineRule="auto"/>
      </w:pPr>
      <w:r>
        <w:separator/>
      </w:r>
    </w:p>
  </w:endnote>
  <w:endnote w:type="continuationSeparator" w:id="0">
    <w:p w14:paraId="52960659" w14:textId="77777777" w:rsidR="00910FC5" w:rsidRDefault="00910FC5" w:rsidP="005C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Microsoft JhengHei Light"/>
    <w:panose1 w:val="00000000000000000000"/>
    <w:charset w:val="88"/>
    <w:family w:val="script"/>
    <w:notTrueType/>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780F" w14:textId="77777777" w:rsidR="00910FC5" w:rsidRDefault="00910FC5" w:rsidP="005C1B86">
      <w:pPr>
        <w:spacing w:after="0" w:line="240" w:lineRule="auto"/>
      </w:pPr>
      <w:r>
        <w:separator/>
      </w:r>
    </w:p>
  </w:footnote>
  <w:footnote w:type="continuationSeparator" w:id="0">
    <w:p w14:paraId="2C53D0F9" w14:textId="77777777" w:rsidR="00910FC5" w:rsidRDefault="00910FC5" w:rsidP="005C1B86">
      <w:pPr>
        <w:spacing w:after="0" w:line="240" w:lineRule="auto"/>
      </w:pPr>
      <w:r>
        <w:continuationSeparator/>
      </w:r>
    </w:p>
  </w:footnote>
  <w:footnote w:id="1">
    <w:p w14:paraId="4D196400" w14:textId="20E77B33" w:rsidR="005C1B86" w:rsidRDefault="005C1B86" w:rsidP="005C1B86">
      <w:pPr>
        <w:pStyle w:val="FootnoteText"/>
        <w:jc w:val="both"/>
      </w:pPr>
      <w:r>
        <w:rPr>
          <w:rStyle w:val="FootnoteReference"/>
        </w:rPr>
        <w:footnoteRef/>
      </w:r>
      <w:r>
        <w:t xml:space="preserve"> </w:t>
      </w:r>
      <w:r w:rsidRPr="005C1B86">
        <w:rPr>
          <w:rFonts w:ascii="Times New Roman" w:hAnsi="Times New Roman" w:cs="Times New Roman"/>
          <w:sz w:val="16"/>
          <w:szCs w:val="16"/>
        </w:rPr>
        <w:t>Under the PEPP, the ECB and the national central banks (NCBs) will buy mostly government bonds until the end of 2020, or longer if necessary, and the programme closely follows the rules under which the current Public Sector Purchase Programme (vulgo: Quantitative Easing or QE) operates. The purchases will eventually follow the capital key of the NCBs by the end of the duration of the programme, but will be flexible over time and space. As a result, the PEPP enables the ECB and the NCBs to buy government bonds wherever and whenever necessary to ensure that interest rate spreads between the bonds of different member states do not undermine the functioning of monetary policy in the Eurozone</w:t>
      </w:r>
      <w:r>
        <w:rPr>
          <w:rFonts w:ascii="Times New Roman" w:hAnsi="Times New Roman" w:cs="Times New Roman"/>
          <w:sz w:val="16"/>
          <w:szCs w:val="16"/>
        </w:rPr>
        <w:t xml:space="preserve"> (Grund, 2020)</w:t>
      </w:r>
      <w:r w:rsidRPr="005C1B86">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C0F81"/>
    <w:multiLevelType w:val="multilevel"/>
    <w:tmpl w:val="D7E8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582FDA"/>
    <w:multiLevelType w:val="multilevel"/>
    <w:tmpl w:val="D36A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D875BA"/>
    <w:multiLevelType w:val="multilevel"/>
    <w:tmpl w:val="84C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4349B7"/>
    <w:multiLevelType w:val="multilevel"/>
    <w:tmpl w:val="7CE4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AE1AC2"/>
    <w:multiLevelType w:val="hybridMultilevel"/>
    <w:tmpl w:val="5DBC61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2D"/>
    <w:rsid w:val="00002ACC"/>
    <w:rsid w:val="00007B2D"/>
    <w:rsid w:val="00027D06"/>
    <w:rsid w:val="0004583D"/>
    <w:rsid w:val="00046E9D"/>
    <w:rsid w:val="00064C23"/>
    <w:rsid w:val="000C0AF9"/>
    <w:rsid w:val="000C1904"/>
    <w:rsid w:val="000E26AB"/>
    <w:rsid w:val="000F2553"/>
    <w:rsid w:val="00110DAA"/>
    <w:rsid w:val="00181485"/>
    <w:rsid w:val="00221897"/>
    <w:rsid w:val="002300E6"/>
    <w:rsid w:val="00267551"/>
    <w:rsid w:val="00272220"/>
    <w:rsid w:val="002A5AFD"/>
    <w:rsid w:val="002B78BD"/>
    <w:rsid w:val="002C45C9"/>
    <w:rsid w:val="002C7A14"/>
    <w:rsid w:val="002C7C4E"/>
    <w:rsid w:val="002D4F7D"/>
    <w:rsid w:val="002F45EF"/>
    <w:rsid w:val="00305B71"/>
    <w:rsid w:val="00315780"/>
    <w:rsid w:val="00320BD0"/>
    <w:rsid w:val="00326CA3"/>
    <w:rsid w:val="00342915"/>
    <w:rsid w:val="003526E0"/>
    <w:rsid w:val="00353E7F"/>
    <w:rsid w:val="003C0A9C"/>
    <w:rsid w:val="003C133B"/>
    <w:rsid w:val="004533C1"/>
    <w:rsid w:val="00463FBD"/>
    <w:rsid w:val="00470401"/>
    <w:rsid w:val="004A26E6"/>
    <w:rsid w:val="004A69C4"/>
    <w:rsid w:val="004B3E23"/>
    <w:rsid w:val="004C6BB6"/>
    <w:rsid w:val="004D269E"/>
    <w:rsid w:val="004D3B56"/>
    <w:rsid w:val="004D5012"/>
    <w:rsid w:val="004E23A0"/>
    <w:rsid w:val="004E4E66"/>
    <w:rsid w:val="004F3037"/>
    <w:rsid w:val="0054722D"/>
    <w:rsid w:val="00547EBB"/>
    <w:rsid w:val="00552503"/>
    <w:rsid w:val="00567C3F"/>
    <w:rsid w:val="00583384"/>
    <w:rsid w:val="005A6912"/>
    <w:rsid w:val="005C1B86"/>
    <w:rsid w:val="005D08A2"/>
    <w:rsid w:val="005D39B9"/>
    <w:rsid w:val="005F3783"/>
    <w:rsid w:val="005F5BF1"/>
    <w:rsid w:val="0063610E"/>
    <w:rsid w:val="0064484F"/>
    <w:rsid w:val="00654F46"/>
    <w:rsid w:val="00663F02"/>
    <w:rsid w:val="0068261C"/>
    <w:rsid w:val="0068398F"/>
    <w:rsid w:val="00697C07"/>
    <w:rsid w:val="006A1A20"/>
    <w:rsid w:val="006D2D6B"/>
    <w:rsid w:val="006F5ECF"/>
    <w:rsid w:val="00710A8D"/>
    <w:rsid w:val="00742B96"/>
    <w:rsid w:val="007543EC"/>
    <w:rsid w:val="007830A0"/>
    <w:rsid w:val="007874BE"/>
    <w:rsid w:val="007B1EC4"/>
    <w:rsid w:val="007C1C40"/>
    <w:rsid w:val="007C660F"/>
    <w:rsid w:val="007D2A4B"/>
    <w:rsid w:val="008014CE"/>
    <w:rsid w:val="00811229"/>
    <w:rsid w:val="00814F5F"/>
    <w:rsid w:val="008154C9"/>
    <w:rsid w:val="00834D17"/>
    <w:rsid w:val="00837E0A"/>
    <w:rsid w:val="0084209F"/>
    <w:rsid w:val="0084532A"/>
    <w:rsid w:val="00885860"/>
    <w:rsid w:val="00892AD0"/>
    <w:rsid w:val="00897853"/>
    <w:rsid w:val="008B1BF2"/>
    <w:rsid w:val="008B5D9B"/>
    <w:rsid w:val="008C08D4"/>
    <w:rsid w:val="008E473E"/>
    <w:rsid w:val="00904BB0"/>
    <w:rsid w:val="00910FC5"/>
    <w:rsid w:val="00913C22"/>
    <w:rsid w:val="00914529"/>
    <w:rsid w:val="00922EDA"/>
    <w:rsid w:val="00967630"/>
    <w:rsid w:val="00990FC8"/>
    <w:rsid w:val="009B13E9"/>
    <w:rsid w:val="009B55E0"/>
    <w:rsid w:val="009C0E82"/>
    <w:rsid w:val="009E4C14"/>
    <w:rsid w:val="009F2B2B"/>
    <w:rsid w:val="009F3297"/>
    <w:rsid w:val="009F4B68"/>
    <w:rsid w:val="00A13F71"/>
    <w:rsid w:val="00A520A6"/>
    <w:rsid w:val="00A65082"/>
    <w:rsid w:val="00A929B0"/>
    <w:rsid w:val="00A96FD7"/>
    <w:rsid w:val="00AB2B42"/>
    <w:rsid w:val="00AE65B0"/>
    <w:rsid w:val="00B07A90"/>
    <w:rsid w:val="00B22E07"/>
    <w:rsid w:val="00B31A57"/>
    <w:rsid w:val="00B422F5"/>
    <w:rsid w:val="00B42E03"/>
    <w:rsid w:val="00B43A50"/>
    <w:rsid w:val="00B657E8"/>
    <w:rsid w:val="00BB4418"/>
    <w:rsid w:val="00BB7793"/>
    <w:rsid w:val="00BC4785"/>
    <w:rsid w:val="00BF075D"/>
    <w:rsid w:val="00BF788D"/>
    <w:rsid w:val="00C13928"/>
    <w:rsid w:val="00C5796D"/>
    <w:rsid w:val="00C63F9F"/>
    <w:rsid w:val="00C74D3E"/>
    <w:rsid w:val="00C845CE"/>
    <w:rsid w:val="00CB5FF2"/>
    <w:rsid w:val="00CD1521"/>
    <w:rsid w:val="00CD19B1"/>
    <w:rsid w:val="00CD5120"/>
    <w:rsid w:val="00CE0ACE"/>
    <w:rsid w:val="00CF7832"/>
    <w:rsid w:val="00D22B6C"/>
    <w:rsid w:val="00D32CEE"/>
    <w:rsid w:val="00D3790E"/>
    <w:rsid w:val="00D45682"/>
    <w:rsid w:val="00D565A6"/>
    <w:rsid w:val="00D6602B"/>
    <w:rsid w:val="00D97981"/>
    <w:rsid w:val="00DB07D2"/>
    <w:rsid w:val="00DB1F37"/>
    <w:rsid w:val="00DB44ED"/>
    <w:rsid w:val="00DC18F0"/>
    <w:rsid w:val="00E02C9A"/>
    <w:rsid w:val="00E07930"/>
    <w:rsid w:val="00E24235"/>
    <w:rsid w:val="00E273BD"/>
    <w:rsid w:val="00E57E89"/>
    <w:rsid w:val="00E6281D"/>
    <w:rsid w:val="00E7694F"/>
    <w:rsid w:val="00EC593C"/>
    <w:rsid w:val="00ED0FBD"/>
    <w:rsid w:val="00EF71FC"/>
    <w:rsid w:val="00F53127"/>
    <w:rsid w:val="00F671AD"/>
    <w:rsid w:val="00F75EEF"/>
    <w:rsid w:val="00F905FA"/>
    <w:rsid w:val="00FE0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9BB4"/>
  <w15:chartTrackingRefBased/>
  <w15:docId w15:val="{7F759E39-0B7F-4489-8AD3-E613508C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7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B07D2"/>
    <w:rPr>
      <w:b/>
      <w:bCs/>
    </w:rPr>
  </w:style>
  <w:style w:type="character" w:styleId="Hyperlink">
    <w:name w:val="Hyperlink"/>
    <w:basedOn w:val="DefaultParagraphFont"/>
    <w:uiPriority w:val="99"/>
    <w:unhideWhenUsed/>
    <w:rsid w:val="00DB07D2"/>
    <w:rPr>
      <w:color w:val="0000FF"/>
      <w:u w:val="single"/>
    </w:rPr>
  </w:style>
  <w:style w:type="table" w:styleId="TableGrid">
    <w:name w:val="Table Grid"/>
    <w:basedOn w:val="TableNormal"/>
    <w:uiPriority w:val="39"/>
    <w:rsid w:val="0083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922EDA"/>
  </w:style>
  <w:style w:type="paragraph" w:customStyle="1" w:styleId="TableCaption">
    <w:name w:val="TableCaption"/>
    <w:basedOn w:val="Normal"/>
    <w:rsid w:val="00697C07"/>
    <w:pPr>
      <w:widowControl w:val="0"/>
      <w:adjustRightInd w:val="0"/>
      <w:snapToGrid w:val="0"/>
      <w:spacing w:after="0" w:line="220" w:lineRule="exact"/>
    </w:pPr>
    <w:rPr>
      <w:rFonts w:ascii="Times New Roman" w:eastAsia="???" w:hAnsi="Times New Roman" w:cs="Times New Roman"/>
      <w:i/>
      <w:iCs/>
      <w:color w:val="000000"/>
      <w:kern w:val="2"/>
      <w:sz w:val="20"/>
      <w:szCs w:val="20"/>
      <w:lang w:val="en-US" w:eastAsia="zh-TW"/>
    </w:rPr>
  </w:style>
  <w:style w:type="character" w:styleId="FollowedHyperlink">
    <w:name w:val="FollowedHyperlink"/>
    <w:basedOn w:val="DefaultParagraphFont"/>
    <w:uiPriority w:val="99"/>
    <w:semiHidden/>
    <w:unhideWhenUsed/>
    <w:rsid w:val="00F53127"/>
    <w:rPr>
      <w:color w:val="954F72" w:themeColor="followedHyperlink"/>
      <w:u w:val="single"/>
    </w:rPr>
  </w:style>
  <w:style w:type="paragraph" w:styleId="ListParagraph">
    <w:name w:val="List Paragraph"/>
    <w:basedOn w:val="Normal"/>
    <w:uiPriority w:val="34"/>
    <w:qFormat/>
    <w:rsid w:val="00F905FA"/>
    <w:pPr>
      <w:ind w:left="720"/>
      <w:contextualSpacing/>
    </w:pPr>
  </w:style>
  <w:style w:type="paragraph" w:customStyle="1" w:styleId="css-axufdj">
    <w:name w:val="css-axufdj"/>
    <w:basedOn w:val="Normal"/>
    <w:rsid w:val="00EC59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unhideWhenUsed/>
    <w:rsid w:val="005C1B86"/>
    <w:pPr>
      <w:spacing w:after="0" w:line="240" w:lineRule="auto"/>
    </w:pPr>
    <w:rPr>
      <w:sz w:val="20"/>
      <w:szCs w:val="20"/>
    </w:rPr>
  </w:style>
  <w:style w:type="character" w:customStyle="1" w:styleId="FootnoteTextChar">
    <w:name w:val="Footnote Text Char"/>
    <w:basedOn w:val="DefaultParagraphFont"/>
    <w:link w:val="FootnoteText"/>
    <w:uiPriority w:val="99"/>
    <w:rsid w:val="005C1B86"/>
    <w:rPr>
      <w:sz w:val="20"/>
      <w:szCs w:val="20"/>
    </w:rPr>
  </w:style>
  <w:style w:type="character" w:styleId="FootnoteReference">
    <w:name w:val="footnote reference"/>
    <w:basedOn w:val="DefaultParagraphFont"/>
    <w:uiPriority w:val="99"/>
    <w:semiHidden/>
    <w:unhideWhenUsed/>
    <w:rsid w:val="005C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4381">
      <w:bodyDiv w:val="1"/>
      <w:marLeft w:val="0"/>
      <w:marRight w:val="0"/>
      <w:marTop w:val="0"/>
      <w:marBottom w:val="0"/>
      <w:divBdr>
        <w:top w:val="none" w:sz="0" w:space="0" w:color="auto"/>
        <w:left w:val="none" w:sz="0" w:space="0" w:color="auto"/>
        <w:bottom w:val="none" w:sz="0" w:space="0" w:color="auto"/>
        <w:right w:val="none" w:sz="0" w:space="0" w:color="auto"/>
      </w:divBdr>
      <w:divsChild>
        <w:div w:id="858617104">
          <w:marLeft w:val="0"/>
          <w:marRight w:val="0"/>
          <w:marTop w:val="0"/>
          <w:marBottom w:val="0"/>
          <w:divBdr>
            <w:top w:val="none" w:sz="0" w:space="0" w:color="auto"/>
            <w:left w:val="none" w:sz="0" w:space="0" w:color="auto"/>
            <w:bottom w:val="none" w:sz="0" w:space="0" w:color="auto"/>
            <w:right w:val="none" w:sz="0" w:space="0" w:color="auto"/>
          </w:divBdr>
          <w:divsChild>
            <w:div w:id="427121772">
              <w:marLeft w:val="0"/>
              <w:marRight w:val="0"/>
              <w:marTop w:val="0"/>
              <w:marBottom w:val="0"/>
              <w:divBdr>
                <w:top w:val="none" w:sz="0" w:space="0" w:color="auto"/>
                <w:left w:val="none" w:sz="0" w:space="0" w:color="auto"/>
                <w:bottom w:val="none" w:sz="0" w:space="0" w:color="auto"/>
                <w:right w:val="none" w:sz="0" w:space="0" w:color="auto"/>
              </w:divBdr>
              <w:divsChild>
                <w:div w:id="76456934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454717441">
                          <w:marLeft w:val="0"/>
                          <w:marRight w:val="0"/>
                          <w:marTop w:val="0"/>
                          <w:marBottom w:val="0"/>
                          <w:divBdr>
                            <w:top w:val="none" w:sz="0" w:space="0" w:color="auto"/>
                            <w:left w:val="none" w:sz="0" w:space="0" w:color="auto"/>
                            <w:bottom w:val="none" w:sz="0" w:space="0" w:color="auto"/>
                            <w:right w:val="none" w:sz="0" w:space="0" w:color="auto"/>
                          </w:divBdr>
                          <w:divsChild>
                            <w:div w:id="1664868">
                              <w:marLeft w:val="0"/>
                              <w:marRight w:val="0"/>
                              <w:marTop w:val="0"/>
                              <w:marBottom w:val="0"/>
                              <w:divBdr>
                                <w:top w:val="none" w:sz="0" w:space="0" w:color="auto"/>
                                <w:left w:val="none" w:sz="0" w:space="0" w:color="auto"/>
                                <w:bottom w:val="none" w:sz="0" w:space="0" w:color="auto"/>
                                <w:right w:val="none" w:sz="0" w:space="0" w:color="auto"/>
                              </w:divBdr>
                              <w:divsChild>
                                <w:div w:id="1938564092">
                                  <w:marLeft w:val="0"/>
                                  <w:marRight w:val="0"/>
                                  <w:marTop w:val="0"/>
                                  <w:marBottom w:val="0"/>
                                  <w:divBdr>
                                    <w:top w:val="none" w:sz="0" w:space="0" w:color="auto"/>
                                    <w:left w:val="none" w:sz="0" w:space="0" w:color="auto"/>
                                    <w:bottom w:val="none" w:sz="0" w:space="0" w:color="auto"/>
                                    <w:right w:val="none" w:sz="0" w:space="0" w:color="auto"/>
                                  </w:divBdr>
                                  <w:divsChild>
                                    <w:div w:id="1104769285">
                                      <w:marLeft w:val="0"/>
                                      <w:marRight w:val="0"/>
                                      <w:marTop w:val="0"/>
                                      <w:marBottom w:val="0"/>
                                      <w:divBdr>
                                        <w:top w:val="none" w:sz="0" w:space="0" w:color="auto"/>
                                        <w:left w:val="none" w:sz="0" w:space="0" w:color="auto"/>
                                        <w:bottom w:val="none" w:sz="0" w:space="0" w:color="auto"/>
                                        <w:right w:val="none" w:sz="0" w:space="0" w:color="auto"/>
                                      </w:divBdr>
                                      <w:divsChild>
                                        <w:div w:id="2006663554">
                                          <w:marLeft w:val="0"/>
                                          <w:marRight w:val="0"/>
                                          <w:marTop w:val="0"/>
                                          <w:marBottom w:val="0"/>
                                          <w:divBdr>
                                            <w:top w:val="none" w:sz="0" w:space="0" w:color="auto"/>
                                            <w:left w:val="none" w:sz="0" w:space="0" w:color="auto"/>
                                            <w:bottom w:val="none" w:sz="0" w:space="0" w:color="auto"/>
                                            <w:right w:val="none" w:sz="0" w:space="0" w:color="auto"/>
                                          </w:divBdr>
                                          <w:divsChild>
                                            <w:div w:id="336732459">
                                              <w:marLeft w:val="0"/>
                                              <w:marRight w:val="0"/>
                                              <w:marTop w:val="0"/>
                                              <w:marBottom w:val="0"/>
                                              <w:divBdr>
                                                <w:top w:val="none" w:sz="0" w:space="0" w:color="auto"/>
                                                <w:left w:val="none" w:sz="0" w:space="0" w:color="auto"/>
                                                <w:bottom w:val="none" w:sz="0" w:space="0" w:color="auto"/>
                                                <w:right w:val="none" w:sz="0" w:space="0" w:color="auto"/>
                                              </w:divBdr>
                                              <w:divsChild>
                                                <w:div w:id="1420715980">
                                                  <w:marLeft w:val="0"/>
                                                  <w:marRight w:val="0"/>
                                                  <w:marTop w:val="0"/>
                                                  <w:marBottom w:val="0"/>
                                                  <w:divBdr>
                                                    <w:top w:val="none" w:sz="0" w:space="0" w:color="auto"/>
                                                    <w:left w:val="none" w:sz="0" w:space="0" w:color="auto"/>
                                                    <w:bottom w:val="none" w:sz="0" w:space="0" w:color="auto"/>
                                                    <w:right w:val="none" w:sz="0" w:space="0" w:color="auto"/>
                                                  </w:divBdr>
                                                  <w:divsChild>
                                                    <w:div w:id="208733920">
                                                      <w:marLeft w:val="0"/>
                                                      <w:marRight w:val="0"/>
                                                      <w:marTop w:val="0"/>
                                                      <w:marBottom w:val="0"/>
                                                      <w:divBdr>
                                                        <w:top w:val="none" w:sz="0" w:space="0" w:color="auto"/>
                                                        <w:left w:val="none" w:sz="0" w:space="0" w:color="auto"/>
                                                        <w:bottom w:val="none" w:sz="0" w:space="0" w:color="auto"/>
                                                        <w:right w:val="none" w:sz="0" w:space="0" w:color="auto"/>
                                                      </w:divBdr>
                                                      <w:divsChild>
                                                        <w:div w:id="1911966545">
                                                          <w:marLeft w:val="0"/>
                                                          <w:marRight w:val="0"/>
                                                          <w:marTop w:val="0"/>
                                                          <w:marBottom w:val="0"/>
                                                          <w:divBdr>
                                                            <w:top w:val="none" w:sz="0" w:space="0" w:color="auto"/>
                                                            <w:left w:val="none" w:sz="0" w:space="0" w:color="auto"/>
                                                            <w:bottom w:val="none" w:sz="0" w:space="0" w:color="auto"/>
                                                            <w:right w:val="none" w:sz="0" w:space="0" w:color="auto"/>
                                                          </w:divBdr>
                                                          <w:divsChild>
                                                            <w:div w:id="14961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6774735">
      <w:bodyDiv w:val="1"/>
      <w:marLeft w:val="0"/>
      <w:marRight w:val="0"/>
      <w:marTop w:val="0"/>
      <w:marBottom w:val="0"/>
      <w:divBdr>
        <w:top w:val="none" w:sz="0" w:space="0" w:color="auto"/>
        <w:left w:val="none" w:sz="0" w:space="0" w:color="auto"/>
        <w:bottom w:val="none" w:sz="0" w:space="0" w:color="auto"/>
        <w:right w:val="none" w:sz="0" w:space="0" w:color="auto"/>
      </w:divBdr>
    </w:div>
    <w:div w:id="510535495">
      <w:bodyDiv w:val="1"/>
      <w:marLeft w:val="0"/>
      <w:marRight w:val="0"/>
      <w:marTop w:val="0"/>
      <w:marBottom w:val="0"/>
      <w:divBdr>
        <w:top w:val="none" w:sz="0" w:space="0" w:color="auto"/>
        <w:left w:val="none" w:sz="0" w:space="0" w:color="auto"/>
        <w:bottom w:val="none" w:sz="0" w:space="0" w:color="auto"/>
        <w:right w:val="none" w:sz="0" w:space="0" w:color="auto"/>
      </w:divBdr>
    </w:div>
    <w:div w:id="544953003">
      <w:bodyDiv w:val="1"/>
      <w:marLeft w:val="0"/>
      <w:marRight w:val="0"/>
      <w:marTop w:val="0"/>
      <w:marBottom w:val="0"/>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sChild>
            <w:div w:id="2029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7323">
      <w:bodyDiv w:val="1"/>
      <w:marLeft w:val="0"/>
      <w:marRight w:val="0"/>
      <w:marTop w:val="0"/>
      <w:marBottom w:val="0"/>
      <w:divBdr>
        <w:top w:val="none" w:sz="0" w:space="0" w:color="auto"/>
        <w:left w:val="none" w:sz="0" w:space="0" w:color="auto"/>
        <w:bottom w:val="none" w:sz="0" w:space="0" w:color="auto"/>
        <w:right w:val="none" w:sz="0" w:space="0" w:color="auto"/>
      </w:divBdr>
    </w:div>
    <w:div w:id="1026062758">
      <w:bodyDiv w:val="1"/>
      <w:marLeft w:val="0"/>
      <w:marRight w:val="0"/>
      <w:marTop w:val="0"/>
      <w:marBottom w:val="0"/>
      <w:divBdr>
        <w:top w:val="none" w:sz="0" w:space="0" w:color="auto"/>
        <w:left w:val="none" w:sz="0" w:space="0" w:color="auto"/>
        <w:bottom w:val="none" w:sz="0" w:space="0" w:color="auto"/>
        <w:right w:val="none" w:sz="0" w:space="0" w:color="auto"/>
      </w:divBdr>
      <w:divsChild>
        <w:div w:id="2072578199">
          <w:marLeft w:val="0"/>
          <w:marRight w:val="0"/>
          <w:marTop w:val="0"/>
          <w:marBottom w:val="0"/>
          <w:divBdr>
            <w:top w:val="none" w:sz="0" w:space="0" w:color="auto"/>
            <w:left w:val="none" w:sz="0" w:space="0" w:color="auto"/>
            <w:bottom w:val="none" w:sz="0" w:space="0" w:color="auto"/>
            <w:right w:val="none" w:sz="0" w:space="0" w:color="auto"/>
          </w:divBdr>
        </w:div>
      </w:divsChild>
    </w:div>
    <w:div w:id="1069841828">
      <w:bodyDiv w:val="1"/>
      <w:marLeft w:val="0"/>
      <w:marRight w:val="0"/>
      <w:marTop w:val="0"/>
      <w:marBottom w:val="0"/>
      <w:divBdr>
        <w:top w:val="none" w:sz="0" w:space="0" w:color="auto"/>
        <w:left w:val="none" w:sz="0" w:space="0" w:color="auto"/>
        <w:bottom w:val="none" w:sz="0" w:space="0" w:color="auto"/>
        <w:right w:val="none" w:sz="0" w:space="0" w:color="auto"/>
      </w:divBdr>
      <w:divsChild>
        <w:div w:id="788160493">
          <w:marLeft w:val="225"/>
          <w:marRight w:val="225"/>
          <w:marTop w:val="0"/>
          <w:marBottom w:val="0"/>
          <w:divBdr>
            <w:top w:val="none" w:sz="0" w:space="0" w:color="auto"/>
            <w:left w:val="none" w:sz="0" w:space="0" w:color="auto"/>
            <w:bottom w:val="none" w:sz="0" w:space="0" w:color="auto"/>
            <w:right w:val="none" w:sz="0" w:space="0" w:color="auto"/>
          </w:divBdr>
          <w:divsChild>
            <w:div w:id="8704286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097942941">
      <w:bodyDiv w:val="1"/>
      <w:marLeft w:val="0"/>
      <w:marRight w:val="0"/>
      <w:marTop w:val="0"/>
      <w:marBottom w:val="0"/>
      <w:divBdr>
        <w:top w:val="none" w:sz="0" w:space="0" w:color="auto"/>
        <w:left w:val="none" w:sz="0" w:space="0" w:color="auto"/>
        <w:bottom w:val="none" w:sz="0" w:space="0" w:color="auto"/>
        <w:right w:val="none" w:sz="0" w:space="0" w:color="auto"/>
      </w:divBdr>
      <w:divsChild>
        <w:div w:id="793407780">
          <w:marLeft w:val="0"/>
          <w:marRight w:val="0"/>
          <w:marTop w:val="0"/>
          <w:marBottom w:val="0"/>
          <w:divBdr>
            <w:top w:val="none" w:sz="0" w:space="0" w:color="auto"/>
            <w:left w:val="none" w:sz="0" w:space="0" w:color="auto"/>
            <w:bottom w:val="none" w:sz="0" w:space="0" w:color="auto"/>
            <w:right w:val="none" w:sz="0" w:space="0" w:color="auto"/>
          </w:divBdr>
        </w:div>
      </w:divsChild>
    </w:div>
    <w:div w:id="1107968032">
      <w:bodyDiv w:val="1"/>
      <w:marLeft w:val="0"/>
      <w:marRight w:val="0"/>
      <w:marTop w:val="0"/>
      <w:marBottom w:val="0"/>
      <w:divBdr>
        <w:top w:val="none" w:sz="0" w:space="0" w:color="auto"/>
        <w:left w:val="none" w:sz="0" w:space="0" w:color="auto"/>
        <w:bottom w:val="none" w:sz="0" w:space="0" w:color="auto"/>
        <w:right w:val="none" w:sz="0" w:space="0" w:color="auto"/>
      </w:divBdr>
      <w:divsChild>
        <w:div w:id="329872215">
          <w:marLeft w:val="0"/>
          <w:marRight w:val="0"/>
          <w:marTop w:val="0"/>
          <w:marBottom w:val="0"/>
          <w:divBdr>
            <w:top w:val="none" w:sz="0" w:space="0" w:color="auto"/>
            <w:left w:val="none" w:sz="0" w:space="0" w:color="auto"/>
            <w:bottom w:val="none" w:sz="0" w:space="0" w:color="auto"/>
            <w:right w:val="none" w:sz="0" w:space="0" w:color="auto"/>
          </w:divBdr>
          <w:divsChild>
            <w:div w:id="126172351">
              <w:marLeft w:val="0"/>
              <w:marRight w:val="0"/>
              <w:marTop w:val="0"/>
              <w:marBottom w:val="0"/>
              <w:divBdr>
                <w:top w:val="none" w:sz="0" w:space="0" w:color="auto"/>
                <w:left w:val="none" w:sz="0" w:space="0" w:color="auto"/>
                <w:bottom w:val="none" w:sz="0" w:space="0" w:color="auto"/>
                <w:right w:val="none" w:sz="0" w:space="0" w:color="auto"/>
              </w:divBdr>
              <w:divsChild>
                <w:div w:id="9730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3779">
          <w:marLeft w:val="0"/>
          <w:marRight w:val="0"/>
          <w:marTop w:val="0"/>
          <w:marBottom w:val="0"/>
          <w:divBdr>
            <w:top w:val="none" w:sz="0" w:space="0" w:color="auto"/>
            <w:left w:val="none" w:sz="0" w:space="0" w:color="auto"/>
            <w:bottom w:val="none" w:sz="0" w:space="0" w:color="auto"/>
            <w:right w:val="none" w:sz="0" w:space="0" w:color="auto"/>
          </w:divBdr>
          <w:divsChild>
            <w:div w:id="1701279232">
              <w:marLeft w:val="0"/>
              <w:marRight w:val="0"/>
              <w:marTop w:val="0"/>
              <w:marBottom w:val="0"/>
              <w:divBdr>
                <w:top w:val="none" w:sz="0" w:space="0" w:color="auto"/>
                <w:left w:val="none" w:sz="0" w:space="0" w:color="auto"/>
                <w:bottom w:val="none" w:sz="0" w:space="0" w:color="auto"/>
                <w:right w:val="none" w:sz="0" w:space="0" w:color="auto"/>
              </w:divBdr>
              <w:divsChild>
                <w:div w:id="19822674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40947239">
      <w:bodyDiv w:val="1"/>
      <w:marLeft w:val="0"/>
      <w:marRight w:val="0"/>
      <w:marTop w:val="0"/>
      <w:marBottom w:val="0"/>
      <w:divBdr>
        <w:top w:val="none" w:sz="0" w:space="0" w:color="auto"/>
        <w:left w:val="none" w:sz="0" w:space="0" w:color="auto"/>
        <w:bottom w:val="none" w:sz="0" w:space="0" w:color="auto"/>
        <w:right w:val="none" w:sz="0" w:space="0" w:color="auto"/>
      </w:divBdr>
    </w:div>
    <w:div w:id="14250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ec.europa.eu/internal_market/fi%20nances/actionplan/inde%20Example:%20"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ec.europa.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corporate.nordea.com/article/59136/bond-watch-next-generation-eu-bon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nicolasveron.info/main/2020/12/a-memo-to-the-financial-services-commissioner.html" TargetMode="External"/><Relationship Id="rId10" Type="http://schemas.openxmlformats.org/officeDocument/2006/relationships/hyperlink" Target="about:blank" TargetMode="External"/><Relationship Id="rId19" Type="http://schemas.openxmlformats.org/officeDocument/2006/relationships/hyperlink" Target="https://ec.europa.eu/info/business-economy-euro/banking-and-finance/regulatory-process-financial-services/regulatory-process-financial-services_e"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ervices.parliament.uk/bills/2012%2013/financialservicesbankingreform.html"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hyperlink" Target="mailto:apesa@uniz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CCE1-3456-4918-97F6-E586B144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6800</Words>
  <Characters>38764</Characters>
  <Application>Microsoft Office Word</Application>
  <DocSecurity>0</DocSecurity>
  <Lines>323</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Pesa</dc:creator>
  <cp:keywords/>
  <dc:description/>
  <cp:lastModifiedBy>User</cp:lastModifiedBy>
  <cp:revision>2</cp:revision>
  <dcterms:created xsi:type="dcterms:W3CDTF">2022-01-20T11:56:00Z</dcterms:created>
  <dcterms:modified xsi:type="dcterms:W3CDTF">2022-01-20T11:56:00Z</dcterms:modified>
</cp:coreProperties>
</file>