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F2" w:rsidRPr="0025032A" w:rsidRDefault="00C777F2" w:rsidP="00C777F2">
      <w:pPr>
        <w:spacing w:line="480" w:lineRule="auto"/>
        <w:rPr>
          <w:b/>
          <w:lang w:val="hr-HR"/>
        </w:rPr>
      </w:pPr>
      <w:r w:rsidRPr="0025032A">
        <w:rPr>
          <w:b/>
          <w:lang w:val="hr-HR"/>
        </w:rPr>
        <w:t>KIRURŠK</w:t>
      </w:r>
      <w:r w:rsidR="00CD0037" w:rsidRPr="0025032A">
        <w:rPr>
          <w:b/>
          <w:lang w:val="hr-HR"/>
        </w:rPr>
        <w:t>O</w:t>
      </w:r>
      <w:r w:rsidRPr="0025032A">
        <w:rPr>
          <w:b/>
          <w:lang w:val="hr-HR"/>
        </w:rPr>
        <w:t xml:space="preserve"> LIJEČENJ</w:t>
      </w:r>
      <w:r w:rsidR="00CD0037" w:rsidRPr="0025032A">
        <w:rPr>
          <w:b/>
          <w:lang w:val="hr-HR"/>
        </w:rPr>
        <w:t xml:space="preserve">E </w:t>
      </w:r>
      <w:r w:rsidRPr="0025032A">
        <w:rPr>
          <w:b/>
          <w:lang w:val="hr-HR"/>
        </w:rPr>
        <w:t xml:space="preserve">RETINIRANIH I IMPAKTIRANIH ZUBA U ORTODONTSKIH  PACIJENATA </w:t>
      </w:r>
    </w:p>
    <w:p w:rsidR="00C777F2" w:rsidRDefault="00C777F2" w:rsidP="00C777F2">
      <w:pPr>
        <w:spacing w:line="480" w:lineRule="auto"/>
        <w:rPr>
          <w:lang w:val="hr-HR"/>
        </w:rPr>
      </w:pPr>
    </w:p>
    <w:p w:rsidR="00C777F2" w:rsidRPr="0025032A" w:rsidRDefault="00C777F2" w:rsidP="00C777F2">
      <w:pPr>
        <w:spacing w:line="480" w:lineRule="auto"/>
        <w:rPr>
          <w:b/>
          <w:lang w:val="hr-HR"/>
        </w:rPr>
      </w:pPr>
      <w:r w:rsidRPr="0025032A">
        <w:rPr>
          <w:b/>
          <w:lang w:val="hr-HR"/>
        </w:rPr>
        <w:t>Dinko Knežević</w:t>
      </w:r>
      <w:r w:rsidR="0025032A" w:rsidRPr="0025032A">
        <w:rPr>
          <w:b/>
          <w:lang w:val="hr-HR"/>
        </w:rPr>
        <w:t xml:space="preserve"> dr. med. dent.</w:t>
      </w:r>
    </w:p>
    <w:p w:rsidR="0025032A" w:rsidRPr="0025032A" w:rsidRDefault="0025032A" w:rsidP="00C777F2">
      <w:pPr>
        <w:spacing w:line="480" w:lineRule="auto"/>
        <w:rPr>
          <w:b/>
          <w:vertAlign w:val="superscript"/>
          <w:lang w:val="hr-HR"/>
        </w:rPr>
      </w:pPr>
      <w:r w:rsidRPr="0025032A">
        <w:rPr>
          <w:b/>
          <w:lang w:val="hr-HR"/>
        </w:rPr>
        <w:t>specijalist oralne kirurgije, Zavod za oralnu kirurgiju Klinike za kirurgiju lica, čeljusti i usta Kliničke bolnice Dubrava</w:t>
      </w:r>
    </w:p>
    <w:p w:rsidR="00C777F2" w:rsidRPr="0025032A" w:rsidRDefault="0025032A" w:rsidP="00C777F2">
      <w:pPr>
        <w:spacing w:line="480" w:lineRule="auto"/>
        <w:rPr>
          <w:b/>
          <w:lang w:val="hr-HR"/>
        </w:rPr>
      </w:pPr>
      <w:r w:rsidRPr="0025032A">
        <w:rPr>
          <w:b/>
          <w:lang w:val="hr-HR"/>
        </w:rPr>
        <w:t xml:space="preserve">Mr. sc. </w:t>
      </w:r>
      <w:r w:rsidR="00C777F2" w:rsidRPr="0025032A">
        <w:rPr>
          <w:b/>
          <w:lang w:val="hr-HR"/>
        </w:rPr>
        <w:t>Ana Kotarac Knežević</w:t>
      </w:r>
      <w:r w:rsidRPr="0025032A">
        <w:rPr>
          <w:b/>
          <w:lang w:val="hr-HR"/>
        </w:rPr>
        <w:t xml:space="preserve"> dr. med. dent.</w:t>
      </w:r>
    </w:p>
    <w:p w:rsidR="0025032A" w:rsidRPr="0025032A" w:rsidRDefault="0025032A" w:rsidP="00C777F2">
      <w:pPr>
        <w:spacing w:line="480" w:lineRule="auto"/>
        <w:rPr>
          <w:b/>
          <w:vertAlign w:val="superscript"/>
          <w:lang w:val="hr-HR"/>
        </w:rPr>
      </w:pPr>
      <w:r w:rsidRPr="0025032A">
        <w:rPr>
          <w:b/>
          <w:lang w:val="hr-HR"/>
        </w:rPr>
        <w:t>specijalist oralne kirurgije, Zavod za oralnu kirurgiju Stomatološkog fakulteta Sveučilišta u Zagrebu</w:t>
      </w:r>
    </w:p>
    <w:p w:rsidR="00436958" w:rsidRPr="00C777F2" w:rsidRDefault="00436958" w:rsidP="00C777F2">
      <w:pPr>
        <w:spacing w:line="480" w:lineRule="auto"/>
        <w:rPr>
          <w:vertAlign w:val="superscript"/>
          <w:lang w:val="hr-HR"/>
        </w:rPr>
      </w:pPr>
    </w:p>
    <w:p w:rsidR="003079B8" w:rsidRPr="0025032A" w:rsidRDefault="003079B8" w:rsidP="003079B8">
      <w:pPr>
        <w:spacing w:line="480" w:lineRule="auto"/>
        <w:rPr>
          <w:b/>
          <w:lang w:val="hr-HR"/>
        </w:rPr>
      </w:pPr>
      <w:r w:rsidRPr="0025032A">
        <w:rPr>
          <w:b/>
          <w:lang w:val="hr-HR"/>
        </w:rPr>
        <w:t>Uvod</w:t>
      </w:r>
    </w:p>
    <w:p w:rsidR="003C4FB9" w:rsidRDefault="00F95212" w:rsidP="00B645D4">
      <w:pPr>
        <w:spacing w:line="480" w:lineRule="auto"/>
        <w:rPr>
          <w:color w:val="000000"/>
          <w:lang w:val="hr-HR"/>
        </w:rPr>
      </w:pPr>
      <w:r>
        <w:rPr>
          <w:lang w:val="hr-HR"/>
        </w:rPr>
        <w:t xml:space="preserve">      </w:t>
      </w:r>
      <w:r w:rsidR="003079B8" w:rsidRPr="003079B8">
        <w:rPr>
          <w:lang w:val="hr-HR"/>
        </w:rPr>
        <w:t>Nemogućnost da  potpuno razvijeni zubi niknu na svojemu mjestu ili drugdje u zubnome nizu ili izvan njega naziva se retencijom ili impakcijom zuba, ovisno o tome koji su bili uzroci zbog kojih zubi nisu niknuli.</w:t>
      </w:r>
      <w:r w:rsidR="003079B8">
        <w:rPr>
          <w:lang w:val="hr-HR"/>
        </w:rPr>
        <w:t xml:space="preserve"> </w:t>
      </w:r>
      <w:r w:rsidR="003079B8" w:rsidRPr="003079B8">
        <w:rPr>
          <w:lang w:val="hr-HR"/>
        </w:rPr>
        <w:t xml:space="preserve">U izradbi plana liječenja retiniranih ili impaktiranih zuba potrebno je jasno odrediti uzroke nastanka anomalije položaja, jer o njima vrlo često ovisi i način liječenja, a potrebno je, dakako, procijeniti i cjelokupan odnos među zubima, odnos čeljusti i zuba, te odnos među čeljustima i planirati postupak liječenja u sklopu procjene cjelovitoga poremećaja. Je li plan liječenja uvijek takav da se pri njegovoj provedbi vrjednuju sve poznate metode što se tiče mogućih postupaka s retiniranim i impaktiranim zubima  i  izabiru li  se uvijek najbolji postupci za njihovo smještanje u zubni niz?  Jesu li neke metode liječenja stavljene u drugi plan opravdano ili bez opravdana razloga ? Ne izabiru li se ponekad lakši postupci za liječnika, a manje korisni za pacijenta samo zato što ih je jednostavnije izvesti ili je jednostavniji postupak za liječnika također jednostavniji i lakši za pacijenta ? Nismo li neke postupke svjesno stavili u drugi plan zato jer su složeniji, a za pacijenta ponekad  i neugodniji zato što produžuju liječenje i rezultat ne mora </w:t>
      </w:r>
      <w:r w:rsidR="003079B8" w:rsidRPr="003079B8">
        <w:rPr>
          <w:lang w:val="hr-HR"/>
        </w:rPr>
        <w:lastRenderedPageBreak/>
        <w:t xml:space="preserve">uvijek biti uspješan?  Svakodnevno iskustvo oralnih kirurga potvrđuje da je   stvarni raspon kirurških zahvata u liječenju retiniranih i impaktiranih zuba objektivno uži od teoretskih spoznaja </w:t>
      </w:r>
    </w:p>
    <w:p w:rsidR="00E51598" w:rsidRDefault="00E51598" w:rsidP="00C64C49">
      <w:pPr>
        <w:pStyle w:val="BodyText"/>
        <w:spacing w:line="480" w:lineRule="auto"/>
        <w:jc w:val="both"/>
        <w:rPr>
          <w:sz w:val="24"/>
          <w:szCs w:val="24"/>
        </w:rPr>
      </w:pPr>
    </w:p>
    <w:p w:rsidR="00C64C49" w:rsidRPr="001347BB" w:rsidRDefault="00C64C49" w:rsidP="00C64C49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1347BB">
        <w:rPr>
          <w:b/>
          <w:sz w:val="24"/>
          <w:szCs w:val="24"/>
        </w:rPr>
        <w:t xml:space="preserve">Mogućnosti </w:t>
      </w:r>
      <w:r w:rsidR="00D811E1" w:rsidRPr="001347BB">
        <w:rPr>
          <w:b/>
          <w:sz w:val="24"/>
          <w:szCs w:val="24"/>
        </w:rPr>
        <w:t xml:space="preserve">kirurškoga </w:t>
      </w:r>
      <w:r w:rsidRPr="001347BB">
        <w:rPr>
          <w:b/>
          <w:sz w:val="24"/>
          <w:szCs w:val="24"/>
        </w:rPr>
        <w:t xml:space="preserve"> liječenja</w:t>
      </w:r>
      <w:r w:rsidR="00D811E1" w:rsidRPr="001347BB">
        <w:rPr>
          <w:b/>
          <w:sz w:val="24"/>
          <w:szCs w:val="24"/>
        </w:rPr>
        <w:t xml:space="preserve"> </w:t>
      </w:r>
    </w:p>
    <w:p w:rsidR="00C64C49" w:rsidRPr="00A0111B" w:rsidRDefault="00C64C49" w:rsidP="00C64C49">
      <w:pPr>
        <w:pStyle w:val="BodyText"/>
        <w:spacing w:line="480" w:lineRule="auto"/>
        <w:jc w:val="both"/>
        <w:rPr>
          <w:sz w:val="24"/>
          <w:szCs w:val="24"/>
        </w:rPr>
      </w:pPr>
      <w:r w:rsidRPr="00A0111B">
        <w:rPr>
          <w:sz w:val="24"/>
          <w:szCs w:val="24"/>
        </w:rPr>
        <w:t xml:space="preserve">      Liječenje impaktiranih i retiniranih zuba, kad su oni u sklopu složenije ortodontske anomalije, redovito je timski postupak ortodonta i oralnoga kirurga. Ako takvi zubi uzrokuju razvoj odontogene upale  ili su uz njih razvijene druge patološke promjene čeljusti, tada je odluka na strani oralnoga kirurga, ali je ipak najbolje da i ortodont za vrijeme zahvata procijeni lokalni nalaz i sudjeluje u odluci hoće li se zub tijekom zahvata odstraniti ili sačuvati</w:t>
      </w:r>
      <w:r w:rsidR="0025032A">
        <w:rPr>
          <w:sz w:val="24"/>
          <w:szCs w:val="24"/>
        </w:rPr>
        <w:t>(1,2,3,4)</w:t>
      </w:r>
      <w:r w:rsidRPr="00A0111B">
        <w:rPr>
          <w:sz w:val="24"/>
          <w:szCs w:val="24"/>
        </w:rPr>
        <w:t xml:space="preserve">. </w:t>
      </w:r>
    </w:p>
    <w:p w:rsidR="00C64C49" w:rsidRPr="00A0111B" w:rsidRDefault="00C64C49" w:rsidP="00C64C49">
      <w:pPr>
        <w:pStyle w:val="BodyText"/>
        <w:spacing w:line="480" w:lineRule="auto"/>
        <w:jc w:val="both"/>
        <w:rPr>
          <w:sz w:val="24"/>
          <w:szCs w:val="24"/>
        </w:rPr>
      </w:pPr>
      <w:r w:rsidRPr="00A0111B">
        <w:rPr>
          <w:sz w:val="24"/>
          <w:szCs w:val="24"/>
        </w:rPr>
        <w:t>Nekoliko je mogućnosti koje navode Reljanović i sur.</w:t>
      </w:r>
      <w:r w:rsidR="0025032A">
        <w:rPr>
          <w:sz w:val="24"/>
          <w:szCs w:val="24"/>
        </w:rPr>
        <w:t>(5)</w:t>
      </w:r>
      <w:r w:rsidRPr="00A0111B">
        <w:rPr>
          <w:sz w:val="24"/>
          <w:szCs w:val="24"/>
        </w:rPr>
        <w:t xml:space="preserve"> u liječenju impaktiranih i retiniranih očnjaka</w:t>
      </w:r>
      <w:r w:rsidR="001462A1">
        <w:rPr>
          <w:sz w:val="24"/>
          <w:szCs w:val="24"/>
        </w:rPr>
        <w:t>. T</w:t>
      </w:r>
      <w:r w:rsidRPr="00A0111B">
        <w:rPr>
          <w:sz w:val="24"/>
          <w:szCs w:val="24"/>
        </w:rPr>
        <w:t>a su načela više ili manje primjenjiva u svim slučajevima impakcija ili retencija zuba pa ih je potrebno dobro poznavati kako bi se izabrao najpovoljniji postupak</w:t>
      </w:r>
      <w:r w:rsidR="0025032A">
        <w:rPr>
          <w:sz w:val="24"/>
          <w:szCs w:val="24"/>
        </w:rPr>
        <w:t xml:space="preserve"> (6)</w:t>
      </w:r>
      <w:r w:rsidRPr="00A0111B">
        <w:rPr>
          <w:sz w:val="24"/>
          <w:szCs w:val="24"/>
        </w:rPr>
        <w:t xml:space="preserve">. Autori ne navode transplantaciju očnjaka, premda se ona u literaturi i danas vrlo često spominje.   </w:t>
      </w:r>
    </w:p>
    <w:p w:rsidR="00C64C49" w:rsidRPr="00A0111B" w:rsidRDefault="00C64C49" w:rsidP="00C64C49">
      <w:pPr>
        <w:pStyle w:val="BodyText"/>
        <w:spacing w:line="480" w:lineRule="auto"/>
        <w:rPr>
          <w:color w:val="000000"/>
          <w:sz w:val="24"/>
          <w:szCs w:val="24"/>
        </w:rPr>
      </w:pPr>
      <w:r w:rsidRPr="00A0111B">
        <w:rPr>
          <w:color w:val="000000"/>
          <w:sz w:val="24"/>
          <w:szCs w:val="24"/>
        </w:rPr>
        <w:t xml:space="preserve">Transplantacija zuba </w:t>
      </w:r>
      <w:r w:rsidR="00E52F60">
        <w:rPr>
          <w:color w:val="000000"/>
          <w:sz w:val="24"/>
          <w:szCs w:val="24"/>
        </w:rPr>
        <w:t>jedna je od</w:t>
      </w:r>
      <w:r w:rsidRPr="00A0111B">
        <w:rPr>
          <w:color w:val="000000"/>
          <w:sz w:val="24"/>
          <w:szCs w:val="24"/>
        </w:rPr>
        <w:t xml:space="preserve"> mogućnost</w:t>
      </w:r>
      <w:r w:rsidR="00E52F60">
        <w:rPr>
          <w:color w:val="000000"/>
          <w:sz w:val="24"/>
          <w:szCs w:val="24"/>
        </w:rPr>
        <w:t>i</w:t>
      </w:r>
      <w:r w:rsidR="00781EF6">
        <w:rPr>
          <w:color w:val="000000"/>
          <w:sz w:val="24"/>
          <w:szCs w:val="24"/>
        </w:rPr>
        <w:t xml:space="preserve"> liječenja </w:t>
      </w:r>
      <w:r w:rsidRPr="00A0111B">
        <w:rPr>
          <w:color w:val="000000"/>
          <w:sz w:val="24"/>
          <w:szCs w:val="24"/>
        </w:rPr>
        <w:t>u postupku s impaktiranim i retiniranim zubima. Indikacije za takav zahvat jesu gubitak ili nasljedni manjak zuba, avulzija zuba s nepovoljnom prognozom i podudarnost da se u istog pacijenta nađe manjak zuba uz indikaciju da se neki od retiniranih zuba mora odstraniti. Dvije su mogućnosti: autotransplantacija zubnoga zametka i autotransplantacija zuba. Zubni  zametak  ili zub vade se iz njihova ležišta u kosti i premještaju na drugo mjestu u zubni niz, tj. u alveolu drugoga zuba ili u umjetno stvorenu alveolu. Stvarnost nam potvrđuje činjenicu da je među mogućim ortodontskim i kirurškim zahvatima koji se izvode na retiniranim ili impaktiranim zubima  autotransplantacija zuba danas  na zadnjem mjestu, iako se u literaturi i danas  često spominje</w:t>
      </w:r>
      <w:r w:rsidR="001347BB">
        <w:rPr>
          <w:color w:val="000000"/>
          <w:sz w:val="24"/>
          <w:szCs w:val="24"/>
        </w:rPr>
        <w:t xml:space="preserve"> </w:t>
      </w:r>
      <w:r w:rsidR="0025032A">
        <w:rPr>
          <w:color w:val="000000"/>
          <w:sz w:val="24"/>
          <w:szCs w:val="24"/>
        </w:rPr>
        <w:t>(7-18)</w:t>
      </w:r>
      <w:r w:rsidRPr="00A0111B">
        <w:rPr>
          <w:color w:val="000000"/>
          <w:sz w:val="24"/>
          <w:szCs w:val="24"/>
        </w:rPr>
        <w:t xml:space="preserve">. </w:t>
      </w:r>
    </w:p>
    <w:p w:rsidR="00C64C49" w:rsidRPr="00A0111B" w:rsidRDefault="00C64C49" w:rsidP="00C64C49">
      <w:pPr>
        <w:pStyle w:val="BodyText"/>
        <w:spacing w:line="480" w:lineRule="auto"/>
        <w:jc w:val="both"/>
        <w:rPr>
          <w:sz w:val="24"/>
          <w:szCs w:val="24"/>
        </w:rPr>
      </w:pPr>
      <w:r w:rsidRPr="00A0111B">
        <w:rPr>
          <w:sz w:val="24"/>
          <w:szCs w:val="24"/>
        </w:rPr>
        <w:t xml:space="preserve">U kirurgiji odontogenih razvojnih cista često se javljaju dvojbe o budućnosti zuba koji su vrlo često povezani s takvim patološkim promjenama. </w:t>
      </w:r>
    </w:p>
    <w:p w:rsidR="00C64C49" w:rsidRPr="0032431D" w:rsidRDefault="00C64C49" w:rsidP="004D646E">
      <w:pPr>
        <w:pStyle w:val="BodyText"/>
        <w:spacing w:line="480" w:lineRule="auto"/>
        <w:jc w:val="both"/>
        <w:rPr>
          <w:sz w:val="24"/>
          <w:szCs w:val="24"/>
          <w:vertAlign w:val="subscript"/>
        </w:rPr>
      </w:pPr>
      <w:r w:rsidRPr="00A0111B">
        <w:rPr>
          <w:sz w:val="24"/>
          <w:szCs w:val="24"/>
        </w:rPr>
        <w:lastRenderedPageBreak/>
        <w:t>Knežević i suradnici</w:t>
      </w:r>
      <w:r w:rsidR="0025032A">
        <w:rPr>
          <w:sz w:val="24"/>
          <w:szCs w:val="24"/>
        </w:rPr>
        <w:t>(6)</w:t>
      </w:r>
      <w:r w:rsidRPr="00A0111B">
        <w:rPr>
          <w:sz w:val="24"/>
          <w:szCs w:val="24"/>
        </w:rPr>
        <w:t xml:space="preserve"> objavili su članak o toj temi i prikazali nekoliko slučajeva u kojima su retinirani zubi i onda kada su bili u nepovoljnom položaju nakon cistektomije čeljusti ortodontskim postupkom bili dovedeni u ispravan položaj u zubnome nizu. To razumljivo traži i odgovarajuću suradnju pacijenta, jer je put ponekad duži nego što se to u početku može pretpostaviti. Sličnih se primjera bliske veze retiniranih zuba i drugih patoloških promjena čeljusti te prije navedenih raznovrsnih postupaka ortodontsko - kirurške terapije retiniranih očnjaka nalazi gotovo danomice u suvremenoj literaturi</w:t>
      </w:r>
      <w:r w:rsidR="001347BB">
        <w:rPr>
          <w:sz w:val="24"/>
          <w:szCs w:val="24"/>
        </w:rPr>
        <w:t xml:space="preserve"> (19-23)</w:t>
      </w:r>
      <w:r w:rsidR="0032431D">
        <w:rPr>
          <w:sz w:val="24"/>
          <w:szCs w:val="24"/>
          <w:vertAlign w:val="subscript"/>
        </w:rPr>
        <w:t>.</w:t>
      </w:r>
    </w:p>
    <w:p w:rsidR="00E51598" w:rsidRDefault="00E51598" w:rsidP="005F0272">
      <w:pPr>
        <w:pStyle w:val="BodyText"/>
        <w:spacing w:line="480" w:lineRule="auto"/>
        <w:jc w:val="both"/>
        <w:rPr>
          <w:sz w:val="24"/>
          <w:szCs w:val="24"/>
        </w:rPr>
      </w:pPr>
    </w:p>
    <w:p w:rsidR="005F0272" w:rsidRPr="001347BB" w:rsidRDefault="005F0272" w:rsidP="005F0272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1347BB">
        <w:rPr>
          <w:b/>
          <w:sz w:val="24"/>
          <w:szCs w:val="24"/>
        </w:rPr>
        <w:t xml:space="preserve">Svrha rada </w:t>
      </w:r>
    </w:p>
    <w:p w:rsidR="005F0272" w:rsidRDefault="005F0272" w:rsidP="005F0272">
      <w:pPr>
        <w:pStyle w:val="BodyText"/>
        <w:spacing w:line="480" w:lineRule="auto"/>
        <w:jc w:val="both"/>
        <w:rPr>
          <w:rFonts w:ascii="Arial" w:hAnsi="Arial"/>
          <w:sz w:val="24"/>
          <w:szCs w:val="24"/>
        </w:rPr>
      </w:pPr>
      <w:r w:rsidRPr="005F0272">
        <w:rPr>
          <w:sz w:val="24"/>
          <w:szCs w:val="24"/>
        </w:rPr>
        <w:t xml:space="preserve">      Svrha istraživanja </w:t>
      </w:r>
      <w:r>
        <w:rPr>
          <w:sz w:val="24"/>
          <w:szCs w:val="24"/>
        </w:rPr>
        <w:t xml:space="preserve">bila je </w:t>
      </w:r>
      <w:r w:rsidRPr="005F0272">
        <w:rPr>
          <w:sz w:val="24"/>
          <w:szCs w:val="24"/>
        </w:rPr>
        <w:t xml:space="preserve">na slučajno izabranom uzorku pacijenata liječenih u ortodontskoj specijalističkoj ambulanti </w:t>
      </w:r>
      <w:r w:rsidR="00374AAE">
        <w:rPr>
          <w:sz w:val="24"/>
          <w:szCs w:val="24"/>
        </w:rPr>
        <w:t xml:space="preserve"> u sklopu Klinike za kirurgiju čeljusti, lica i usta </w:t>
      </w:r>
      <w:r w:rsidRPr="005F0272">
        <w:rPr>
          <w:sz w:val="24"/>
          <w:szCs w:val="24"/>
        </w:rPr>
        <w:t xml:space="preserve"> retrospektivno raščlaniti  oralnokirurške postupke koji su izvedeni na zahtjev ortodonta ili u timskoj procjeni ortodonta i oralnoga kirurga. Žel</w:t>
      </w:r>
      <w:r>
        <w:rPr>
          <w:sz w:val="24"/>
          <w:szCs w:val="24"/>
        </w:rPr>
        <w:t>jelo</w:t>
      </w:r>
      <w:r w:rsidRPr="005F0272">
        <w:rPr>
          <w:sz w:val="24"/>
          <w:szCs w:val="24"/>
        </w:rPr>
        <w:t xml:space="preserve"> se provjeriti koje se kirurške metode i koliko primjenjuju uz ortodontsko liječenje u specijalističkoj </w:t>
      </w:r>
      <w:r w:rsidR="00374AAE">
        <w:rPr>
          <w:sz w:val="24"/>
          <w:szCs w:val="24"/>
        </w:rPr>
        <w:t>oralnokirurkoj ambulanti</w:t>
      </w:r>
      <w:r w:rsidRPr="005F0272">
        <w:rPr>
          <w:sz w:val="24"/>
          <w:szCs w:val="24"/>
        </w:rPr>
        <w:t xml:space="preserve"> i kakvo je stanje u usporedbi s podatcima koji se mogu naći u suvremenoj literaturi, posebice što se tiče autotransplantacija retiniranih ili impaktiranih zuba ili njihovih zametaka.</w:t>
      </w:r>
      <w:r w:rsidRPr="00A43D1F">
        <w:rPr>
          <w:rFonts w:ascii="Arial" w:hAnsi="Arial"/>
          <w:sz w:val="24"/>
          <w:szCs w:val="24"/>
        </w:rPr>
        <w:t xml:space="preserve">   </w:t>
      </w:r>
    </w:p>
    <w:p w:rsidR="005F0272" w:rsidRDefault="005F0272" w:rsidP="005F0272">
      <w:pPr>
        <w:pStyle w:val="BodyText"/>
        <w:spacing w:line="480" w:lineRule="auto"/>
        <w:jc w:val="both"/>
        <w:rPr>
          <w:sz w:val="24"/>
          <w:szCs w:val="24"/>
        </w:rPr>
      </w:pPr>
    </w:p>
    <w:p w:rsidR="005F0272" w:rsidRPr="001347BB" w:rsidRDefault="005F0272" w:rsidP="005F0272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1347BB">
        <w:rPr>
          <w:b/>
          <w:sz w:val="24"/>
          <w:szCs w:val="24"/>
        </w:rPr>
        <w:t>Ispitanici i postupci</w:t>
      </w:r>
    </w:p>
    <w:p w:rsidR="005F0272" w:rsidRDefault="005F0272" w:rsidP="005F0272">
      <w:pPr>
        <w:pStyle w:val="BodyText"/>
        <w:spacing w:line="480" w:lineRule="auto"/>
        <w:jc w:val="both"/>
        <w:rPr>
          <w:sz w:val="24"/>
          <w:szCs w:val="24"/>
        </w:rPr>
      </w:pPr>
      <w:r w:rsidRPr="005F0272">
        <w:rPr>
          <w:sz w:val="24"/>
          <w:szCs w:val="24"/>
        </w:rPr>
        <w:t xml:space="preserve">      Uzorak je prikupljen iz ortodontske ambulante </w:t>
      </w:r>
      <w:r w:rsidR="00F24307" w:rsidRPr="005F0272">
        <w:rPr>
          <w:sz w:val="24"/>
          <w:szCs w:val="24"/>
        </w:rPr>
        <w:t xml:space="preserve">i Kliničkoga zavoda za oralnu kirurgiju </w:t>
      </w:r>
      <w:r w:rsidRPr="005F0272">
        <w:rPr>
          <w:sz w:val="24"/>
          <w:szCs w:val="24"/>
        </w:rPr>
        <w:t xml:space="preserve">Klinike za kirurgiju čeljusti i lica Kliničke bolnice „Dubrava“ i retrospektivno je raščlanjena nasumce izabrana dokumentacija od približno 1000 pacijenata liječenih u toj ambulanti u razdoblju od godine 1994. do 2004.  Iz te je dokumentacije izdvojen uzorak od  243 pacijenta u kojih je na radiološkim nalazima potvrđeno postojanje retiniranih, impaktiranih, redovitih ili prekobrojnih  zuba, koji su zatim liječeni ortodontsko-kirurškim postupcima.  Svi su podatci </w:t>
      </w:r>
      <w:r w:rsidRPr="005F0272">
        <w:rPr>
          <w:sz w:val="24"/>
          <w:szCs w:val="24"/>
        </w:rPr>
        <w:lastRenderedPageBreak/>
        <w:t>unošeni u već prije pripremljen upitnik. Iz uzorka su isključeni svi slučajevi rascijepa usnice te alveolarnoga grebena i nepca, koji su često povezani s retencijama gornjih zuba. Međutim, riječ je o specifičnoj patologiji složene etiologije i specifičnih ortodontskih i kirurških postupaka koju ne treba povezivati s uobičajenim etiološkim uzrocima retencije ili impakcije zuba. Iz uzorka su zbog istih razloga isključeni svi sindromi kod kojih se često pojavljuju retinirani, impaktirani ili prekobrojni zubi i slučajevi složenih čeljusnih deformiteta koji zahtijevaju opsežne kirurške zahvate na čeljustima, kao što su bimaksilarne osteotomije</w:t>
      </w:r>
      <w:r w:rsidR="00AC39AF">
        <w:rPr>
          <w:sz w:val="24"/>
          <w:szCs w:val="24"/>
        </w:rPr>
        <w:t xml:space="preserve"> (slik</w:t>
      </w:r>
      <w:r w:rsidR="00DB21D6">
        <w:rPr>
          <w:sz w:val="24"/>
          <w:szCs w:val="24"/>
        </w:rPr>
        <w:t>e</w:t>
      </w:r>
      <w:r w:rsidR="00AC39AF">
        <w:rPr>
          <w:sz w:val="24"/>
          <w:szCs w:val="24"/>
        </w:rPr>
        <w:t xml:space="preserve"> 1</w:t>
      </w:r>
      <w:r w:rsidR="00DB21D6">
        <w:rPr>
          <w:sz w:val="24"/>
          <w:szCs w:val="24"/>
        </w:rPr>
        <w:t xml:space="preserve">.  2. i  3. </w:t>
      </w:r>
      <w:r w:rsidR="00AC39AF">
        <w:rPr>
          <w:sz w:val="24"/>
          <w:szCs w:val="24"/>
        </w:rPr>
        <w:t>)</w:t>
      </w:r>
      <w:r w:rsidRPr="005F0272">
        <w:rPr>
          <w:sz w:val="24"/>
          <w:szCs w:val="24"/>
        </w:rPr>
        <w:t xml:space="preserve">. Ipak  u uzorak je uključeno nekoliko pacijenata s dijagnozom mandibularnoga prognatizma ili s drugim kombiniranim deformacijama kojima su prije zahvata osteotomije čeljusti već bile izvršene alveotomije određenoga broja impaktiranih ili retiniranih umnjaka. </w:t>
      </w:r>
    </w:p>
    <w:p w:rsidR="00BE3FB1" w:rsidRDefault="00BE3FB1" w:rsidP="005F0272">
      <w:pPr>
        <w:pStyle w:val="BodyText"/>
        <w:spacing w:line="480" w:lineRule="auto"/>
        <w:jc w:val="both"/>
        <w:rPr>
          <w:sz w:val="24"/>
          <w:szCs w:val="24"/>
        </w:rPr>
      </w:pPr>
    </w:p>
    <w:p w:rsidR="00BE3FB1" w:rsidRPr="001347BB" w:rsidRDefault="00BE3FB1" w:rsidP="005F0272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1347BB">
        <w:rPr>
          <w:b/>
          <w:sz w:val="24"/>
          <w:szCs w:val="24"/>
        </w:rPr>
        <w:t>Rezultati</w:t>
      </w:r>
    </w:p>
    <w:p w:rsidR="001462A1" w:rsidRDefault="00BE3FB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t>Uzorak se je sastojao od 243 pacijenata od kojih je bilo 147 ženskoga spola  i 96 muškoga. Prosječna dob pacijenata bila je 16  godina. Najmlađi pacijent imao je 7 godina i liječen je alveotomijom meziodensa prije ortodontske terapije, a najstariji su bili dva pacijenta od 35 godina, jedan liječen zbog kompresije zuba, drugi zbog progenije, i u oba su slučaja izvršene alveotomije umnjaka.</w:t>
      </w:r>
    </w:p>
    <w:p w:rsidR="001462A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1462A1">
        <w:rPr>
          <w:sz w:val="24"/>
          <w:szCs w:val="24"/>
        </w:rPr>
        <w:t xml:space="preserve"> </w:t>
      </w:r>
      <w:r w:rsidRPr="00BE3FB1">
        <w:rPr>
          <w:sz w:val="24"/>
          <w:szCs w:val="24"/>
        </w:rPr>
        <w:t xml:space="preserve">Iz </w:t>
      </w:r>
      <w:r>
        <w:rPr>
          <w:sz w:val="24"/>
          <w:szCs w:val="24"/>
        </w:rPr>
        <w:t>T</w:t>
      </w:r>
      <w:r w:rsidRPr="00BE3FB1">
        <w:rPr>
          <w:sz w:val="24"/>
          <w:szCs w:val="24"/>
        </w:rPr>
        <w:t>ablice 1. vidljivo je da je u ukupnom uzorku  odnos između muškaraca i žena 1,53 : 1 u korist ženskoga spola, s još većom razlikom od 2, 45 : 1 u drugoj dobnoj skupini od 16 do 25 godina i nešto manjom razlikom u prvoj dobno</w:t>
      </w:r>
      <w:r>
        <w:rPr>
          <w:sz w:val="24"/>
          <w:szCs w:val="24"/>
        </w:rPr>
        <w:t xml:space="preserve"> </w:t>
      </w:r>
      <w:r w:rsidRPr="00BE3FB1">
        <w:rPr>
          <w:sz w:val="24"/>
          <w:szCs w:val="24"/>
        </w:rPr>
        <w:t xml:space="preserve">j skupini. Obrnuti odnos bio je u trećoj dobnoj skupini.  Postotci muških i ženskih pacijenata u pojedinim dobnim skupinama uspoređuju se u okomitim stupcima, međuodnos muških i ženski pacijenata u  zadnja dva stupca,  a vodoravno za svaku skupinu i ukupno. </w:t>
      </w:r>
    </w:p>
    <w:p w:rsidR="001462A1" w:rsidRDefault="001462A1" w:rsidP="00E07FDF">
      <w:pPr>
        <w:pStyle w:val="BodyText"/>
        <w:spacing w:line="480" w:lineRule="auto"/>
        <w:jc w:val="both"/>
        <w:rPr>
          <w:b/>
          <w:sz w:val="24"/>
          <w:szCs w:val="24"/>
        </w:rPr>
      </w:pPr>
    </w:p>
    <w:p w:rsidR="00E07FDF" w:rsidRPr="00E07FDF" w:rsidRDefault="00E07FDF" w:rsidP="00E07FDF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E07FDF">
        <w:rPr>
          <w:b/>
          <w:sz w:val="24"/>
          <w:szCs w:val="24"/>
        </w:rPr>
        <w:lastRenderedPageBreak/>
        <w:t>Tablica 1. Raspodjela uzorka prema spolu i dobnim skupinama</w:t>
      </w:r>
    </w:p>
    <w:p w:rsidR="00E07FDF" w:rsidRPr="00BE3FB1" w:rsidRDefault="00E07FDF" w:rsidP="00E07FDF">
      <w:pPr>
        <w:pStyle w:val="BodyText"/>
        <w:spacing w:line="48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1E0"/>
      </w:tblPr>
      <w:tblGrid>
        <w:gridCol w:w="1123"/>
        <w:gridCol w:w="868"/>
        <w:gridCol w:w="1076"/>
        <w:gridCol w:w="841"/>
        <w:gridCol w:w="1076"/>
        <w:gridCol w:w="868"/>
        <w:gridCol w:w="1076"/>
        <w:gridCol w:w="976"/>
        <w:gridCol w:w="956"/>
      </w:tblGrid>
      <w:tr w:rsidR="00E07FDF" w:rsidRPr="00BE3FB1" w:rsidTr="007547A2">
        <w:tc>
          <w:tcPr>
            <w:tcW w:w="1123" w:type="dxa"/>
            <w:vMerge w:val="restart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Dobne </w:t>
            </w: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skupine                           </w:t>
            </w: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19" w:type="dxa"/>
            <w:gridSpan w:val="2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    Ž</w:t>
            </w:r>
          </w:p>
        </w:tc>
        <w:tc>
          <w:tcPr>
            <w:tcW w:w="1792" w:type="dxa"/>
            <w:gridSpan w:val="2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    M</w:t>
            </w:r>
          </w:p>
        </w:tc>
        <w:tc>
          <w:tcPr>
            <w:tcW w:w="1819" w:type="dxa"/>
            <w:gridSpan w:val="2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Ukupno</w:t>
            </w:r>
          </w:p>
        </w:tc>
        <w:tc>
          <w:tcPr>
            <w:tcW w:w="1883" w:type="dxa"/>
            <w:gridSpan w:val="2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Ž  /  M</w:t>
            </w:r>
          </w:p>
        </w:tc>
      </w:tr>
      <w:tr w:rsidR="00E07FDF" w:rsidRPr="00BE3FB1" w:rsidTr="007547A2">
        <w:tc>
          <w:tcPr>
            <w:tcW w:w="1123" w:type="dxa"/>
            <w:vMerge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N         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%</w:t>
            </w:r>
          </w:p>
        </w:tc>
        <w:tc>
          <w:tcPr>
            <w:tcW w:w="84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N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%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N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%</w:t>
            </w:r>
          </w:p>
        </w:tc>
        <w:tc>
          <w:tcPr>
            <w:tcW w:w="976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Odnos</w:t>
            </w:r>
          </w:p>
        </w:tc>
        <w:tc>
          <w:tcPr>
            <w:tcW w:w="907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%  Ž</w:t>
            </w:r>
          </w:p>
        </w:tc>
      </w:tr>
      <w:tr w:rsidR="00E07FDF" w:rsidRPr="00BE3FB1" w:rsidTr="007547A2">
        <w:tc>
          <w:tcPr>
            <w:tcW w:w="1123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7 – 15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71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48,30%</w:t>
            </w:r>
          </w:p>
        </w:tc>
        <w:tc>
          <w:tcPr>
            <w:tcW w:w="84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57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59,38%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128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52,68%</w:t>
            </w:r>
          </w:p>
        </w:tc>
        <w:tc>
          <w:tcPr>
            <w:tcW w:w="976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1,22:1</w:t>
            </w:r>
          </w:p>
        </w:tc>
        <w:tc>
          <w:tcPr>
            <w:tcW w:w="907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55,47%</w:t>
            </w:r>
          </w:p>
        </w:tc>
      </w:tr>
      <w:tr w:rsidR="00E07FDF" w:rsidRPr="00BE3FB1" w:rsidTr="007547A2">
        <w:tc>
          <w:tcPr>
            <w:tcW w:w="1123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16-25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71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48,30%</w:t>
            </w:r>
          </w:p>
        </w:tc>
        <w:tc>
          <w:tcPr>
            <w:tcW w:w="84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29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30,21%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41,15%</w:t>
            </w:r>
          </w:p>
        </w:tc>
        <w:tc>
          <w:tcPr>
            <w:tcW w:w="976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2,45:1</w:t>
            </w:r>
          </w:p>
        </w:tc>
        <w:tc>
          <w:tcPr>
            <w:tcW w:w="907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71,00%</w:t>
            </w:r>
          </w:p>
        </w:tc>
      </w:tr>
      <w:tr w:rsidR="00E07FDF" w:rsidRPr="00BE3FB1" w:rsidTr="007547A2">
        <w:tc>
          <w:tcPr>
            <w:tcW w:w="1123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26-35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3,40%</w:t>
            </w:r>
          </w:p>
        </w:tc>
        <w:tc>
          <w:tcPr>
            <w:tcW w:w="84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10,41%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15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6,17%</w:t>
            </w:r>
          </w:p>
        </w:tc>
        <w:tc>
          <w:tcPr>
            <w:tcW w:w="976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0,5:1</w:t>
            </w:r>
          </w:p>
        </w:tc>
        <w:tc>
          <w:tcPr>
            <w:tcW w:w="907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33,33%</w:t>
            </w:r>
          </w:p>
        </w:tc>
      </w:tr>
      <w:tr w:rsidR="00E07FDF" w:rsidRPr="00BE3FB1" w:rsidTr="007547A2">
        <w:tc>
          <w:tcPr>
            <w:tcW w:w="1123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Ukupno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147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100,00%</w:t>
            </w:r>
          </w:p>
        </w:tc>
        <w:tc>
          <w:tcPr>
            <w:tcW w:w="84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96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100,00%</w:t>
            </w:r>
          </w:p>
        </w:tc>
        <w:tc>
          <w:tcPr>
            <w:tcW w:w="868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243</w:t>
            </w:r>
          </w:p>
        </w:tc>
        <w:tc>
          <w:tcPr>
            <w:tcW w:w="951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100,00%</w:t>
            </w:r>
          </w:p>
        </w:tc>
        <w:tc>
          <w:tcPr>
            <w:tcW w:w="976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1,53:1</w:t>
            </w:r>
          </w:p>
        </w:tc>
        <w:tc>
          <w:tcPr>
            <w:tcW w:w="907" w:type="dxa"/>
          </w:tcPr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60,49%</w:t>
            </w:r>
          </w:p>
        </w:tc>
      </w:tr>
    </w:tbl>
    <w:p w:rsidR="00E07FDF" w:rsidRDefault="00E07FDF" w:rsidP="00E07FDF">
      <w:pPr>
        <w:spacing w:line="480" w:lineRule="auto"/>
      </w:pPr>
    </w:p>
    <w:p w:rsidR="00E07FDF" w:rsidRPr="00BE3FB1" w:rsidRDefault="00E07FDF" w:rsidP="00BE3FB1">
      <w:pPr>
        <w:pStyle w:val="BodyText"/>
        <w:spacing w:line="480" w:lineRule="auto"/>
        <w:jc w:val="both"/>
        <w:rPr>
          <w:sz w:val="24"/>
          <w:szCs w:val="24"/>
        </w:rPr>
      </w:pPr>
    </w:p>
    <w:p w:rsidR="001462A1" w:rsidRPr="00BE3FB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t xml:space="preserve">Iz </w:t>
      </w:r>
      <w:r>
        <w:rPr>
          <w:sz w:val="24"/>
          <w:szCs w:val="24"/>
        </w:rPr>
        <w:t>T</w:t>
      </w:r>
      <w:r w:rsidRPr="00BE3FB1">
        <w:rPr>
          <w:sz w:val="24"/>
          <w:szCs w:val="24"/>
        </w:rPr>
        <w:t xml:space="preserve">ablice 2. vidi se da je najčešća dijagnoza u pacijenata u kojih je provedena ortodontsko - kirurška terapija bila kompresija čeljusti.  Uz ortodontsku terapiju u tih su pacijenata bila izvedena vađenja ili alveotomije retiniranih ili impaktiranih zuba, ili njihovih zametaka - germektomije. Od ukupnoga broja od 243 pacijenata taj dio obuhvaća 158 pacijenata ili 65%. Osim tih dijagnoza, alveotomije su izvedene i u slučajevima mandibularnoga prognatizma,  otvorenoga zagriza i drugih čeljusnih deformacija, kako je to u tablici vidljivo.       </w:t>
      </w:r>
    </w:p>
    <w:p w:rsidR="001462A1" w:rsidRPr="00BE3FB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t>Upada u oči zasebno navođenje retiniranih i impaktiranih zuba. U najvećem dijelu to su bili pacijenti koji su došli na liječenje zbog retencije gornjih ili donjih očnjaka pa su pod tom dijagnozom i uvedeni u protokol, iako je i u tim slučajevima bila riječ o drugim čeljusnim deformacijama.</w:t>
      </w:r>
    </w:p>
    <w:p w:rsidR="00E07FDF" w:rsidRPr="00460E90" w:rsidRDefault="00E07FDF" w:rsidP="00E07FDF">
      <w:pPr>
        <w:pStyle w:val="BodyText"/>
        <w:pBdr>
          <w:bottom w:val="single" w:sz="12" w:space="1" w:color="auto"/>
        </w:pBdr>
        <w:spacing w:line="480" w:lineRule="auto"/>
        <w:jc w:val="both"/>
        <w:rPr>
          <w:b/>
          <w:sz w:val="24"/>
          <w:szCs w:val="24"/>
        </w:rPr>
      </w:pPr>
      <w:r w:rsidRPr="00460E90">
        <w:rPr>
          <w:b/>
          <w:sz w:val="24"/>
          <w:szCs w:val="24"/>
        </w:rPr>
        <w:lastRenderedPageBreak/>
        <w:t>Tablica 2.  Raspodjela uzorka prema kliničkim dijagnozama</w:t>
      </w:r>
    </w:p>
    <w:p w:rsidR="00E07FDF" w:rsidRPr="00BE3FB1" w:rsidRDefault="00E07FDF" w:rsidP="00E07FDF">
      <w:pPr>
        <w:pStyle w:val="BodyText"/>
        <w:pBdr>
          <w:bottom w:val="single" w:sz="12" w:space="1" w:color="auto"/>
        </w:pBdr>
        <w:spacing w:line="48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1E0"/>
      </w:tblPr>
      <w:tblGrid>
        <w:gridCol w:w="1582"/>
        <w:gridCol w:w="791"/>
        <w:gridCol w:w="887"/>
        <w:gridCol w:w="745"/>
        <w:gridCol w:w="887"/>
        <w:gridCol w:w="1043"/>
        <w:gridCol w:w="842"/>
        <w:gridCol w:w="956"/>
      </w:tblGrid>
      <w:tr w:rsidR="00E07FDF" w:rsidRPr="00BE3FB1" w:rsidTr="007547A2">
        <w:trPr>
          <w:trHeight w:val="1070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Klinička 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Dijagnoza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Ž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%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M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Ukupno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Odnos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Ž  :  M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u %</w:t>
            </w:r>
          </w:p>
        </w:tc>
      </w:tr>
      <w:tr w:rsidR="00E07FDF" w:rsidRPr="00BE3FB1" w:rsidTr="007547A2">
        <w:trPr>
          <w:trHeight w:val="707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Kompresija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100  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63,3%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58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36,7%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158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65%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63,3%</w:t>
            </w:r>
          </w:p>
        </w:tc>
      </w:tr>
      <w:tr w:rsidR="00E07FDF" w:rsidRPr="00BE3FB1" w:rsidTr="007547A2">
        <w:trPr>
          <w:trHeight w:val="1052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Impaktirani i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retinirani zubi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19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48,7%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51,3%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39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16%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48,7%</w:t>
            </w:r>
          </w:p>
        </w:tc>
      </w:tr>
      <w:tr w:rsidR="00E07FDF" w:rsidRPr="00BE3FB1" w:rsidTr="007547A2">
        <w:trPr>
          <w:trHeight w:val="1070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Prekobrojni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zubi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6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46,2% 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7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53,8%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13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5.3%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46,15%</w:t>
            </w:r>
          </w:p>
        </w:tc>
      </w:tr>
      <w:tr w:rsidR="00E07FDF" w:rsidRPr="00BE3FB1" w:rsidTr="007547A2">
        <w:trPr>
          <w:trHeight w:val="1070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Progenija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63,2%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7         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36,8%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19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8%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63,15%</w:t>
            </w:r>
          </w:p>
        </w:tc>
      </w:tr>
      <w:tr w:rsidR="00E07FDF" w:rsidRPr="00BE3FB1" w:rsidTr="007547A2">
        <w:trPr>
          <w:trHeight w:val="1052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Mandibularni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retrognatizam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50%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3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50%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6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2,4%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50,0%</w:t>
            </w:r>
          </w:p>
        </w:tc>
      </w:tr>
      <w:tr w:rsidR="00E07FDF" w:rsidRPr="00BE3FB1" w:rsidTr="007547A2">
        <w:trPr>
          <w:trHeight w:val="1070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Maksilarni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prognatizam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1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0,4%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100%</w:t>
            </w:r>
          </w:p>
        </w:tc>
      </w:tr>
      <w:tr w:rsidR="00E07FDF" w:rsidRPr="00BE3FB1" w:rsidTr="007547A2">
        <w:trPr>
          <w:trHeight w:val="1052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Maksilarni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retrognatizam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0,4%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0,0%</w:t>
            </w:r>
          </w:p>
        </w:tc>
      </w:tr>
      <w:tr w:rsidR="00E07FDF" w:rsidRPr="00BE3FB1" w:rsidTr="007547A2">
        <w:trPr>
          <w:trHeight w:val="1070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Otvoreni zagriz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66,7%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33,3%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1,2%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66,6%</w:t>
            </w:r>
          </w:p>
        </w:tc>
      </w:tr>
      <w:tr w:rsidR="00E07FDF" w:rsidRPr="00BE3FB1" w:rsidTr="007547A2">
        <w:trPr>
          <w:trHeight w:val="707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Hipodoncija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66,7%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</w:t>
            </w: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33,3%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1,2%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66,6%</w:t>
            </w:r>
          </w:p>
        </w:tc>
      </w:tr>
      <w:tr w:rsidR="00E07FDF" w:rsidRPr="00BE3FB1" w:rsidTr="007547A2">
        <w:trPr>
          <w:trHeight w:val="707"/>
        </w:trPr>
        <w:tc>
          <w:tcPr>
            <w:tcW w:w="158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Ukupno</w:t>
            </w:r>
          </w:p>
        </w:tc>
        <w:tc>
          <w:tcPr>
            <w:tcW w:w="791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145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59,7%</w:t>
            </w:r>
          </w:p>
        </w:tc>
        <w:tc>
          <w:tcPr>
            <w:tcW w:w="745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98</w:t>
            </w:r>
          </w:p>
        </w:tc>
        <w:tc>
          <w:tcPr>
            <w:tcW w:w="88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40,3%</w:t>
            </w:r>
          </w:p>
        </w:tc>
        <w:tc>
          <w:tcPr>
            <w:tcW w:w="1043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243</w:t>
            </w:r>
          </w:p>
        </w:tc>
        <w:tc>
          <w:tcPr>
            <w:tcW w:w="842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100,%</w:t>
            </w:r>
          </w:p>
        </w:tc>
        <w:tc>
          <w:tcPr>
            <w:tcW w:w="917" w:type="dxa"/>
          </w:tcPr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</w:p>
          <w:p w:rsidR="00E07FDF" w:rsidRPr="00BE3FB1" w:rsidRDefault="00E07FDF" w:rsidP="007547A2">
            <w:pPr>
              <w:pStyle w:val="BodyText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59,7%</w:t>
            </w:r>
          </w:p>
        </w:tc>
      </w:tr>
    </w:tbl>
    <w:p w:rsidR="00E07FDF" w:rsidRDefault="00E07FDF" w:rsidP="00E07FDF">
      <w:pPr>
        <w:spacing w:line="480" w:lineRule="auto"/>
      </w:pPr>
    </w:p>
    <w:p w:rsidR="00E07FDF" w:rsidRPr="00BE3FB1" w:rsidRDefault="00E07FDF" w:rsidP="00BE3FB1">
      <w:pPr>
        <w:pStyle w:val="BodyText"/>
        <w:spacing w:line="480" w:lineRule="auto"/>
        <w:jc w:val="both"/>
        <w:rPr>
          <w:sz w:val="24"/>
          <w:szCs w:val="24"/>
        </w:rPr>
      </w:pPr>
    </w:p>
    <w:p w:rsidR="001462A1" w:rsidRPr="00BE3FB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lastRenderedPageBreak/>
        <w:t>Prekobrojnih zuba bilo je u uzorku ukupno 13 ili  5,3%. U tome uzorku bilo je 5 meziodensa, a ostalo su bili prekobrojni sjekutići ili pretkutnjaci.</w:t>
      </w:r>
    </w:p>
    <w:p w:rsidR="001462A1" w:rsidRPr="00BE3FB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t>Pacijenti koji zbog progenije dolaze na kirurški zahvat osteotomije donje čeljusti često prethodno moraju odstraniti donje umnjake, što je vidljivo i iz tablice gdje se nalazi 19 progenija ili 8% ukupne množine pacijenata.</w:t>
      </w:r>
    </w:p>
    <w:p w:rsidR="001462A1" w:rsidRPr="00BE3FB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t xml:space="preserve">To ne znači da nije bilo pacijenata s progenijom koji su kirurški liječeni bez prethodnih alveotomija donjih umnjaka. </w:t>
      </w:r>
    </w:p>
    <w:p w:rsidR="001462A1" w:rsidRPr="00BE3FB1" w:rsidRDefault="001462A1" w:rsidP="001462A1">
      <w:pPr>
        <w:rPr>
          <w:lang w:val="hr-HR"/>
        </w:rPr>
      </w:pPr>
    </w:p>
    <w:p w:rsidR="001462A1" w:rsidRPr="00460E90" w:rsidRDefault="001462A1" w:rsidP="001462A1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460E90">
        <w:rPr>
          <w:b/>
          <w:sz w:val="24"/>
          <w:szCs w:val="24"/>
        </w:rPr>
        <w:t>Tablica 3.  Raspodjela uzorka prema izvršenim kirurškim zahvatima</w:t>
      </w:r>
    </w:p>
    <w:p w:rsidR="001462A1" w:rsidRPr="00BE3FB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-72" w:type="dxa"/>
        <w:tblLook w:val="01E0"/>
      </w:tblPr>
      <w:tblGrid>
        <w:gridCol w:w="1568"/>
        <w:gridCol w:w="1457"/>
        <w:gridCol w:w="1649"/>
        <w:gridCol w:w="1649"/>
        <w:gridCol w:w="1777"/>
      </w:tblGrid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Zubi 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Alveotomije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Kortikotomije 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Kortikotomije s</w:t>
            </w:r>
          </w:p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izvlačenjem</w:t>
            </w: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Autotransplan-tacija</w:t>
            </w: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 x 8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11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2</w:t>
            </w: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2 x 8                         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27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 x 8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13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 x 8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104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8 + 7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 gore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9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12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24</w:t>
            </w: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3 dolje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  6</w:t>
            </w: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4, 5 gore i dolje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39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  9</w:t>
            </w: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Prekobrojni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13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1</w:t>
            </w: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Sjekutići gore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11</w:t>
            </w: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     1</w:t>
            </w:r>
          </w:p>
        </w:tc>
      </w:tr>
      <w:tr w:rsidR="001462A1" w:rsidRPr="00BE3FB1" w:rsidTr="007547A2">
        <w:tc>
          <w:tcPr>
            <w:tcW w:w="1568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>Ostalo</w:t>
            </w:r>
          </w:p>
        </w:tc>
        <w:tc>
          <w:tcPr>
            <w:tcW w:w="145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  <w:r w:rsidRPr="00BE3FB1">
              <w:rPr>
                <w:sz w:val="24"/>
                <w:szCs w:val="24"/>
              </w:rPr>
              <w:t xml:space="preserve">  16</w:t>
            </w: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77" w:type="dxa"/>
          </w:tcPr>
          <w:p w:rsidR="001462A1" w:rsidRPr="00BE3FB1" w:rsidRDefault="001462A1" w:rsidP="007547A2">
            <w:pPr>
              <w:pStyle w:val="BodyText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1462A1" w:rsidRPr="00BE3FB1" w:rsidRDefault="001462A1" w:rsidP="001462A1">
      <w:pPr>
        <w:pStyle w:val="BodyText"/>
        <w:spacing w:line="360" w:lineRule="auto"/>
        <w:jc w:val="both"/>
        <w:rPr>
          <w:sz w:val="24"/>
          <w:szCs w:val="24"/>
        </w:rPr>
      </w:pPr>
    </w:p>
    <w:p w:rsidR="001462A1" w:rsidRDefault="001462A1" w:rsidP="00BE3FB1">
      <w:pPr>
        <w:pStyle w:val="BodyText"/>
        <w:spacing w:line="480" w:lineRule="auto"/>
        <w:jc w:val="both"/>
        <w:rPr>
          <w:sz w:val="24"/>
          <w:szCs w:val="24"/>
        </w:rPr>
      </w:pPr>
    </w:p>
    <w:p w:rsidR="001462A1" w:rsidRPr="00BE3FB1" w:rsidRDefault="001462A1" w:rsidP="001462A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lastRenderedPageBreak/>
        <w:t>Navođenje hipodoncije u tablici znači da i ti pacijenti imaju istodobno retinirane ili impaktirane zube koje treba kirurški odstraniti. Vidljiv je odnos pojavnosti pojedinih dijagnoza u ženske ili muške populacije.</w:t>
      </w:r>
    </w:p>
    <w:p w:rsidR="00BE3FB1" w:rsidRPr="00BE3FB1" w:rsidRDefault="00BE3FB1" w:rsidP="00BE3FB1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t xml:space="preserve">Osim navedenih zahvata, u </w:t>
      </w:r>
      <w:r w:rsidR="00157FB8">
        <w:rPr>
          <w:sz w:val="24"/>
          <w:szCs w:val="24"/>
        </w:rPr>
        <w:t>T</w:t>
      </w:r>
      <w:r w:rsidRPr="00BE3FB1">
        <w:rPr>
          <w:sz w:val="24"/>
          <w:szCs w:val="24"/>
        </w:rPr>
        <w:t xml:space="preserve">ablici 3. treba navesti i dva odstranjena odontoma u gornjoj čeljusti povezana s impaktiranim očnjakom i sjekutićem te dvije operacije cista u donjoj čeljusti. Što se tiče ortodontskih postupaka, u 51 slučaju proveden je postupak s mobilnim napravama, u  192 slučaja s fiksnim ortodontskim napravama, a u 12 slučajeva terapija je bila kombinirana. Od složenijih kirurških zahvata u raščlanjenom uzorku izvedene su 4 bimaksilarne osteotomije čeljusti, 10 monomaksilarnih osteotomija u donjoj čeljusti i  2 u gornjoj čeljusti.  </w:t>
      </w:r>
    </w:p>
    <w:p w:rsidR="00B238FC" w:rsidRDefault="00B238FC" w:rsidP="00B238FC">
      <w:pPr>
        <w:pStyle w:val="BodyText"/>
        <w:spacing w:line="480" w:lineRule="auto"/>
        <w:jc w:val="both"/>
        <w:rPr>
          <w:sz w:val="24"/>
          <w:szCs w:val="24"/>
        </w:rPr>
      </w:pPr>
    </w:p>
    <w:p w:rsidR="00B238FC" w:rsidRPr="001347BB" w:rsidRDefault="00B238FC" w:rsidP="00B238FC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1347BB">
        <w:rPr>
          <w:b/>
          <w:sz w:val="24"/>
          <w:szCs w:val="24"/>
        </w:rPr>
        <w:t>Rasprava</w:t>
      </w:r>
    </w:p>
    <w:p w:rsidR="00B238FC" w:rsidRPr="00B238FC" w:rsidRDefault="00B238FC" w:rsidP="00B238FC">
      <w:pPr>
        <w:pStyle w:val="BodyText"/>
        <w:spacing w:line="480" w:lineRule="auto"/>
        <w:jc w:val="both"/>
        <w:rPr>
          <w:sz w:val="24"/>
          <w:szCs w:val="24"/>
        </w:rPr>
      </w:pPr>
      <w:r w:rsidRPr="00B238FC">
        <w:rPr>
          <w:sz w:val="24"/>
          <w:szCs w:val="24"/>
        </w:rPr>
        <w:t xml:space="preserve">      Temeljem dobivenih rezultata može se postaviti pitanje je li uzorak dovoljno reprezentativan za procjenu tih rezultata. Nakon uvida u ukupnu obrađenu građu čini se da rezultati i s većim uzorkom ne bi bili znatno drugačiji. Količina najčešćih zahvata u svakoj je pregledanoj godini bila približno jednaka, pa bi se slični rezultati dobili ako bi uzorak bio obrađen i u razdoblju dužem od 11 godina. Neke su činjenice ipak vidljive. Može se sa sigurnošću reći da se svi zahvati iz područja oralne kirurgije i ortodoncije koji se spominju u literaturi nalaze i u raščlanjenom uzorku.  Vađenje mliječnih zuba</w:t>
      </w:r>
      <w:r w:rsidR="00DB21D6">
        <w:rPr>
          <w:sz w:val="24"/>
          <w:szCs w:val="24"/>
        </w:rPr>
        <w:t xml:space="preserve"> (slike 4. i 5.)</w:t>
      </w:r>
      <w:r w:rsidRPr="00B238FC">
        <w:rPr>
          <w:sz w:val="24"/>
          <w:szCs w:val="24"/>
        </w:rPr>
        <w:t xml:space="preserve">, vađenje ili alveotomija trajnih zuba koji ne dopuštaju smještaj drugih zuba u zubni niz, kortikotomija s fenestracijom sluznice  ili bez nje i spontano nicanje, kortikotomija s postavom žičanih omči ili bravica za izvlačenje zuba,  izvlačenje zuba trakcijom preko mini usatka, autotransplantacija zuba na mjesto gdje bi trebao biti u zubnome nizu ili na drugo mjesto u istom ili suprotnom zubnom luku, i konačno alveotomije retiniranih ili impaktiranih zuba koje nije moguće ortodontskim ili kirurškim postupcima smjestiti u zubni niz. Sve su to zahvati koji se spominju u suvremenoj literaturi i koji </w:t>
      </w:r>
      <w:r w:rsidRPr="00B238FC">
        <w:rPr>
          <w:sz w:val="24"/>
          <w:szCs w:val="24"/>
        </w:rPr>
        <w:lastRenderedPageBreak/>
        <w:t>su zabilježeni u pregledanom uzorku.  Uspješna autotransplantacija prekobrojnog zuba  u suprotnu čeljust ili na mjesto estetski neprikladnog zuba spominje se u literaturi</w:t>
      </w:r>
      <w:r w:rsidR="001347BB">
        <w:rPr>
          <w:sz w:val="24"/>
          <w:szCs w:val="24"/>
        </w:rPr>
        <w:t xml:space="preserve"> (11,12)</w:t>
      </w:r>
      <w:r w:rsidRPr="00B238FC">
        <w:rPr>
          <w:sz w:val="24"/>
          <w:szCs w:val="24"/>
        </w:rPr>
        <w:t xml:space="preserve"> i zabilježena je u uzorku, transplantacija zubnoga zametka umnjaka  u alveolu izvađenoga kutnjaka također je izvedena u dva slučaja</w:t>
      </w:r>
      <w:r w:rsidR="00374AAE">
        <w:rPr>
          <w:sz w:val="24"/>
          <w:szCs w:val="24"/>
        </w:rPr>
        <w:t xml:space="preserve"> ( slike  6. 7. 8. i  9.)</w:t>
      </w:r>
      <w:r w:rsidRPr="00B238FC">
        <w:rPr>
          <w:sz w:val="24"/>
          <w:szCs w:val="24"/>
        </w:rPr>
        <w:t>. Izvedena je također i autotransplantacija retiniranoga sjekutića u novostvorenu alveolu na onome  mjestu na kojem bi on trebao biti. No četiri zabilježena slučaja autotransplantacije zuba u usporedbi sa serijama koje se nalaze u literaturi</w:t>
      </w:r>
      <w:r w:rsidR="001347BB">
        <w:rPr>
          <w:sz w:val="24"/>
          <w:szCs w:val="24"/>
        </w:rPr>
        <w:t xml:space="preserve"> (15,18)</w:t>
      </w:r>
      <w:r w:rsidRPr="00B238FC">
        <w:rPr>
          <w:sz w:val="24"/>
          <w:szCs w:val="24"/>
        </w:rPr>
        <w:t xml:space="preserve">  potvrđuju pretpostavke da se takve mogućnosti ne iskorištavaju dovoljno. Čini se da bi s obzirom na raznovrsnost patologije s kojom se ortodont i oralni kirurg susreću u ambulanti množina takvih zahvata mogla biti veća. To potvrđuje i činjenica da je među izvršenim zahvatima bilo ukupno 155 alveotomija umnjaka i 39 odstranjenih gornjih ili donjih pretkutnjaka, što je velik uzorak i može se postaviti pitanje jesu li možda postojale mogućnosti za transplantaciju u određenim prigodama koje su iz razloga bržeg i jednostavnijeg postupka propuštene. Veće serije takvih primjera u suvremenoj literaturi</w:t>
      </w:r>
      <w:r w:rsidR="001347BB">
        <w:rPr>
          <w:sz w:val="24"/>
          <w:szCs w:val="24"/>
        </w:rPr>
        <w:t xml:space="preserve"> (15,17,18)</w:t>
      </w:r>
      <w:r w:rsidRPr="00B238FC">
        <w:rPr>
          <w:sz w:val="24"/>
          <w:szCs w:val="24"/>
        </w:rPr>
        <w:t xml:space="preserve"> potvrđuju opravdanost takvih pitanja. Suvremena stomatologija i oralna kirurgija u posljednjih se petnaestak godina sve više služe uporabom </w:t>
      </w:r>
      <w:r w:rsidR="00E51598">
        <w:rPr>
          <w:sz w:val="24"/>
          <w:szCs w:val="24"/>
        </w:rPr>
        <w:t xml:space="preserve">aloplastičnih </w:t>
      </w:r>
      <w:r w:rsidRPr="00B238FC">
        <w:rPr>
          <w:sz w:val="24"/>
          <w:szCs w:val="24"/>
        </w:rPr>
        <w:t>zubnih usadaka pa je ponekad jednostavniije odstraniti retinirane ili impaktirane zube i njihov manjak poslije nadomjestiti usadcima</w:t>
      </w:r>
      <w:r w:rsidR="00E51598">
        <w:rPr>
          <w:sz w:val="24"/>
          <w:szCs w:val="24"/>
        </w:rPr>
        <w:t xml:space="preserve"> od stranog materijala</w:t>
      </w:r>
      <w:r w:rsidRPr="00B238FC">
        <w:rPr>
          <w:sz w:val="24"/>
          <w:szCs w:val="24"/>
        </w:rPr>
        <w:t>. U svim tim  činjenicama leže djelomice i odgovori na postavljena pitanja u uvodnome dijelu ovoga rada. Mora se međutim istaknuti i činjenica da je uzorak pokazao kakve su sve mogućnosti suvremene ortodoncije i oralne kirurgije u svakodnevnoj primjeni i da se mnogi slučajevi izrazito nepovoljnih odnosa retiniranih i impaktiranih zuba za pacijenta rješavaju uspješno</w:t>
      </w:r>
      <w:r w:rsidR="001347BB">
        <w:rPr>
          <w:sz w:val="24"/>
          <w:szCs w:val="24"/>
        </w:rPr>
        <w:t xml:space="preserve"> (24)</w:t>
      </w:r>
      <w:r w:rsidRPr="00B238FC">
        <w:rPr>
          <w:sz w:val="24"/>
          <w:szCs w:val="24"/>
        </w:rPr>
        <w:t xml:space="preserve">. </w:t>
      </w:r>
    </w:p>
    <w:p w:rsidR="00802901" w:rsidRDefault="00802901" w:rsidP="00D26D4A">
      <w:pPr>
        <w:pStyle w:val="BodyText"/>
        <w:spacing w:line="480" w:lineRule="auto"/>
        <w:jc w:val="both"/>
        <w:rPr>
          <w:sz w:val="24"/>
          <w:szCs w:val="24"/>
        </w:rPr>
      </w:pPr>
    </w:p>
    <w:p w:rsidR="00D26D4A" w:rsidRPr="00E07FDF" w:rsidRDefault="00D26D4A" w:rsidP="00D26D4A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E07FDF">
        <w:rPr>
          <w:b/>
          <w:sz w:val="24"/>
          <w:szCs w:val="24"/>
        </w:rPr>
        <w:t>Zaključak</w:t>
      </w:r>
    </w:p>
    <w:p w:rsidR="00D26D4A" w:rsidRPr="00BE3FB1" w:rsidRDefault="00D26D4A" w:rsidP="00D26D4A">
      <w:pPr>
        <w:pStyle w:val="BodyText"/>
        <w:spacing w:line="480" w:lineRule="auto"/>
        <w:jc w:val="both"/>
        <w:rPr>
          <w:sz w:val="24"/>
          <w:szCs w:val="24"/>
        </w:rPr>
      </w:pPr>
      <w:r w:rsidRPr="00BE3FB1">
        <w:rPr>
          <w:sz w:val="24"/>
          <w:szCs w:val="24"/>
        </w:rPr>
        <w:lastRenderedPageBreak/>
        <w:t xml:space="preserve">      Provedeno istraživanje pokazalo je da se u specijalističkoj oralnokirurškoj  i ortodontskoj ambulanti u kojima postoji timska djelatnost ortodonta i oralnog kirurga izvode svi oralnokirurški  zahvati poznati iz suvremene svjetske literature. Također treba reći da se provode svi poznati ortodontski postupci kako bi se  riješio problem retiniranih i impaktiranih zuba, bilo kao samostalnih problema u čeljustima, bilo kao detalja u liječenju složenijih anomalija čeljusti. Autotransplantacije zuba provode se povremeno i prema množini izvedenih zahvata njihova primjena nije u skladu s navodima iz suvremene literature. Jesu li za takvo stanje odgovorni liječnici, jer izabiru jednostavnije i brže kirurške postupke, ili je za stanje važna i odluka pacijenata koji ponekad ne pristaju na predloženi složeniji kirurški zahvat ili su za stanje odgovorni neki drugi čimbenici,  iz raščlanjenog uzorka nije se moglo zaključiti. </w:t>
      </w:r>
    </w:p>
    <w:p w:rsidR="00D26D4A" w:rsidRPr="00BE3FB1" w:rsidRDefault="00D26D4A" w:rsidP="00D26D4A">
      <w:pPr>
        <w:pStyle w:val="BodyText"/>
        <w:spacing w:line="480" w:lineRule="auto"/>
        <w:jc w:val="both"/>
        <w:rPr>
          <w:sz w:val="24"/>
          <w:szCs w:val="24"/>
        </w:rPr>
      </w:pPr>
    </w:p>
    <w:p w:rsidR="007E1BC4" w:rsidRPr="00E07FDF" w:rsidRDefault="007E1BC4" w:rsidP="007E1BC4">
      <w:pPr>
        <w:pStyle w:val="BodyText"/>
        <w:spacing w:line="480" w:lineRule="auto"/>
        <w:jc w:val="both"/>
        <w:rPr>
          <w:b/>
          <w:sz w:val="24"/>
          <w:szCs w:val="24"/>
        </w:rPr>
      </w:pPr>
      <w:r w:rsidRPr="00E07FDF">
        <w:rPr>
          <w:b/>
          <w:sz w:val="24"/>
          <w:szCs w:val="24"/>
        </w:rPr>
        <w:t>Literatura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color w:val="000000"/>
          <w:sz w:val="24"/>
          <w:szCs w:val="24"/>
        </w:rPr>
      </w:pPr>
      <w:r w:rsidRPr="007E1BC4">
        <w:rPr>
          <w:color w:val="000000"/>
          <w:sz w:val="24"/>
          <w:szCs w:val="24"/>
        </w:rPr>
        <w:t>Miše I. Oralna kirurgija. Zagreb: JUMENA</w:t>
      </w:r>
      <w:r w:rsidR="00FD51B9">
        <w:rPr>
          <w:color w:val="000000"/>
          <w:sz w:val="24"/>
          <w:szCs w:val="24"/>
        </w:rPr>
        <w:t>;</w:t>
      </w:r>
      <w:r w:rsidRPr="007E1BC4">
        <w:rPr>
          <w:color w:val="000000"/>
          <w:sz w:val="24"/>
          <w:szCs w:val="24"/>
        </w:rPr>
        <w:t xml:space="preserve"> 1978.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color w:val="000000"/>
          <w:sz w:val="24"/>
          <w:szCs w:val="24"/>
        </w:rPr>
      </w:pPr>
      <w:r w:rsidRPr="007E1BC4">
        <w:rPr>
          <w:color w:val="000000"/>
          <w:sz w:val="24"/>
          <w:szCs w:val="24"/>
        </w:rPr>
        <w:t xml:space="preserve">Hupp JR, Ellis E, Tucker MR, Contemporary oral and maxillofacial Surgery,  </w:t>
      </w:r>
      <w:r w:rsidR="00FD51B9">
        <w:rPr>
          <w:color w:val="000000"/>
          <w:sz w:val="24"/>
          <w:szCs w:val="24"/>
        </w:rPr>
        <w:t>5</w:t>
      </w:r>
      <w:r w:rsidRPr="007E1BC4">
        <w:rPr>
          <w:color w:val="000000"/>
          <w:sz w:val="24"/>
          <w:szCs w:val="24"/>
        </w:rPr>
        <w:t>th ed. St Louis: Mosby  Elsevier</w:t>
      </w:r>
      <w:r w:rsidR="00FD51B9">
        <w:rPr>
          <w:color w:val="000000"/>
          <w:sz w:val="24"/>
          <w:szCs w:val="24"/>
        </w:rPr>
        <w:t>;</w:t>
      </w:r>
      <w:r w:rsidRPr="007E1BC4">
        <w:rPr>
          <w:color w:val="000000"/>
          <w:sz w:val="24"/>
          <w:szCs w:val="24"/>
        </w:rPr>
        <w:t xml:space="preserve"> 2008.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color w:val="000000"/>
          <w:sz w:val="24"/>
          <w:szCs w:val="24"/>
        </w:rPr>
      </w:pPr>
      <w:r w:rsidRPr="007E1BC4">
        <w:rPr>
          <w:color w:val="000000"/>
          <w:sz w:val="24"/>
          <w:szCs w:val="24"/>
        </w:rPr>
        <w:t>Andreasen JO, Petersen JK, Laskin DM. Textbook and color atlas of tooth impaction. Copenhagen: Munksgaard</w:t>
      </w:r>
      <w:r w:rsidR="00FD51B9">
        <w:rPr>
          <w:color w:val="000000"/>
          <w:sz w:val="24"/>
          <w:szCs w:val="24"/>
        </w:rPr>
        <w:t>;</w:t>
      </w:r>
      <w:r w:rsidRPr="007E1BC4">
        <w:rPr>
          <w:color w:val="000000"/>
          <w:sz w:val="24"/>
          <w:szCs w:val="24"/>
        </w:rPr>
        <w:t xml:space="preserve"> 1997.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color w:val="000000"/>
          <w:sz w:val="24"/>
          <w:szCs w:val="24"/>
        </w:rPr>
      </w:pPr>
      <w:r w:rsidRPr="007E1BC4">
        <w:rPr>
          <w:color w:val="000000"/>
          <w:sz w:val="24"/>
          <w:szCs w:val="24"/>
        </w:rPr>
        <w:t>Killey HD, Kay LW. The impacted wisdom tooth. Edinburgh, London, New York: Churchill Livingstone</w:t>
      </w:r>
      <w:r w:rsidR="00FD51B9">
        <w:rPr>
          <w:color w:val="000000"/>
          <w:sz w:val="24"/>
          <w:szCs w:val="24"/>
        </w:rPr>
        <w:t>;</w:t>
      </w:r>
      <w:r w:rsidRPr="007E1BC4">
        <w:rPr>
          <w:color w:val="000000"/>
          <w:sz w:val="24"/>
          <w:szCs w:val="24"/>
        </w:rPr>
        <w:t>1975.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color w:val="000000"/>
          <w:sz w:val="24"/>
          <w:szCs w:val="24"/>
        </w:rPr>
      </w:pPr>
      <w:r w:rsidRPr="007E1BC4">
        <w:rPr>
          <w:color w:val="000000"/>
          <w:sz w:val="24"/>
          <w:szCs w:val="24"/>
        </w:rPr>
        <w:t>Reljanović D, Vidaković R, Špalj S, Šlaj M. Problem impaktiranih i retiniranih očnjaka u ortodonciji (2) – ortodontsko–kirurška terapija. Hrvatski stomatološki  vjesnik</w:t>
      </w:r>
      <w:r w:rsidR="00FD51B9">
        <w:rPr>
          <w:color w:val="000000"/>
          <w:sz w:val="24"/>
          <w:szCs w:val="24"/>
        </w:rPr>
        <w:t>.</w:t>
      </w:r>
      <w:r w:rsidRPr="007E1BC4">
        <w:rPr>
          <w:color w:val="000000"/>
          <w:sz w:val="24"/>
          <w:szCs w:val="24"/>
        </w:rPr>
        <w:t xml:space="preserve"> 2009;16:5-6:10-3.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color w:val="000000"/>
          <w:sz w:val="24"/>
          <w:szCs w:val="24"/>
        </w:rPr>
      </w:pPr>
      <w:r w:rsidRPr="007E1BC4">
        <w:rPr>
          <w:sz w:val="24"/>
          <w:szCs w:val="24"/>
        </w:rPr>
        <w:t>Knežević G. Jokić D, Kotarac Knežević A. Kirurško-ortodontsko liječenje razvojnih odontogenih cista čeljusti. Acta Stomatol Croat</w:t>
      </w:r>
      <w:r w:rsidR="00FD51B9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2005; 39</w:t>
      </w:r>
      <w:r w:rsidR="008810FB">
        <w:rPr>
          <w:sz w:val="24"/>
          <w:szCs w:val="24"/>
        </w:rPr>
        <w:t>(1)</w:t>
      </w:r>
      <w:r w:rsidRPr="007E1BC4">
        <w:rPr>
          <w:sz w:val="24"/>
          <w:szCs w:val="24"/>
        </w:rPr>
        <w:t>:113-9.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tabs>
          <w:tab w:val="clear" w:pos="720"/>
          <w:tab w:val="num" w:pos="786"/>
        </w:tabs>
        <w:spacing w:line="480" w:lineRule="auto"/>
        <w:ind w:left="786"/>
        <w:rPr>
          <w:sz w:val="24"/>
          <w:szCs w:val="24"/>
        </w:rPr>
      </w:pPr>
      <w:r w:rsidRPr="007E1BC4">
        <w:rPr>
          <w:sz w:val="24"/>
          <w:szCs w:val="24"/>
        </w:rPr>
        <w:lastRenderedPageBreak/>
        <w:t>Škrinjarić I, Glavina D, Majstorović M. Autotransplantacija premolara na mjesto gornjih središnjih sjekutića: Studija kliničkog i radiografskog praćenja. Acta  Stomatol Croat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2003; 37(3): 375-6.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tabs>
          <w:tab w:val="clear" w:pos="720"/>
          <w:tab w:val="num" w:pos="786"/>
        </w:tabs>
        <w:spacing w:line="480" w:lineRule="auto"/>
        <w:ind w:left="786"/>
        <w:rPr>
          <w:sz w:val="24"/>
          <w:szCs w:val="24"/>
        </w:rPr>
      </w:pPr>
      <w:r w:rsidRPr="007E1BC4">
        <w:rPr>
          <w:sz w:val="24"/>
          <w:szCs w:val="24"/>
        </w:rPr>
        <w:t>Škrinjarić I, Glavina D. Autotransplantacija premolara na mjesto srednjih maksilarnih sjekutića: ocjena nakon 10 godina praćenja, Acta Stomatol Croat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2005; 39(4): 399-408.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Siber S, Macan D, Zajc I, Brajdić D, Brakus I. Autotransplantacija ili implantacija, Sažetci 3. međunarodnog kongresa Hrvatskoga društva za dentalnu implantologiju Hrvatskoga liječničkog zbora, Zadar 22.-24. 10. 2009. Acta Stomatol Croat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2009; 43(4): 342.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  <w:lang w:val="sl-SI"/>
        </w:rPr>
        <w:t>Andreasen JO, Schwartz O, Kofoed T, Daugaard-Jensen J. Transplantation of premolars as an approach for replacing avulsed teeth. Pediatr Dent</w:t>
      </w:r>
      <w:r w:rsidR="008810FB">
        <w:rPr>
          <w:sz w:val="24"/>
          <w:szCs w:val="24"/>
          <w:lang w:val="sl-SI"/>
        </w:rPr>
        <w:t>.</w:t>
      </w:r>
      <w:r w:rsidRPr="007E1BC4">
        <w:rPr>
          <w:sz w:val="24"/>
          <w:szCs w:val="24"/>
          <w:lang w:val="sl-SI"/>
        </w:rPr>
        <w:t xml:space="preserve"> 2009; 31(2):129-32.</w:t>
      </w:r>
    </w:p>
    <w:p w:rsidR="007E1BC4" w:rsidRPr="007E1BC4" w:rsidRDefault="007E1BC4" w:rsidP="007E1BC4">
      <w:pPr>
        <w:pStyle w:val="BodyText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Demir T., Ates U., Cehreli B., Cehreli Z.C. Autotransplantation of a supernumerary incisor as a replacement for a fused tooth: 24-month follow-up. Oral Surg Oral Med Oral Pathol Oral Radiol Endod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2008; 106:e1-e6.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Kallu R., Winckier F., Politis C., Mwalili S., Willems G. Tooth transplantations: a descriptive retrospective study. Int J Oral Maxillofac Surg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2005; 34: 745-55.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Mejàre B., Wannfors K., Jansson L. A prospective study on transplantation of third molars with complete root formation. Oral Surg Oral Med Oral Pathol Oral Radiol Endod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2004; 97: 231-8.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 xml:space="preserve">Tsukiboshi M., Andreasen J.O., Asai L., Bakland L.K., Wilson T.G. Jr. Autotransplantation of teeth. 1st ed. Carol Stream, Illinois: Quintessence Publishing Co Inc; 2001. 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Zimmer B. Wisdom tooth eruption secondary to localised lower molar mesialization in patients with aplastic lower second premolars. J Orofac Orthop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2006; 67:37-47.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lastRenderedPageBreak/>
        <w:t>Jonsson T, Sigurdsson TJ. Autotransplantation of premolars to premolar sites. A long-term follow-up study of 40 consecutive patients, Am J Ortod Dentofac Orthop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2004; 125:668-75.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Slagsvod O, Bjercke B. Indications for autotransplantation in cases of missing premolar. Am J Ortod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1978; 74:241-57.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Tanaka T, Deguchi T, Kageyama T, Kanomi R, Inoue M, Foong KW. Autotransplantation of 28 premolar donor teeth in 24 ortodontic patients. Angle Orthod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2008; 78:12-9.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Jossefson E, Bratstrőm V, Tegsjő U, Valerius-Olsson H. Treatment of lower secodn premolar agenesis by autotransplantation: four-year evaluation of eighty patients. Acta Odont Scand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>1999; 57:111-5.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Tanimoto Y, Miyawaki S, Imai M, Takeda R, Takano-Yamamoto T. Orthodontic treatment of a patient with an impacted maxillary second premolar and odontogenic keratocyst in maxillary sinus. Angle Ortod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2005; 75:1077-83.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Ling KK, Ho CT, Kravchuk O, Olive RJ. Comparison of surgical and non-surgical methods of treating palatally impacted canines. I. Pariodontal and pulpal outcomes. Aus Orthod J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2007; 23:1-7.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Ling KK, Ho CT, Kravchuk O, Olive R</w:t>
      </w:r>
      <w:r w:rsidR="001D4012">
        <w:rPr>
          <w:sz w:val="24"/>
          <w:szCs w:val="24"/>
        </w:rPr>
        <w:t>J</w:t>
      </w:r>
      <w:r w:rsidRPr="007E1BC4">
        <w:rPr>
          <w:sz w:val="24"/>
          <w:szCs w:val="24"/>
        </w:rPr>
        <w:t>. Comparison of surgical and non-surgical methods of treating palatally impacted canines. II. Aesthetic outcames. Aus Ortod J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2007; 23:8-15.</w:t>
      </w:r>
    </w:p>
    <w:p w:rsidR="007E1BC4" w:rsidRP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t>Crescini A, Nieri M, Rotundo R, Baccetti T, Cortellini P, Prato GP. Combined  surgical an orthodontoc approach to reproduce te physiologic eruption pattern in impacted canines: report of 25 patients. In J Periodont Rest Dent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2007; 27:529-37.</w:t>
      </w:r>
    </w:p>
    <w:p w:rsidR="007E1BC4" w:rsidRDefault="007E1BC4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7E1BC4">
        <w:rPr>
          <w:sz w:val="24"/>
          <w:szCs w:val="24"/>
        </w:rPr>
        <w:lastRenderedPageBreak/>
        <w:t>Crescini A, Clauser C, Giorgetti R, Cortellini P, Pini Prato GP. Tunnel traction of infraosseous impacted maxillary canines. A three-year periodontal follow-up. Am J Orthod Dentofac Orthop</w:t>
      </w:r>
      <w:r w:rsidR="008810FB">
        <w:rPr>
          <w:sz w:val="24"/>
          <w:szCs w:val="24"/>
        </w:rPr>
        <w:t>.</w:t>
      </w:r>
      <w:r w:rsidRPr="007E1BC4">
        <w:rPr>
          <w:sz w:val="24"/>
          <w:szCs w:val="24"/>
        </w:rPr>
        <w:t xml:space="preserve"> 1999; 105:61-72.</w:t>
      </w:r>
    </w:p>
    <w:p w:rsidR="00843777" w:rsidRPr="007E1BC4" w:rsidRDefault="00843777" w:rsidP="007E1BC4">
      <w:pPr>
        <w:pStyle w:val="BodyText"/>
        <w:numPr>
          <w:ilvl w:val="0"/>
          <w:numId w:val="3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Knežević D. Raščlamba kirurških postupaka u liječenju retiniranih i impaktiranih zuba u ortodontskih pacijenata.</w:t>
      </w:r>
      <w:r w:rsidR="008810FB">
        <w:rPr>
          <w:sz w:val="24"/>
          <w:szCs w:val="24"/>
        </w:rPr>
        <w:t>(poslijediplomski specijalistički rad). Zagreb:</w:t>
      </w:r>
      <w:r>
        <w:rPr>
          <w:sz w:val="24"/>
          <w:szCs w:val="24"/>
        </w:rPr>
        <w:t xml:space="preserve"> Stomatološki fakultet Sv</w:t>
      </w:r>
      <w:r w:rsidR="008810FB">
        <w:rPr>
          <w:sz w:val="24"/>
          <w:szCs w:val="24"/>
        </w:rPr>
        <w:t>eučilišta u Zagrebu; 2010.</w:t>
      </w:r>
    </w:p>
    <w:p w:rsidR="007E1BC4" w:rsidRPr="007E1BC4" w:rsidRDefault="007E1BC4" w:rsidP="003079B8">
      <w:pPr>
        <w:spacing w:line="480" w:lineRule="auto"/>
      </w:pPr>
    </w:p>
    <w:p w:rsidR="00870917" w:rsidRDefault="00870917" w:rsidP="00870917">
      <w:pPr>
        <w:pStyle w:val="BodyText"/>
        <w:spacing w:line="480" w:lineRule="auto"/>
        <w:jc w:val="both"/>
        <w:rPr>
          <w:sz w:val="24"/>
          <w:szCs w:val="24"/>
        </w:rPr>
      </w:pPr>
    </w:p>
    <w:p w:rsidR="00870917" w:rsidRDefault="00870917" w:rsidP="00870917">
      <w:pPr>
        <w:pStyle w:val="BodyText"/>
        <w:spacing w:line="480" w:lineRule="auto"/>
        <w:jc w:val="both"/>
        <w:rPr>
          <w:sz w:val="24"/>
          <w:szCs w:val="24"/>
        </w:rPr>
      </w:pPr>
    </w:p>
    <w:p w:rsidR="001347BB" w:rsidRDefault="001347BB" w:rsidP="00870917">
      <w:pPr>
        <w:pStyle w:val="BodyText"/>
        <w:spacing w:line="480" w:lineRule="auto"/>
        <w:jc w:val="both"/>
        <w:rPr>
          <w:sz w:val="24"/>
          <w:szCs w:val="24"/>
        </w:rPr>
      </w:pPr>
    </w:p>
    <w:p w:rsidR="001347BB" w:rsidRDefault="001347BB" w:rsidP="00870917">
      <w:pPr>
        <w:pStyle w:val="BodyText"/>
        <w:spacing w:line="480" w:lineRule="auto"/>
        <w:jc w:val="both"/>
        <w:rPr>
          <w:sz w:val="24"/>
          <w:szCs w:val="24"/>
        </w:rPr>
      </w:pPr>
    </w:p>
    <w:p w:rsidR="001347BB" w:rsidRDefault="001347BB" w:rsidP="00870917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460E90" w:rsidRDefault="00460E90" w:rsidP="00A570E8">
      <w:pPr>
        <w:pStyle w:val="BodyText"/>
        <w:spacing w:line="480" w:lineRule="auto"/>
        <w:jc w:val="both"/>
        <w:rPr>
          <w:sz w:val="24"/>
          <w:szCs w:val="24"/>
        </w:rPr>
      </w:pPr>
    </w:p>
    <w:p w:rsidR="003C4FB9" w:rsidRDefault="00460E90" w:rsidP="00AC39AF">
      <w:pPr>
        <w:spacing w:line="480" w:lineRule="auto"/>
        <w:rPr>
          <w:b/>
        </w:rPr>
      </w:pPr>
      <w:r>
        <w:rPr>
          <w:b/>
        </w:rPr>
        <w:lastRenderedPageBreak/>
        <w:t>Slike</w:t>
      </w:r>
    </w:p>
    <w:p w:rsidR="00287A4E" w:rsidRPr="00A0111B" w:rsidRDefault="00287A4E" w:rsidP="00287A4E">
      <w:pPr>
        <w:pStyle w:val="BodyText"/>
        <w:spacing w:line="480" w:lineRule="auto"/>
        <w:jc w:val="both"/>
        <w:rPr>
          <w:sz w:val="24"/>
          <w:szCs w:val="24"/>
        </w:rPr>
      </w:pPr>
      <w:r w:rsidRPr="00A0111B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3829050" cy="2130631"/>
            <wp:effectExtent l="19050" t="0" r="0" b="0"/>
            <wp:docPr id="13" name="Picture 3" descr="PIC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8000"/>
                      <a:grayscl/>
                    </a:blip>
                    <a:srcRect l="9833" t="26520" r="575" b="11073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3830063" cy="2131195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4E" w:rsidRPr="00A0111B" w:rsidRDefault="00287A4E" w:rsidP="00287A4E">
      <w:pPr>
        <w:spacing w:line="480" w:lineRule="auto"/>
        <w:rPr>
          <w:color w:val="000000"/>
          <w:lang w:val="hr-HR"/>
        </w:rPr>
      </w:pPr>
      <w:r w:rsidRPr="00A0111B">
        <w:rPr>
          <w:noProof/>
          <w:color w:val="000000"/>
          <w:lang w:val="en-US" w:eastAsia="en-US"/>
        </w:rPr>
        <w:drawing>
          <wp:inline distT="0" distB="0" distL="0" distR="0">
            <wp:extent cx="3905250" cy="2109883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6000"/>
                      <a:grayscl/>
                    </a:blip>
                    <a:srcRect l="6757" t="8566" r="11996" b="3281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3905250" cy="2109883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FE8" w:rsidRDefault="00650FE8" w:rsidP="00287A4E">
      <w:pPr>
        <w:spacing w:line="480" w:lineRule="auto"/>
        <w:rPr>
          <w:color w:val="000000"/>
          <w:lang w:val="hr-HR"/>
        </w:rPr>
      </w:pPr>
      <w:r w:rsidRPr="00650FE8">
        <w:rPr>
          <w:noProof/>
          <w:color w:val="000000"/>
          <w:lang w:val="en-US" w:eastAsia="en-US"/>
        </w:rPr>
        <w:drawing>
          <wp:inline distT="0" distB="0" distL="0" distR="0">
            <wp:extent cx="3903593" cy="2186572"/>
            <wp:effectExtent l="19050" t="0" r="1657" b="0"/>
            <wp:docPr id="3" name="Picture 2" descr="PIC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000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-12000"/>
                      <a:grayscl/>
                    </a:blip>
                    <a:srcRect t="10428" r="6654" b="24390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3907986" cy="2189033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FE8" w:rsidRPr="00460E90" w:rsidRDefault="00AC39AF" w:rsidP="00287A4E">
      <w:pPr>
        <w:spacing w:line="480" w:lineRule="auto"/>
        <w:rPr>
          <w:i/>
          <w:color w:val="000000"/>
          <w:lang w:val="hr-HR"/>
        </w:rPr>
      </w:pPr>
      <w:r w:rsidRPr="00460E90">
        <w:rPr>
          <w:i/>
          <w:color w:val="000000"/>
          <w:lang w:val="hr-HR"/>
        </w:rPr>
        <w:t>Slike  1., 2. i  3. Prvi primjer prikazuje retenciju svih umnjaka i desnog gornj</w:t>
      </w:r>
      <w:r w:rsidR="00DB21D6" w:rsidRPr="00460E90">
        <w:rPr>
          <w:i/>
          <w:color w:val="000000"/>
          <w:lang w:val="hr-HR"/>
        </w:rPr>
        <w:t>eg očnjaka, drugi multiple retencije kod zdrave osobe i treći multiple retencije kod pacijenta s kleidokranijalnom disostozom</w:t>
      </w:r>
      <w:r w:rsidR="00460E90">
        <w:rPr>
          <w:i/>
          <w:color w:val="000000"/>
          <w:lang w:val="hr-HR"/>
        </w:rPr>
        <w:t xml:space="preserve"> (iz kliničkog materijala Zavoda)</w:t>
      </w:r>
    </w:p>
    <w:p w:rsidR="00A0111B" w:rsidRPr="00A0111B" w:rsidRDefault="00A0111B" w:rsidP="00A0111B">
      <w:pPr>
        <w:pStyle w:val="BodyText"/>
        <w:spacing w:line="480" w:lineRule="auto"/>
        <w:jc w:val="both"/>
        <w:rPr>
          <w:sz w:val="24"/>
          <w:szCs w:val="24"/>
        </w:rPr>
      </w:pPr>
    </w:p>
    <w:p w:rsidR="00A0111B" w:rsidRPr="00A0111B" w:rsidRDefault="00A0111B" w:rsidP="00A0111B">
      <w:pPr>
        <w:pStyle w:val="BodyText"/>
        <w:spacing w:line="480" w:lineRule="auto"/>
        <w:jc w:val="both"/>
        <w:rPr>
          <w:sz w:val="24"/>
          <w:szCs w:val="24"/>
        </w:rPr>
      </w:pPr>
      <w:r w:rsidRPr="00A0111B">
        <w:rPr>
          <w:sz w:val="24"/>
          <w:szCs w:val="24"/>
        </w:rPr>
        <w:t xml:space="preserve"> </w:t>
      </w:r>
      <w:r w:rsidRPr="00A0111B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2640461" cy="1868557"/>
            <wp:effectExtent l="19050" t="0" r="7489" b="0"/>
            <wp:docPr id="35" name="Picture 21" descr="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0" cy="1873736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11B">
        <w:rPr>
          <w:sz w:val="24"/>
          <w:szCs w:val="24"/>
        </w:rPr>
        <w:t xml:space="preserve">   </w:t>
      </w:r>
      <w:r w:rsidRPr="00A0111B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2406098" cy="1866712"/>
            <wp:effectExtent l="19050" t="0" r="0" b="0"/>
            <wp:docPr id="36" name="Picture 20" descr="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-6000"/>
                      <a:grayscl/>
                    </a:blip>
                    <a:srcRect t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15" cy="1862381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1B" w:rsidRPr="00460E90" w:rsidRDefault="00A0111B" w:rsidP="00A0111B">
      <w:pPr>
        <w:pStyle w:val="BodyText"/>
        <w:spacing w:line="480" w:lineRule="auto"/>
        <w:jc w:val="both"/>
        <w:rPr>
          <w:i/>
          <w:sz w:val="24"/>
          <w:szCs w:val="24"/>
        </w:rPr>
      </w:pPr>
      <w:r w:rsidRPr="00460E90">
        <w:rPr>
          <w:i/>
          <w:sz w:val="24"/>
          <w:szCs w:val="24"/>
        </w:rPr>
        <w:t xml:space="preserve">Slike </w:t>
      </w:r>
      <w:r w:rsidR="00DB21D6" w:rsidRPr="00460E90">
        <w:rPr>
          <w:i/>
          <w:sz w:val="24"/>
          <w:szCs w:val="24"/>
        </w:rPr>
        <w:t>4</w:t>
      </w:r>
      <w:r w:rsidRPr="00460E90">
        <w:rPr>
          <w:i/>
          <w:sz w:val="24"/>
          <w:szCs w:val="24"/>
        </w:rPr>
        <w:t xml:space="preserve">. i </w:t>
      </w:r>
      <w:r w:rsidR="00DB21D6" w:rsidRPr="00460E90">
        <w:rPr>
          <w:i/>
          <w:sz w:val="24"/>
          <w:szCs w:val="24"/>
        </w:rPr>
        <w:t>5</w:t>
      </w:r>
      <w:r w:rsidRPr="00460E90">
        <w:rPr>
          <w:i/>
          <w:sz w:val="24"/>
          <w:szCs w:val="24"/>
        </w:rPr>
        <w:t>. Primjer spontane erupcije pretkutnjaka s folikularnom cistom čeljusti nakon kirurškog odstranjivanja ciste i vađenja mliječnih zuba</w:t>
      </w:r>
      <w:r w:rsidR="00460E90">
        <w:rPr>
          <w:i/>
          <w:sz w:val="24"/>
          <w:szCs w:val="24"/>
        </w:rPr>
        <w:t xml:space="preserve"> (iz kliničkog materiala Zavoda)</w:t>
      </w:r>
    </w:p>
    <w:p w:rsidR="00A0111B" w:rsidRPr="00A0111B" w:rsidRDefault="00A0111B" w:rsidP="00A0111B">
      <w:pPr>
        <w:pStyle w:val="BodyText"/>
        <w:spacing w:line="480" w:lineRule="auto"/>
        <w:jc w:val="both"/>
        <w:rPr>
          <w:sz w:val="24"/>
          <w:szCs w:val="24"/>
        </w:rPr>
      </w:pPr>
    </w:p>
    <w:p w:rsidR="00297D1F" w:rsidRPr="00A0111B" w:rsidRDefault="00297D1F" w:rsidP="00297D1F">
      <w:pPr>
        <w:pStyle w:val="BodyText"/>
        <w:spacing w:line="480" w:lineRule="auto"/>
        <w:rPr>
          <w:color w:val="000000"/>
          <w:sz w:val="24"/>
          <w:szCs w:val="24"/>
        </w:rPr>
      </w:pPr>
      <w:r w:rsidRPr="00A0111B">
        <w:rPr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2634136" cy="2252870"/>
            <wp:effectExtent l="19050" t="0" r="0" b="0"/>
            <wp:docPr id="40" name="Picture 12" descr="PIC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-6000"/>
                    </a:blip>
                    <a:srcRect l="1492" t="3598" r="14439" b="5728"/>
                    <a:stretch>
                      <a:fillRect/>
                    </a:stretch>
                  </pic:blipFill>
                  <pic:spPr bwMode="auto">
                    <a:xfrm rot="-43200000">
                      <a:off x="0" y="0"/>
                      <a:ext cx="2644151" cy="2261436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11B">
        <w:rPr>
          <w:color w:val="000000"/>
          <w:sz w:val="24"/>
          <w:szCs w:val="24"/>
        </w:rPr>
        <w:t xml:space="preserve">  </w:t>
      </w:r>
      <w:r w:rsidRPr="00A0111B">
        <w:rPr>
          <w:noProof/>
          <w:color w:val="000000"/>
          <w:sz w:val="24"/>
          <w:szCs w:val="24"/>
          <w:lang w:val="en-US" w:eastAsia="en-US"/>
        </w:rPr>
        <w:drawing>
          <wp:inline distT="0" distB="0" distL="0" distR="0">
            <wp:extent cx="2565124" cy="2257123"/>
            <wp:effectExtent l="19050" t="0" r="6626" b="0"/>
            <wp:docPr id="41" name="Picture 11" descr="PIC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6000"/>
                    </a:blip>
                    <a:srcRect l="273" r="21947" b="1417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570977" cy="2262274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11B">
        <w:rPr>
          <w:color w:val="000000"/>
          <w:sz w:val="24"/>
          <w:szCs w:val="24"/>
        </w:rPr>
        <w:t xml:space="preserve">                                </w:t>
      </w:r>
    </w:p>
    <w:p w:rsidR="00297D1F" w:rsidRPr="00460E90" w:rsidRDefault="00297D1F" w:rsidP="00297D1F">
      <w:pPr>
        <w:pStyle w:val="BodyText"/>
        <w:spacing w:line="480" w:lineRule="auto"/>
        <w:rPr>
          <w:i/>
          <w:color w:val="000000"/>
          <w:sz w:val="24"/>
          <w:szCs w:val="24"/>
        </w:rPr>
      </w:pPr>
      <w:r w:rsidRPr="00460E90">
        <w:rPr>
          <w:i/>
          <w:color w:val="000000"/>
          <w:sz w:val="24"/>
          <w:szCs w:val="24"/>
        </w:rPr>
        <w:t>Slike</w:t>
      </w:r>
      <w:r w:rsidR="00DB21D6" w:rsidRPr="00460E90">
        <w:rPr>
          <w:i/>
          <w:color w:val="000000"/>
          <w:sz w:val="24"/>
          <w:szCs w:val="24"/>
        </w:rPr>
        <w:t xml:space="preserve"> </w:t>
      </w:r>
      <w:r w:rsidRPr="00460E90">
        <w:rPr>
          <w:i/>
          <w:color w:val="000000"/>
          <w:sz w:val="24"/>
          <w:szCs w:val="24"/>
        </w:rPr>
        <w:t xml:space="preserve"> </w:t>
      </w:r>
      <w:r w:rsidR="00DB21D6" w:rsidRPr="00460E90">
        <w:rPr>
          <w:i/>
          <w:color w:val="000000"/>
          <w:sz w:val="24"/>
          <w:szCs w:val="24"/>
        </w:rPr>
        <w:t>6</w:t>
      </w:r>
      <w:r w:rsidRPr="00460E90">
        <w:rPr>
          <w:i/>
          <w:color w:val="000000"/>
          <w:sz w:val="24"/>
          <w:szCs w:val="24"/>
        </w:rPr>
        <w:t xml:space="preserve">. i </w:t>
      </w:r>
      <w:r w:rsidR="00DB21D6" w:rsidRPr="00460E90">
        <w:rPr>
          <w:i/>
          <w:color w:val="000000"/>
          <w:sz w:val="24"/>
          <w:szCs w:val="24"/>
        </w:rPr>
        <w:t xml:space="preserve"> </w:t>
      </w:r>
      <w:r w:rsidR="005F0272" w:rsidRPr="00460E90">
        <w:rPr>
          <w:i/>
          <w:color w:val="000000"/>
          <w:sz w:val="24"/>
          <w:szCs w:val="24"/>
        </w:rPr>
        <w:t>7</w:t>
      </w:r>
      <w:r w:rsidRPr="00460E90">
        <w:rPr>
          <w:i/>
          <w:color w:val="000000"/>
          <w:sz w:val="24"/>
          <w:szCs w:val="24"/>
        </w:rPr>
        <w:t>.  Primjer transplantacije zametka donjega desnog umnjaka u alveolu izvađenog prvoga kutnjaka. Kutnjak je izvađen zbog kronične periapikalne upale, a ortodont je predlagao alveotomiju svih četiriju umnjaka. Druga je snimka učinjena pet godina nakon transplantacije umnjaka.</w:t>
      </w:r>
      <w:r w:rsidR="00460E90">
        <w:rPr>
          <w:i/>
          <w:color w:val="000000"/>
          <w:sz w:val="24"/>
          <w:szCs w:val="24"/>
        </w:rPr>
        <w:t>(iz kliničkog materijala Zavoda)</w:t>
      </w:r>
    </w:p>
    <w:p w:rsidR="004D646E" w:rsidRDefault="004D646E" w:rsidP="00297D1F">
      <w:pPr>
        <w:pStyle w:val="BodyText"/>
        <w:spacing w:line="480" w:lineRule="auto"/>
        <w:rPr>
          <w:color w:val="000000"/>
          <w:sz w:val="24"/>
          <w:szCs w:val="24"/>
        </w:rPr>
      </w:pPr>
    </w:p>
    <w:p w:rsidR="007E1BC4" w:rsidRDefault="007E1BC4" w:rsidP="007E1BC4">
      <w:pPr>
        <w:pStyle w:val="BodyText"/>
        <w:spacing w:line="480" w:lineRule="auto"/>
        <w:jc w:val="both"/>
        <w:rPr>
          <w:rFonts w:ascii="Arial" w:hAnsi="Arial"/>
          <w:sz w:val="24"/>
          <w:szCs w:val="24"/>
        </w:rPr>
      </w:pPr>
    </w:p>
    <w:p w:rsidR="007E1BC4" w:rsidRPr="006726BE" w:rsidRDefault="007E1BC4" w:rsidP="007E1BC4">
      <w:pPr>
        <w:pStyle w:val="BodyText"/>
        <w:spacing w:line="48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922932" cy="2411896"/>
            <wp:effectExtent l="19050" t="0" r="0" b="0"/>
            <wp:docPr id="49" name="Picture 27" descr="PIC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0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-6000"/>
                      <a:grayscl/>
                    </a:blip>
                    <a:srcRect l="12270" t="9909" r="9639" b="900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922932" cy="2411896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 </w:t>
      </w:r>
      <w:r>
        <w:rPr>
          <w:rFonts w:ascii="Arial" w:hAnsi="Arial"/>
          <w:noProof/>
          <w:sz w:val="24"/>
          <w:szCs w:val="24"/>
          <w:lang w:val="en-US" w:eastAsia="en-US"/>
        </w:rPr>
        <w:drawing>
          <wp:inline distT="0" distB="0" distL="0" distR="0">
            <wp:extent cx="2918793" cy="2332382"/>
            <wp:effectExtent l="19050" t="0" r="0" b="0"/>
            <wp:docPr id="47" name="Picture 29" descr="PIC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0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936725" cy="2346711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C4" w:rsidRPr="00460E90" w:rsidRDefault="007E1BC4" w:rsidP="007E1BC4">
      <w:pPr>
        <w:pStyle w:val="BodyText"/>
        <w:spacing w:line="480" w:lineRule="auto"/>
        <w:jc w:val="both"/>
        <w:rPr>
          <w:i/>
          <w:sz w:val="24"/>
          <w:szCs w:val="24"/>
        </w:rPr>
      </w:pPr>
      <w:r w:rsidRPr="00460E90">
        <w:rPr>
          <w:i/>
          <w:sz w:val="24"/>
          <w:szCs w:val="24"/>
        </w:rPr>
        <w:t xml:space="preserve">Slike </w:t>
      </w:r>
      <w:r w:rsidR="005F0272" w:rsidRPr="00460E90">
        <w:rPr>
          <w:i/>
          <w:sz w:val="24"/>
          <w:szCs w:val="24"/>
        </w:rPr>
        <w:t xml:space="preserve"> 8</w:t>
      </w:r>
      <w:r w:rsidRPr="00460E90">
        <w:rPr>
          <w:i/>
          <w:sz w:val="24"/>
          <w:szCs w:val="24"/>
        </w:rPr>
        <w:t xml:space="preserve">. </w:t>
      </w:r>
      <w:r w:rsidR="00374AAE" w:rsidRPr="00460E90">
        <w:rPr>
          <w:i/>
          <w:sz w:val="24"/>
          <w:szCs w:val="24"/>
        </w:rPr>
        <w:t xml:space="preserve">i </w:t>
      </w:r>
      <w:r w:rsidR="005F0272" w:rsidRPr="00460E90">
        <w:rPr>
          <w:i/>
          <w:sz w:val="24"/>
          <w:szCs w:val="24"/>
        </w:rPr>
        <w:t>9</w:t>
      </w:r>
      <w:r w:rsidRPr="00460E90">
        <w:rPr>
          <w:i/>
          <w:sz w:val="24"/>
          <w:szCs w:val="24"/>
        </w:rPr>
        <w:t xml:space="preserve">. </w:t>
      </w:r>
      <w:r w:rsidR="00374AAE" w:rsidRPr="00460E90">
        <w:rPr>
          <w:i/>
          <w:sz w:val="24"/>
          <w:szCs w:val="24"/>
        </w:rPr>
        <w:t xml:space="preserve"> </w:t>
      </w:r>
      <w:r w:rsidRPr="00460E90">
        <w:rPr>
          <w:i/>
          <w:sz w:val="24"/>
          <w:szCs w:val="24"/>
        </w:rPr>
        <w:t>Primjer transplantacije zametka donjega lijevog retiniranog umnjaka u alveolu prvoga kutnjaka. Nalaz prije i 6 godina poslije</w:t>
      </w:r>
      <w:r w:rsidR="00374AAE" w:rsidRPr="00460E90">
        <w:rPr>
          <w:i/>
          <w:sz w:val="24"/>
          <w:szCs w:val="24"/>
        </w:rPr>
        <w:t xml:space="preserve"> zahvata</w:t>
      </w:r>
      <w:r w:rsidRPr="00460E90">
        <w:rPr>
          <w:i/>
          <w:sz w:val="24"/>
          <w:szCs w:val="24"/>
        </w:rPr>
        <w:t>.</w:t>
      </w:r>
      <w:r w:rsidR="00460E90">
        <w:rPr>
          <w:i/>
          <w:sz w:val="24"/>
          <w:szCs w:val="24"/>
        </w:rPr>
        <w:t>(iz kliničkog materijala Zavoda)</w:t>
      </w:r>
      <w:r w:rsidRPr="00460E90">
        <w:rPr>
          <w:i/>
          <w:sz w:val="24"/>
          <w:szCs w:val="24"/>
        </w:rPr>
        <w:t xml:space="preserve"> </w:t>
      </w:r>
    </w:p>
    <w:p w:rsidR="004D646E" w:rsidRPr="00460E90" w:rsidRDefault="004D646E" w:rsidP="00297D1F">
      <w:pPr>
        <w:pStyle w:val="BodyText"/>
        <w:spacing w:line="480" w:lineRule="auto"/>
        <w:rPr>
          <w:i/>
          <w:color w:val="000000"/>
          <w:sz w:val="24"/>
          <w:szCs w:val="24"/>
        </w:rPr>
      </w:pPr>
    </w:p>
    <w:p w:rsidR="004D646E" w:rsidRDefault="004D646E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4D646E" w:rsidRDefault="004D646E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4D646E" w:rsidRDefault="004D646E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4D646E" w:rsidRDefault="004D646E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4D646E" w:rsidRDefault="004D646E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4D646E" w:rsidRPr="00A0111B" w:rsidRDefault="004D646E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4D646E" w:rsidRDefault="004D646E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EE4F79" w:rsidRDefault="00EE4F79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EE4F79" w:rsidRDefault="00EE4F79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EE4F79" w:rsidRDefault="00EE4F79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EE4F79" w:rsidRDefault="00EE4F79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p w:rsidR="00EE4F79" w:rsidRPr="00A0111B" w:rsidRDefault="00EE4F79" w:rsidP="004D646E">
      <w:pPr>
        <w:pStyle w:val="BodyText"/>
        <w:spacing w:line="480" w:lineRule="auto"/>
        <w:jc w:val="both"/>
        <w:rPr>
          <w:sz w:val="24"/>
          <w:szCs w:val="24"/>
        </w:rPr>
      </w:pPr>
    </w:p>
    <w:sectPr w:rsidR="00EE4F79" w:rsidRPr="00A0111B" w:rsidSect="00F46844">
      <w:footerReference w:type="default" r:id="rId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14D" w:rsidRDefault="00CA414D" w:rsidP="008276CF">
      <w:r>
        <w:separator/>
      </w:r>
    </w:p>
  </w:endnote>
  <w:endnote w:type="continuationSeparator" w:id="0">
    <w:p w:rsidR="00CA414D" w:rsidRDefault="00CA414D" w:rsidP="00827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0465"/>
      <w:docPartObj>
        <w:docPartGallery w:val="Page Numbers (Bottom of Page)"/>
        <w:docPartUnique/>
      </w:docPartObj>
    </w:sdtPr>
    <w:sdtContent>
      <w:p w:rsidR="0025032A" w:rsidRDefault="00664ED9">
        <w:pPr>
          <w:pStyle w:val="Footer"/>
          <w:jc w:val="right"/>
        </w:pPr>
        <w:fldSimple w:instr=" PAGE   \* MERGEFORMAT ">
          <w:r w:rsidR="004254D7">
            <w:rPr>
              <w:noProof/>
            </w:rPr>
            <w:t>16</w:t>
          </w:r>
        </w:fldSimple>
      </w:p>
    </w:sdtContent>
  </w:sdt>
  <w:p w:rsidR="0025032A" w:rsidRDefault="002503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14D" w:rsidRDefault="00CA414D" w:rsidP="008276CF">
      <w:r>
        <w:separator/>
      </w:r>
    </w:p>
  </w:footnote>
  <w:footnote w:type="continuationSeparator" w:id="0">
    <w:p w:rsidR="00CA414D" w:rsidRDefault="00CA414D" w:rsidP="008276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F51D6"/>
    <w:multiLevelType w:val="hybridMultilevel"/>
    <w:tmpl w:val="6CFED88C"/>
    <w:lvl w:ilvl="0" w:tplc="0424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BB7025"/>
    <w:multiLevelType w:val="hybridMultilevel"/>
    <w:tmpl w:val="92CC0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9289A"/>
    <w:multiLevelType w:val="hybridMultilevel"/>
    <w:tmpl w:val="D44889C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C44994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06780A"/>
    <w:multiLevelType w:val="hybridMultilevel"/>
    <w:tmpl w:val="EE1438B4"/>
    <w:lvl w:ilvl="0" w:tplc="6A92D08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270ED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0F873BA">
      <w:start w:val="1"/>
      <w:numFmt w:val="upperLetter"/>
      <w:lvlText w:val="%3."/>
      <w:lvlJc w:val="left"/>
      <w:pPr>
        <w:tabs>
          <w:tab w:val="num" w:pos="2670"/>
        </w:tabs>
        <w:ind w:left="2670" w:hanging="69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163E26"/>
    <w:multiLevelType w:val="hybridMultilevel"/>
    <w:tmpl w:val="34CCE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3079B8"/>
    <w:rsid w:val="00033F8A"/>
    <w:rsid w:val="000A3761"/>
    <w:rsid w:val="000D57FE"/>
    <w:rsid w:val="001347BB"/>
    <w:rsid w:val="001462A1"/>
    <w:rsid w:val="00157FB8"/>
    <w:rsid w:val="00165924"/>
    <w:rsid w:val="00196DE1"/>
    <w:rsid w:val="001D4012"/>
    <w:rsid w:val="0025032A"/>
    <w:rsid w:val="00287A4E"/>
    <w:rsid w:val="00297D1F"/>
    <w:rsid w:val="003079B8"/>
    <w:rsid w:val="0032431D"/>
    <w:rsid w:val="00360E47"/>
    <w:rsid w:val="00374AAE"/>
    <w:rsid w:val="00375381"/>
    <w:rsid w:val="003C4FB9"/>
    <w:rsid w:val="003E0136"/>
    <w:rsid w:val="003E7B99"/>
    <w:rsid w:val="004254D7"/>
    <w:rsid w:val="00436958"/>
    <w:rsid w:val="00460E90"/>
    <w:rsid w:val="004B7AF1"/>
    <w:rsid w:val="004D1C9A"/>
    <w:rsid w:val="004D646E"/>
    <w:rsid w:val="004E0221"/>
    <w:rsid w:val="005A150B"/>
    <w:rsid w:val="005F0272"/>
    <w:rsid w:val="00650FE8"/>
    <w:rsid w:val="00664ED9"/>
    <w:rsid w:val="006E009E"/>
    <w:rsid w:val="00781EF6"/>
    <w:rsid w:val="007979B8"/>
    <w:rsid w:val="007E1BC4"/>
    <w:rsid w:val="00802901"/>
    <w:rsid w:val="008276CF"/>
    <w:rsid w:val="00843777"/>
    <w:rsid w:val="008514DC"/>
    <w:rsid w:val="00870917"/>
    <w:rsid w:val="008810FB"/>
    <w:rsid w:val="00993FB4"/>
    <w:rsid w:val="009F3FC7"/>
    <w:rsid w:val="00A0111B"/>
    <w:rsid w:val="00A570E8"/>
    <w:rsid w:val="00AC39AF"/>
    <w:rsid w:val="00B238FC"/>
    <w:rsid w:val="00B645D4"/>
    <w:rsid w:val="00BD2EFD"/>
    <w:rsid w:val="00BE3FB1"/>
    <w:rsid w:val="00C64C49"/>
    <w:rsid w:val="00C777F2"/>
    <w:rsid w:val="00CA414D"/>
    <w:rsid w:val="00CD0037"/>
    <w:rsid w:val="00D26D4A"/>
    <w:rsid w:val="00D309CA"/>
    <w:rsid w:val="00D811E1"/>
    <w:rsid w:val="00DB21D6"/>
    <w:rsid w:val="00E07FDF"/>
    <w:rsid w:val="00E51598"/>
    <w:rsid w:val="00E52F60"/>
    <w:rsid w:val="00EE4F79"/>
    <w:rsid w:val="00F24307"/>
    <w:rsid w:val="00F46844"/>
    <w:rsid w:val="00F67787"/>
    <w:rsid w:val="00F95212"/>
    <w:rsid w:val="00FA4B23"/>
    <w:rsid w:val="00FD5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76C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6CF"/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BodyText">
    <w:name w:val="Body Text"/>
    <w:basedOn w:val="Normal"/>
    <w:link w:val="BodyTextChar"/>
    <w:rsid w:val="006E009E"/>
    <w:rPr>
      <w:sz w:val="28"/>
      <w:szCs w:val="20"/>
      <w:lang w:val="hr-HR" w:eastAsia="en-GB"/>
    </w:rPr>
  </w:style>
  <w:style w:type="character" w:customStyle="1" w:styleId="BodyTextChar">
    <w:name w:val="Body Text Char"/>
    <w:basedOn w:val="DefaultParagraphFont"/>
    <w:link w:val="BodyText"/>
    <w:rsid w:val="006E009E"/>
    <w:rPr>
      <w:rFonts w:ascii="Times New Roman" w:eastAsia="Times New Roman" w:hAnsi="Times New Roman" w:cs="Times New Roman"/>
      <w:sz w:val="28"/>
      <w:szCs w:val="20"/>
      <w:lang w:val="hr-HR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0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09E"/>
    <w:rPr>
      <w:rFonts w:ascii="Tahoma" w:eastAsia="Times New Roman" w:hAnsi="Tahoma" w:cs="Tahoma"/>
      <w:sz w:val="16"/>
      <w:szCs w:val="16"/>
      <w:lang w:val="sl-SI" w:eastAsia="sl-SI"/>
    </w:rPr>
  </w:style>
  <w:style w:type="paragraph" w:styleId="Header">
    <w:name w:val="header"/>
    <w:basedOn w:val="Normal"/>
    <w:link w:val="HeaderChar"/>
    <w:uiPriority w:val="99"/>
    <w:semiHidden/>
    <w:unhideWhenUsed/>
    <w:rsid w:val="006E009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009E"/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table" w:styleId="TableGrid">
    <w:name w:val="Table Grid"/>
    <w:basedOn w:val="TableNormal"/>
    <w:rsid w:val="00BE3F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70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3074</Words>
  <Characters>17526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2012-11-13T17:45:00Z</dcterms:created>
  <dcterms:modified xsi:type="dcterms:W3CDTF">2012-11-13T17:45:00Z</dcterms:modified>
</cp:coreProperties>
</file>