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BF" w:rsidRDefault="000653BF">
      <w:pPr>
        <w:rPr>
          <w:rFonts w:ascii="Times New Roman" w:hAnsi="Times New Roman" w:cs="Times New Roman"/>
          <w:sz w:val="24"/>
          <w:szCs w:val="24"/>
        </w:rPr>
      </w:pPr>
    </w:p>
    <w:p w:rsidR="00536BA3" w:rsidRPr="00C537E0" w:rsidRDefault="00536BA3" w:rsidP="00594A8D">
      <w:pPr>
        <w:spacing w:line="240" w:lineRule="auto"/>
        <w:rPr>
          <w:rFonts w:ascii="Times New Roman" w:hAnsi="Times New Roman" w:cs="Times New Roman"/>
          <w:sz w:val="24"/>
          <w:szCs w:val="24"/>
          <w:lang w:val="hr-HR"/>
        </w:rPr>
      </w:pPr>
      <w:r w:rsidRPr="00C537E0">
        <w:rPr>
          <w:rFonts w:ascii="Times New Roman" w:hAnsi="Times New Roman" w:cs="Times New Roman"/>
          <w:sz w:val="24"/>
          <w:szCs w:val="24"/>
          <w:lang w:val="hr-HR"/>
        </w:rPr>
        <w:t>Ljerka Sedlan Kőnig</w:t>
      </w:r>
      <w:r w:rsidRPr="00C537E0">
        <w:rPr>
          <w:rFonts w:ascii="Times New Roman" w:hAnsi="Times New Roman" w:cs="Times New Roman"/>
          <w:sz w:val="24"/>
          <w:szCs w:val="24"/>
        </w:rPr>
        <w:t>, PhD.</w:t>
      </w:r>
    </w:p>
    <w:p w:rsidR="003C4EE6" w:rsidRPr="00C537E0" w:rsidRDefault="003C4EE6" w:rsidP="00594A8D">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J.J. Strossmayer University, Faculty of Economics, </w:t>
      </w:r>
    </w:p>
    <w:p w:rsidR="00536BA3" w:rsidRPr="00C537E0" w:rsidRDefault="003C4EE6" w:rsidP="00594A8D">
      <w:pPr>
        <w:spacing w:line="240" w:lineRule="auto"/>
        <w:rPr>
          <w:rFonts w:ascii="Times New Roman" w:hAnsi="Times New Roman" w:cs="Times New Roman"/>
          <w:sz w:val="24"/>
          <w:szCs w:val="24"/>
          <w:lang w:val="hr-HR"/>
        </w:rPr>
      </w:pPr>
      <w:r w:rsidRPr="00C537E0">
        <w:rPr>
          <w:rFonts w:ascii="Times New Roman" w:hAnsi="Times New Roman" w:cs="Times New Roman"/>
          <w:sz w:val="24"/>
          <w:szCs w:val="24"/>
          <w:lang w:val="hr-HR"/>
        </w:rPr>
        <w:t>Gajev trg 7, 31 0</w:t>
      </w:r>
      <w:r w:rsidR="00536BA3" w:rsidRPr="00C537E0">
        <w:rPr>
          <w:rFonts w:ascii="Times New Roman" w:hAnsi="Times New Roman" w:cs="Times New Roman"/>
          <w:sz w:val="24"/>
          <w:szCs w:val="24"/>
          <w:lang w:val="hr-HR"/>
        </w:rPr>
        <w:t>00 Osijek</w:t>
      </w:r>
      <w:r w:rsidRPr="00C537E0">
        <w:rPr>
          <w:rFonts w:ascii="Times New Roman" w:hAnsi="Times New Roman" w:cs="Times New Roman"/>
          <w:sz w:val="24"/>
          <w:szCs w:val="24"/>
          <w:lang w:val="hr-HR"/>
        </w:rPr>
        <w:t>,</w:t>
      </w:r>
      <w:r w:rsidRPr="00C537E0">
        <w:rPr>
          <w:rFonts w:ascii="Times New Roman" w:hAnsi="Times New Roman" w:cs="Times New Roman"/>
          <w:sz w:val="24"/>
          <w:szCs w:val="24"/>
        </w:rPr>
        <w:t xml:space="preserve"> Croatia</w:t>
      </w:r>
    </w:p>
    <w:p w:rsidR="00536BA3" w:rsidRPr="00C537E0" w:rsidRDefault="00536BA3" w:rsidP="00594A8D">
      <w:pPr>
        <w:spacing w:line="240" w:lineRule="auto"/>
        <w:rPr>
          <w:rFonts w:ascii="Times New Roman" w:hAnsi="Times New Roman" w:cs="Times New Roman"/>
          <w:sz w:val="24"/>
          <w:szCs w:val="24"/>
        </w:rPr>
      </w:pPr>
      <w:r w:rsidRPr="00C537E0">
        <w:rPr>
          <w:rFonts w:ascii="Times New Roman" w:hAnsi="Times New Roman" w:cs="Times New Roman"/>
          <w:sz w:val="24"/>
          <w:szCs w:val="24"/>
          <w:lang w:val="hr-HR"/>
        </w:rPr>
        <w:t>Tel: 031 22 44 94</w:t>
      </w:r>
      <w:r w:rsidRPr="00C537E0">
        <w:rPr>
          <w:rFonts w:ascii="Times New Roman" w:hAnsi="Times New Roman" w:cs="Times New Roman"/>
          <w:sz w:val="24"/>
          <w:szCs w:val="24"/>
        </w:rPr>
        <w:t xml:space="preserve">, </w:t>
      </w:r>
      <w:r w:rsidRPr="00C537E0">
        <w:rPr>
          <w:rFonts w:ascii="Times New Roman" w:hAnsi="Times New Roman" w:cs="Times New Roman"/>
          <w:sz w:val="24"/>
          <w:szCs w:val="24"/>
          <w:lang w:val="hr-HR"/>
        </w:rPr>
        <w:t xml:space="preserve">e-mail: </w:t>
      </w:r>
      <w:hyperlink r:id="rId8" w:history="1">
        <w:r w:rsidRPr="00C537E0">
          <w:rPr>
            <w:rStyle w:val="Hyperlink"/>
            <w:rFonts w:ascii="Times New Roman" w:hAnsi="Times New Roman" w:cs="Times New Roman"/>
            <w:sz w:val="24"/>
            <w:szCs w:val="24"/>
            <w:lang w:val="hr-HR"/>
          </w:rPr>
          <w:t>sedlan@efos.hr</w:t>
        </w:r>
      </w:hyperlink>
    </w:p>
    <w:p w:rsidR="00536BA3" w:rsidRPr="00C537E0" w:rsidRDefault="00536BA3" w:rsidP="00594A8D">
      <w:pPr>
        <w:spacing w:line="240" w:lineRule="auto"/>
        <w:rPr>
          <w:rFonts w:ascii="Times New Roman" w:hAnsi="Times New Roman" w:cs="Times New Roman"/>
          <w:sz w:val="24"/>
          <w:szCs w:val="24"/>
        </w:rPr>
      </w:pPr>
    </w:p>
    <w:p w:rsidR="00536BA3" w:rsidRPr="00C537E0" w:rsidRDefault="00536BA3" w:rsidP="00594A8D">
      <w:pPr>
        <w:spacing w:line="240" w:lineRule="auto"/>
        <w:jc w:val="center"/>
        <w:rPr>
          <w:rFonts w:ascii="Times New Roman" w:hAnsi="Times New Roman" w:cs="Times New Roman"/>
          <w:sz w:val="24"/>
          <w:szCs w:val="24"/>
        </w:rPr>
      </w:pPr>
      <w:r w:rsidRPr="00C537E0">
        <w:rPr>
          <w:rFonts w:ascii="Times New Roman" w:hAnsi="Times New Roman" w:cs="Times New Roman"/>
          <w:sz w:val="24"/>
          <w:szCs w:val="24"/>
        </w:rPr>
        <w:t>COMMUNITIES OF PRACTICE</w:t>
      </w:r>
      <w:r w:rsidR="00140055">
        <w:rPr>
          <w:rFonts w:ascii="Times New Roman" w:hAnsi="Times New Roman" w:cs="Times New Roman"/>
          <w:sz w:val="24"/>
          <w:szCs w:val="24"/>
        </w:rPr>
        <w:t xml:space="preserve"> AS A TEACHING TOOL</w:t>
      </w:r>
    </w:p>
    <w:p w:rsidR="00536BA3" w:rsidRPr="00C537E0" w:rsidRDefault="00536BA3" w:rsidP="00594A8D">
      <w:pPr>
        <w:spacing w:line="240" w:lineRule="auto"/>
        <w:jc w:val="center"/>
        <w:rPr>
          <w:rFonts w:ascii="Times New Roman" w:hAnsi="Times New Roman" w:cs="Times New Roman"/>
          <w:sz w:val="24"/>
          <w:szCs w:val="24"/>
        </w:rPr>
      </w:pPr>
      <w:r w:rsidRPr="00C537E0">
        <w:rPr>
          <w:rFonts w:ascii="Times New Roman" w:hAnsi="Times New Roman" w:cs="Times New Roman"/>
          <w:sz w:val="24"/>
          <w:szCs w:val="24"/>
        </w:rPr>
        <w:t>IN THE DEVELOPMENT OF ENTREPRENEURIAL BEHAVIOR</w:t>
      </w:r>
    </w:p>
    <w:p w:rsidR="00536BA3" w:rsidRPr="00C537E0" w:rsidRDefault="00536BA3" w:rsidP="00594A8D">
      <w:pPr>
        <w:spacing w:line="240" w:lineRule="auto"/>
        <w:jc w:val="center"/>
        <w:rPr>
          <w:rFonts w:ascii="Times New Roman" w:hAnsi="Times New Roman" w:cs="Times New Roman"/>
          <w:sz w:val="24"/>
          <w:szCs w:val="24"/>
        </w:rPr>
      </w:pPr>
    </w:p>
    <w:p w:rsidR="00536BA3" w:rsidRPr="00C537E0" w:rsidRDefault="00536BA3" w:rsidP="00594A8D">
      <w:pPr>
        <w:spacing w:line="240" w:lineRule="auto"/>
        <w:jc w:val="center"/>
        <w:rPr>
          <w:rFonts w:ascii="Times New Roman" w:hAnsi="Times New Roman" w:cs="Times New Roman"/>
          <w:sz w:val="24"/>
          <w:szCs w:val="24"/>
        </w:rPr>
      </w:pPr>
      <w:r w:rsidRPr="00C537E0">
        <w:rPr>
          <w:rFonts w:ascii="Times New Roman" w:hAnsi="Times New Roman" w:cs="Times New Roman"/>
          <w:sz w:val="24"/>
          <w:szCs w:val="24"/>
        </w:rPr>
        <w:t>ABSTARCT</w:t>
      </w:r>
    </w:p>
    <w:p w:rsidR="00536BA3" w:rsidRPr="00C537E0" w:rsidRDefault="00536BA3" w:rsidP="00594A8D">
      <w:pPr>
        <w:spacing w:line="240" w:lineRule="auto"/>
        <w:jc w:val="center"/>
        <w:rPr>
          <w:rFonts w:ascii="Times New Roman" w:hAnsi="Times New Roman" w:cs="Times New Roman"/>
          <w:sz w:val="24"/>
          <w:szCs w:val="24"/>
        </w:rPr>
      </w:pPr>
    </w:p>
    <w:p w:rsidR="00536BA3" w:rsidRPr="00C537E0" w:rsidRDefault="00536BA3" w:rsidP="00594A8D">
      <w:pPr>
        <w:spacing w:line="240" w:lineRule="auto"/>
        <w:jc w:val="center"/>
        <w:rPr>
          <w:rFonts w:ascii="Times New Roman" w:hAnsi="Times New Roman" w:cs="Times New Roman"/>
          <w:sz w:val="24"/>
          <w:szCs w:val="24"/>
        </w:rPr>
      </w:pPr>
    </w:p>
    <w:p w:rsidR="005A24DB" w:rsidRPr="00C537E0" w:rsidRDefault="00536BA3" w:rsidP="00594A8D">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Communities of practice (Lave i Wenger, 1991) </w:t>
      </w:r>
      <w:r w:rsidR="005A24DB" w:rsidRPr="00C537E0">
        <w:rPr>
          <w:rFonts w:ascii="Times New Roman" w:hAnsi="Times New Roman" w:cs="Times New Roman"/>
          <w:color w:val="000000"/>
          <w:sz w:val="24"/>
          <w:szCs w:val="24"/>
          <w:shd w:val="clear" w:color="auto" w:fill="FFFFFF" w:themeFill="background1"/>
        </w:rPr>
        <w:t>are groups of people who share a concern or a passion for something they do and learn how to do it better as they interact regularly.</w:t>
      </w:r>
      <w:r w:rsidRPr="00C537E0">
        <w:rPr>
          <w:rFonts w:ascii="Times New Roman" w:hAnsi="Times New Roman" w:cs="Times New Roman"/>
          <w:sz w:val="24"/>
          <w:szCs w:val="24"/>
        </w:rPr>
        <w:t xml:space="preserve"> </w:t>
      </w:r>
      <w:r w:rsidR="005A24DB" w:rsidRPr="00C537E0">
        <w:rPr>
          <w:rFonts w:ascii="Times New Roman" w:hAnsi="Times New Roman" w:cs="Times New Roman"/>
          <w:sz w:val="24"/>
          <w:szCs w:val="24"/>
        </w:rPr>
        <w:t>In order to define the impact that communities of practice have on the development of entrepreneurial behavior, an empirical research by means of a questionnaire was carried out with a sample of 324 students of Josip Juraj Strossmayer University in Osijek. Apart</w:t>
      </w:r>
      <w:r w:rsidR="00FB25FC" w:rsidRPr="00C537E0">
        <w:rPr>
          <w:rFonts w:ascii="Times New Roman" w:hAnsi="Times New Roman" w:cs="Times New Roman"/>
          <w:sz w:val="24"/>
          <w:szCs w:val="24"/>
        </w:rPr>
        <w:t xml:space="preserve"> from the descriptive, univaria</w:t>
      </w:r>
      <w:r w:rsidR="005A24DB" w:rsidRPr="00C537E0">
        <w:rPr>
          <w:rFonts w:ascii="Times New Roman" w:hAnsi="Times New Roman" w:cs="Times New Roman"/>
          <w:sz w:val="24"/>
          <w:szCs w:val="24"/>
        </w:rPr>
        <w:t>t</w:t>
      </w:r>
      <w:r w:rsidR="00FB25FC" w:rsidRPr="00C537E0">
        <w:rPr>
          <w:rFonts w:ascii="Times New Roman" w:hAnsi="Times New Roman" w:cs="Times New Roman"/>
          <w:sz w:val="24"/>
          <w:szCs w:val="24"/>
        </w:rPr>
        <w:t>e statistics, a bivaria</w:t>
      </w:r>
      <w:r w:rsidR="005A24DB" w:rsidRPr="00C537E0">
        <w:rPr>
          <w:rFonts w:ascii="Times New Roman" w:hAnsi="Times New Roman" w:cs="Times New Roman"/>
          <w:sz w:val="24"/>
          <w:szCs w:val="24"/>
        </w:rPr>
        <w:t>t</w:t>
      </w:r>
      <w:r w:rsidR="00FB25FC" w:rsidRPr="00C537E0">
        <w:rPr>
          <w:rFonts w:ascii="Times New Roman" w:hAnsi="Times New Roman" w:cs="Times New Roman"/>
          <w:sz w:val="24"/>
          <w:szCs w:val="24"/>
        </w:rPr>
        <w:t>e</w:t>
      </w:r>
      <w:r w:rsidR="005A24DB" w:rsidRPr="00C537E0">
        <w:rPr>
          <w:rFonts w:ascii="Times New Roman" w:hAnsi="Times New Roman" w:cs="Times New Roman"/>
          <w:sz w:val="24"/>
          <w:szCs w:val="24"/>
        </w:rPr>
        <w:t xml:space="preserve"> analysis was also</w:t>
      </w:r>
      <w:r w:rsidR="00FB25FC" w:rsidRPr="00C537E0">
        <w:rPr>
          <w:rFonts w:ascii="Times New Roman" w:hAnsi="Times New Roman" w:cs="Times New Roman"/>
          <w:sz w:val="24"/>
          <w:szCs w:val="24"/>
        </w:rPr>
        <w:t xml:space="preserve"> used, as well as a multivaria</w:t>
      </w:r>
      <w:r w:rsidR="005A24DB" w:rsidRPr="00C537E0">
        <w:rPr>
          <w:rFonts w:ascii="Times New Roman" w:hAnsi="Times New Roman" w:cs="Times New Roman"/>
          <w:sz w:val="24"/>
          <w:szCs w:val="24"/>
        </w:rPr>
        <w:t>t</w:t>
      </w:r>
      <w:r w:rsidR="00FB25FC" w:rsidRPr="00C537E0">
        <w:rPr>
          <w:rFonts w:ascii="Times New Roman" w:hAnsi="Times New Roman" w:cs="Times New Roman"/>
          <w:sz w:val="24"/>
          <w:szCs w:val="24"/>
        </w:rPr>
        <w:t>e</w:t>
      </w:r>
      <w:r w:rsidR="005A24DB" w:rsidRPr="00C537E0">
        <w:rPr>
          <w:rFonts w:ascii="Times New Roman" w:hAnsi="Times New Roman" w:cs="Times New Roman"/>
          <w:sz w:val="24"/>
          <w:szCs w:val="24"/>
        </w:rPr>
        <w:t xml:space="preserve"> </w:t>
      </w:r>
      <w:r w:rsidR="00D73666" w:rsidRPr="00C537E0">
        <w:rPr>
          <w:rFonts w:ascii="Times New Roman" w:hAnsi="Times New Roman" w:cs="Times New Roman"/>
          <w:sz w:val="24"/>
          <w:szCs w:val="24"/>
        </w:rPr>
        <w:t xml:space="preserve">data analysis. </w:t>
      </w:r>
      <w:r w:rsidR="0039376D" w:rsidRPr="00C537E0">
        <w:rPr>
          <w:rFonts w:ascii="Times New Roman" w:hAnsi="Times New Roman" w:cs="Times New Roman"/>
          <w:sz w:val="24"/>
          <w:szCs w:val="24"/>
        </w:rPr>
        <w:t xml:space="preserve">The results of the research show that students who take part in the activities of communities of practice, demonstrate higher </w:t>
      </w:r>
      <w:r w:rsidR="00D03E11">
        <w:rPr>
          <w:rFonts w:ascii="Times New Roman" w:hAnsi="Times New Roman" w:cs="Times New Roman"/>
          <w:sz w:val="24"/>
          <w:szCs w:val="24"/>
        </w:rPr>
        <w:t>propensity for</w:t>
      </w:r>
      <w:r w:rsidR="0039376D" w:rsidRPr="00C537E0">
        <w:rPr>
          <w:rFonts w:ascii="Times New Roman" w:hAnsi="Times New Roman" w:cs="Times New Roman"/>
          <w:sz w:val="24"/>
          <w:szCs w:val="24"/>
        </w:rPr>
        <w:t xml:space="preserve"> entrepreneurial behavior and a higher </w:t>
      </w:r>
      <w:r w:rsidR="002F19D4" w:rsidRPr="00C537E0">
        <w:rPr>
          <w:rFonts w:ascii="Times New Roman" w:hAnsi="Times New Roman" w:cs="Times New Roman"/>
          <w:sz w:val="24"/>
          <w:szCs w:val="24"/>
        </w:rPr>
        <w:t>probability of</w:t>
      </w:r>
      <w:r w:rsidR="0039376D" w:rsidRPr="00C537E0">
        <w:rPr>
          <w:rFonts w:ascii="Times New Roman" w:hAnsi="Times New Roman" w:cs="Times New Roman"/>
          <w:sz w:val="24"/>
          <w:szCs w:val="24"/>
        </w:rPr>
        <w:t xml:space="preserve"> starting their own business than students who are not active in communities of practice. Therefore</w:t>
      </w:r>
      <w:r w:rsidR="0030229E" w:rsidRPr="00C537E0">
        <w:rPr>
          <w:rFonts w:ascii="Times New Roman" w:hAnsi="Times New Roman" w:cs="Times New Roman"/>
          <w:sz w:val="24"/>
          <w:szCs w:val="24"/>
        </w:rPr>
        <w:t xml:space="preserve"> it seems that </w:t>
      </w:r>
      <w:r w:rsidR="00FD382D" w:rsidRPr="00C537E0">
        <w:rPr>
          <w:rFonts w:ascii="Times New Roman" w:hAnsi="Times New Roman" w:cs="Times New Roman"/>
          <w:sz w:val="24"/>
          <w:szCs w:val="24"/>
        </w:rPr>
        <w:t xml:space="preserve">in </w:t>
      </w:r>
      <w:r w:rsidR="0039376D" w:rsidRPr="00C537E0">
        <w:rPr>
          <w:rFonts w:ascii="Times New Roman" w:hAnsi="Times New Roman" w:cs="Times New Roman"/>
          <w:sz w:val="24"/>
          <w:szCs w:val="24"/>
        </w:rPr>
        <w:t>entrepreneurial education</w:t>
      </w:r>
      <w:r w:rsidR="0030229E" w:rsidRPr="00C537E0">
        <w:rPr>
          <w:rFonts w:ascii="Times New Roman" w:hAnsi="Times New Roman" w:cs="Times New Roman"/>
          <w:sz w:val="24"/>
          <w:szCs w:val="24"/>
        </w:rPr>
        <w:t>,</w:t>
      </w:r>
      <w:r w:rsidR="0039376D" w:rsidRPr="00C537E0">
        <w:rPr>
          <w:rFonts w:ascii="Times New Roman" w:hAnsi="Times New Roman" w:cs="Times New Roman"/>
          <w:sz w:val="24"/>
          <w:szCs w:val="24"/>
        </w:rPr>
        <w:t xml:space="preserve"> wh</w:t>
      </w:r>
      <w:r w:rsidR="002F19D4" w:rsidRPr="00C537E0">
        <w:rPr>
          <w:rFonts w:ascii="Times New Roman" w:hAnsi="Times New Roman" w:cs="Times New Roman"/>
          <w:sz w:val="24"/>
          <w:szCs w:val="24"/>
        </w:rPr>
        <w:t>er</w:t>
      </w:r>
      <w:r w:rsidR="0039376D" w:rsidRPr="00C537E0">
        <w:rPr>
          <w:rFonts w:ascii="Times New Roman" w:hAnsi="Times New Roman" w:cs="Times New Roman"/>
          <w:sz w:val="24"/>
          <w:szCs w:val="24"/>
        </w:rPr>
        <w:t xml:space="preserve">e </w:t>
      </w:r>
      <w:r w:rsidR="002F19D4" w:rsidRPr="00C537E0">
        <w:rPr>
          <w:rFonts w:ascii="Times New Roman" w:hAnsi="Times New Roman" w:cs="Times New Roman"/>
          <w:sz w:val="24"/>
          <w:szCs w:val="24"/>
        </w:rPr>
        <w:t xml:space="preserve">the </w:t>
      </w:r>
      <w:r w:rsidR="0039376D" w:rsidRPr="00C537E0">
        <w:rPr>
          <w:rFonts w:ascii="Times New Roman" w:hAnsi="Times New Roman" w:cs="Times New Roman"/>
          <w:sz w:val="24"/>
          <w:szCs w:val="24"/>
        </w:rPr>
        <w:t>aim is t</w:t>
      </w:r>
      <w:r w:rsidR="002F19D4" w:rsidRPr="00C537E0">
        <w:rPr>
          <w:rFonts w:ascii="Times New Roman" w:hAnsi="Times New Roman" w:cs="Times New Roman"/>
          <w:sz w:val="24"/>
          <w:szCs w:val="24"/>
        </w:rPr>
        <w:t>o develop</w:t>
      </w:r>
      <w:r w:rsidR="0039376D" w:rsidRPr="00C537E0">
        <w:rPr>
          <w:rFonts w:ascii="Times New Roman" w:hAnsi="Times New Roman" w:cs="Times New Roman"/>
          <w:sz w:val="24"/>
          <w:szCs w:val="24"/>
        </w:rPr>
        <w:t xml:space="preserve"> entrepreneurial competences </w:t>
      </w:r>
      <w:r w:rsidR="002F19D4" w:rsidRPr="00C537E0">
        <w:rPr>
          <w:rFonts w:ascii="Times New Roman" w:hAnsi="Times New Roman" w:cs="Times New Roman"/>
          <w:sz w:val="24"/>
          <w:szCs w:val="24"/>
        </w:rPr>
        <w:t xml:space="preserve">and </w:t>
      </w:r>
      <w:r w:rsidR="0039376D" w:rsidRPr="00C537E0">
        <w:rPr>
          <w:rFonts w:ascii="Times New Roman" w:hAnsi="Times New Roman" w:cs="Times New Roman"/>
          <w:sz w:val="24"/>
          <w:szCs w:val="24"/>
        </w:rPr>
        <w:t>behavior</w:t>
      </w:r>
      <w:r w:rsidR="002F19D4" w:rsidRPr="00C537E0">
        <w:rPr>
          <w:rFonts w:ascii="Times New Roman" w:hAnsi="Times New Roman" w:cs="Times New Roman"/>
          <w:sz w:val="24"/>
          <w:szCs w:val="24"/>
        </w:rPr>
        <w:t>,</w:t>
      </w:r>
      <w:r w:rsidR="0039376D" w:rsidRPr="00C537E0">
        <w:rPr>
          <w:rFonts w:ascii="Times New Roman" w:hAnsi="Times New Roman" w:cs="Times New Roman"/>
          <w:sz w:val="24"/>
          <w:szCs w:val="24"/>
        </w:rPr>
        <w:t xml:space="preserve"> </w:t>
      </w:r>
      <w:r w:rsidR="00FD382D" w:rsidRPr="00C537E0">
        <w:rPr>
          <w:rFonts w:ascii="Times New Roman" w:hAnsi="Times New Roman" w:cs="Times New Roman"/>
          <w:sz w:val="24"/>
          <w:szCs w:val="24"/>
        </w:rPr>
        <w:t xml:space="preserve">it is vital to encourage students to join communities of practice. It is also important to give all students </w:t>
      </w:r>
      <w:r w:rsidR="000653BF">
        <w:rPr>
          <w:rFonts w:ascii="Times New Roman" w:hAnsi="Times New Roman" w:cs="Times New Roman"/>
          <w:sz w:val="24"/>
          <w:szCs w:val="24"/>
        </w:rPr>
        <w:t xml:space="preserve">of the university </w:t>
      </w:r>
      <w:r w:rsidR="00FD382D" w:rsidRPr="00C537E0">
        <w:rPr>
          <w:rFonts w:ascii="Times New Roman" w:hAnsi="Times New Roman" w:cs="Times New Roman"/>
          <w:sz w:val="24"/>
          <w:szCs w:val="24"/>
        </w:rPr>
        <w:t xml:space="preserve">the experience of participating in </w:t>
      </w:r>
      <w:r w:rsidR="0030229E" w:rsidRPr="00C537E0">
        <w:rPr>
          <w:rFonts w:ascii="Times New Roman" w:hAnsi="Times New Roman" w:cs="Times New Roman"/>
          <w:sz w:val="24"/>
          <w:szCs w:val="24"/>
        </w:rPr>
        <w:t>some form</w:t>
      </w:r>
      <w:r w:rsidR="00FD382D" w:rsidRPr="00C537E0">
        <w:rPr>
          <w:rFonts w:ascii="Times New Roman" w:hAnsi="Times New Roman" w:cs="Times New Roman"/>
          <w:sz w:val="24"/>
          <w:szCs w:val="24"/>
        </w:rPr>
        <w:t xml:space="preserve"> of communities of practice.  The research has also proven that university </w:t>
      </w:r>
      <w:r w:rsidR="000653BF">
        <w:rPr>
          <w:rFonts w:ascii="Times New Roman" w:hAnsi="Times New Roman" w:cs="Times New Roman"/>
          <w:sz w:val="24"/>
          <w:szCs w:val="24"/>
        </w:rPr>
        <w:t xml:space="preserve">teaching </w:t>
      </w:r>
      <w:r w:rsidR="0030229E" w:rsidRPr="00C537E0">
        <w:rPr>
          <w:rFonts w:ascii="Times New Roman" w:hAnsi="Times New Roman" w:cs="Times New Roman"/>
          <w:sz w:val="24"/>
          <w:szCs w:val="24"/>
        </w:rPr>
        <w:t>do</w:t>
      </w:r>
      <w:r w:rsidR="000653BF">
        <w:rPr>
          <w:rFonts w:ascii="Times New Roman" w:hAnsi="Times New Roman" w:cs="Times New Roman"/>
          <w:sz w:val="24"/>
          <w:szCs w:val="24"/>
        </w:rPr>
        <w:t>es</w:t>
      </w:r>
      <w:r w:rsidR="00FD382D" w:rsidRPr="00C537E0">
        <w:rPr>
          <w:rFonts w:ascii="Times New Roman" w:hAnsi="Times New Roman" w:cs="Times New Roman"/>
          <w:sz w:val="24"/>
          <w:szCs w:val="24"/>
        </w:rPr>
        <w:t xml:space="preserve"> not contribute enough to the development of entrepreneurial competences. According to the results of this research communities of practice</w:t>
      </w:r>
      <w:r w:rsidR="002F19D4" w:rsidRPr="00C537E0">
        <w:rPr>
          <w:rFonts w:ascii="Times New Roman" w:hAnsi="Times New Roman" w:cs="Times New Roman"/>
          <w:sz w:val="24"/>
          <w:szCs w:val="24"/>
        </w:rPr>
        <w:t>,</w:t>
      </w:r>
      <w:r w:rsidR="00FD382D" w:rsidRPr="00C537E0">
        <w:rPr>
          <w:rFonts w:ascii="Times New Roman" w:hAnsi="Times New Roman" w:cs="Times New Roman"/>
          <w:sz w:val="24"/>
          <w:szCs w:val="24"/>
        </w:rPr>
        <w:t xml:space="preserve"> and particularly</w:t>
      </w:r>
      <w:r w:rsidR="002F19D4" w:rsidRPr="00C537E0">
        <w:rPr>
          <w:rFonts w:ascii="Times New Roman" w:hAnsi="Times New Roman" w:cs="Times New Roman"/>
          <w:sz w:val="24"/>
          <w:szCs w:val="24"/>
        </w:rPr>
        <w:t xml:space="preserve"> firsthand </w:t>
      </w:r>
      <w:r w:rsidR="00FD382D" w:rsidRPr="00C537E0">
        <w:rPr>
          <w:rFonts w:ascii="Times New Roman" w:hAnsi="Times New Roman" w:cs="Times New Roman"/>
          <w:sz w:val="24"/>
          <w:szCs w:val="24"/>
        </w:rPr>
        <w:t>experience</w:t>
      </w:r>
      <w:r w:rsidR="002F19D4" w:rsidRPr="00C537E0">
        <w:rPr>
          <w:rFonts w:ascii="Times New Roman" w:hAnsi="Times New Roman" w:cs="Times New Roman"/>
          <w:sz w:val="24"/>
          <w:szCs w:val="24"/>
        </w:rPr>
        <w:t>,</w:t>
      </w:r>
      <w:r w:rsidR="00FD382D" w:rsidRPr="00C537E0">
        <w:rPr>
          <w:rFonts w:ascii="Times New Roman" w:hAnsi="Times New Roman" w:cs="Times New Roman"/>
          <w:sz w:val="24"/>
          <w:szCs w:val="24"/>
        </w:rPr>
        <w:t xml:space="preserve"> have a more significant role in that. The research suggests that </w:t>
      </w:r>
      <w:r w:rsidR="00D9313F" w:rsidRPr="00C537E0">
        <w:rPr>
          <w:rFonts w:ascii="Times New Roman" w:hAnsi="Times New Roman" w:cs="Times New Roman"/>
          <w:sz w:val="24"/>
          <w:szCs w:val="24"/>
        </w:rPr>
        <w:t xml:space="preserve">in order to develop entrepreneurial behavior </w:t>
      </w:r>
      <w:r w:rsidR="00FD382D" w:rsidRPr="00C537E0">
        <w:rPr>
          <w:rFonts w:ascii="Times New Roman" w:hAnsi="Times New Roman" w:cs="Times New Roman"/>
          <w:sz w:val="24"/>
          <w:szCs w:val="24"/>
        </w:rPr>
        <w:t xml:space="preserve">it is </w:t>
      </w:r>
      <w:r w:rsidR="002F19D4" w:rsidRPr="00C537E0">
        <w:rPr>
          <w:rFonts w:ascii="Times New Roman" w:hAnsi="Times New Roman" w:cs="Times New Roman"/>
          <w:sz w:val="24"/>
          <w:szCs w:val="24"/>
        </w:rPr>
        <w:t>essential to</w:t>
      </w:r>
      <w:r w:rsidR="00D9313F" w:rsidRPr="00C537E0">
        <w:rPr>
          <w:rFonts w:ascii="Times New Roman" w:hAnsi="Times New Roman" w:cs="Times New Roman"/>
          <w:sz w:val="24"/>
          <w:szCs w:val="24"/>
        </w:rPr>
        <w:t xml:space="preserve"> include more </w:t>
      </w:r>
      <w:r w:rsidR="000653BF">
        <w:rPr>
          <w:rFonts w:ascii="Times New Roman" w:hAnsi="Times New Roman" w:cs="Times New Roman"/>
          <w:sz w:val="24"/>
          <w:szCs w:val="24"/>
        </w:rPr>
        <w:t xml:space="preserve">practical activities into the traditional teaching </w:t>
      </w:r>
      <w:r w:rsidR="00D9313F" w:rsidRPr="00C537E0">
        <w:rPr>
          <w:rFonts w:ascii="Times New Roman" w:hAnsi="Times New Roman" w:cs="Times New Roman"/>
          <w:sz w:val="24"/>
          <w:szCs w:val="24"/>
        </w:rPr>
        <w:t>at the university. It i</w:t>
      </w:r>
      <w:r w:rsidR="000653BF">
        <w:rPr>
          <w:rFonts w:ascii="Times New Roman" w:hAnsi="Times New Roman" w:cs="Times New Roman"/>
          <w:sz w:val="24"/>
          <w:szCs w:val="24"/>
        </w:rPr>
        <w:t>s also necessary to consider</w:t>
      </w:r>
      <w:r w:rsidR="00D9313F" w:rsidRPr="00C537E0">
        <w:rPr>
          <w:rFonts w:ascii="Times New Roman" w:hAnsi="Times New Roman" w:cs="Times New Roman"/>
          <w:sz w:val="24"/>
          <w:szCs w:val="24"/>
        </w:rPr>
        <w:t xml:space="preserve"> ways </w:t>
      </w:r>
      <w:r w:rsidR="002F19D4" w:rsidRPr="00C537E0">
        <w:rPr>
          <w:rFonts w:ascii="Times New Roman" w:hAnsi="Times New Roman" w:cs="Times New Roman"/>
          <w:sz w:val="24"/>
          <w:szCs w:val="24"/>
        </w:rPr>
        <w:t>of</w:t>
      </w:r>
      <w:r w:rsidR="00D9313F" w:rsidRPr="00C537E0">
        <w:rPr>
          <w:rFonts w:ascii="Times New Roman" w:hAnsi="Times New Roman" w:cs="Times New Roman"/>
          <w:sz w:val="24"/>
          <w:szCs w:val="24"/>
        </w:rPr>
        <w:t xml:space="preserve"> using the potential of firsthand experience for the development of entrepreneurial behavior through supplementing university courses with some forms of communities of practice. </w:t>
      </w:r>
    </w:p>
    <w:p w:rsidR="00536BA3" w:rsidRPr="00C537E0" w:rsidRDefault="00536BA3" w:rsidP="00594A8D">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Key words: communities of practice, entrepreneurial behavior, </w:t>
      </w:r>
      <w:r w:rsidR="000653BF">
        <w:rPr>
          <w:rFonts w:ascii="Times New Roman" w:hAnsi="Times New Roman" w:cs="Times New Roman"/>
          <w:sz w:val="24"/>
          <w:szCs w:val="24"/>
        </w:rPr>
        <w:t>teach</w:t>
      </w:r>
      <w:r w:rsidR="00FD382D" w:rsidRPr="00C537E0">
        <w:rPr>
          <w:rFonts w:ascii="Times New Roman" w:hAnsi="Times New Roman" w:cs="Times New Roman"/>
          <w:sz w:val="24"/>
          <w:szCs w:val="24"/>
        </w:rPr>
        <w:t xml:space="preserve">ing, competences, </w:t>
      </w:r>
      <w:r w:rsidR="0030229E" w:rsidRPr="00C537E0">
        <w:rPr>
          <w:rFonts w:ascii="Times New Roman" w:hAnsi="Times New Roman" w:cs="Times New Roman"/>
          <w:sz w:val="24"/>
          <w:szCs w:val="24"/>
        </w:rPr>
        <w:t>u</w:t>
      </w:r>
      <w:r w:rsidR="00FD382D" w:rsidRPr="00C537E0">
        <w:rPr>
          <w:rFonts w:ascii="Times New Roman" w:hAnsi="Times New Roman" w:cs="Times New Roman"/>
          <w:sz w:val="24"/>
          <w:szCs w:val="24"/>
        </w:rPr>
        <w:t>niversity</w:t>
      </w:r>
    </w:p>
    <w:p w:rsidR="00536BA3" w:rsidRPr="00C537E0" w:rsidRDefault="00536BA3" w:rsidP="00594A8D">
      <w:pPr>
        <w:spacing w:line="240" w:lineRule="auto"/>
        <w:rPr>
          <w:rFonts w:ascii="Times New Roman" w:hAnsi="Times New Roman" w:cs="Times New Roman"/>
          <w:sz w:val="24"/>
          <w:szCs w:val="24"/>
          <w:lang w:val="hr-HR"/>
        </w:rPr>
      </w:pPr>
    </w:p>
    <w:p w:rsidR="00536BA3" w:rsidRPr="00C537E0" w:rsidRDefault="00536BA3" w:rsidP="00594A8D">
      <w:pPr>
        <w:spacing w:line="240" w:lineRule="auto"/>
        <w:rPr>
          <w:rFonts w:ascii="Times New Roman" w:hAnsi="Times New Roman" w:cs="Times New Roman"/>
          <w:sz w:val="24"/>
          <w:szCs w:val="24"/>
        </w:rPr>
      </w:pPr>
      <w:r w:rsidRPr="00C537E0">
        <w:rPr>
          <w:rFonts w:ascii="Times New Roman" w:hAnsi="Times New Roman" w:cs="Times New Roman"/>
          <w:sz w:val="24"/>
          <w:szCs w:val="24"/>
        </w:rPr>
        <w:br w:type="page"/>
      </w:r>
    </w:p>
    <w:p w:rsidR="00EC6DED" w:rsidRPr="00C537E0" w:rsidRDefault="00EC6DED" w:rsidP="00594A8D">
      <w:pPr>
        <w:spacing w:line="240" w:lineRule="auto"/>
        <w:jc w:val="both"/>
        <w:rPr>
          <w:rFonts w:ascii="Times New Roman" w:hAnsi="Times New Roman" w:cs="Times New Roman"/>
          <w:b/>
          <w:sz w:val="24"/>
          <w:szCs w:val="24"/>
        </w:rPr>
      </w:pPr>
      <w:r w:rsidRPr="00C537E0">
        <w:rPr>
          <w:rFonts w:ascii="Times New Roman" w:hAnsi="Times New Roman" w:cs="Times New Roman"/>
          <w:b/>
          <w:sz w:val="24"/>
          <w:szCs w:val="24"/>
        </w:rPr>
        <w:lastRenderedPageBreak/>
        <w:t>1. Introduction</w:t>
      </w:r>
    </w:p>
    <w:p w:rsidR="00364249" w:rsidRPr="00C537E0" w:rsidRDefault="009F3EC1" w:rsidP="00594A8D">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t>There is a growing interest in the field of e</w:t>
      </w:r>
      <w:r w:rsidR="00EC6DED" w:rsidRPr="00C537E0">
        <w:rPr>
          <w:rFonts w:ascii="Times New Roman" w:hAnsi="Times New Roman" w:cs="Times New Roman"/>
          <w:sz w:val="24"/>
          <w:szCs w:val="24"/>
        </w:rPr>
        <w:t>ntrepreneurship, especially since</w:t>
      </w:r>
      <w:r w:rsidRPr="00C537E0">
        <w:rPr>
          <w:rFonts w:ascii="Times New Roman" w:hAnsi="Times New Roman" w:cs="Times New Roman"/>
          <w:sz w:val="24"/>
          <w:szCs w:val="24"/>
        </w:rPr>
        <w:t xml:space="preserve"> Drucker’s prophetical insight that the Welfare state is past, and the Entrepreneurial Society seems like the most likely successor (Drucker, 1985).</w:t>
      </w:r>
      <w:r w:rsidR="00364249" w:rsidRPr="00C537E0">
        <w:rPr>
          <w:rFonts w:ascii="Times New Roman" w:hAnsi="Times New Roman" w:cs="Times New Roman"/>
          <w:sz w:val="24"/>
          <w:szCs w:val="24"/>
        </w:rPr>
        <w:t xml:space="preserve"> </w:t>
      </w:r>
      <w:r w:rsidR="00EC6DED" w:rsidRPr="00C537E0">
        <w:rPr>
          <w:rFonts w:ascii="Times New Roman" w:hAnsi="Times New Roman" w:cs="Times New Roman"/>
          <w:sz w:val="24"/>
          <w:szCs w:val="24"/>
        </w:rPr>
        <w:t>Entrepreneurial behavior has become</w:t>
      </w:r>
      <w:r w:rsidRPr="00C537E0">
        <w:rPr>
          <w:rFonts w:ascii="Times New Roman" w:hAnsi="Times New Roman" w:cs="Times New Roman"/>
          <w:sz w:val="24"/>
          <w:szCs w:val="24"/>
        </w:rPr>
        <w:t xml:space="preserve"> a prerequis</w:t>
      </w:r>
      <w:r w:rsidR="000A20C8" w:rsidRPr="00C537E0">
        <w:rPr>
          <w:rFonts w:ascii="Times New Roman" w:hAnsi="Times New Roman" w:cs="Times New Roman"/>
          <w:sz w:val="24"/>
          <w:szCs w:val="24"/>
        </w:rPr>
        <w:t>ite of any economic development and</w:t>
      </w:r>
      <w:r w:rsidRPr="00C537E0">
        <w:rPr>
          <w:rFonts w:ascii="Times New Roman" w:hAnsi="Times New Roman" w:cs="Times New Roman"/>
          <w:sz w:val="24"/>
          <w:szCs w:val="24"/>
        </w:rPr>
        <w:t xml:space="preserve"> </w:t>
      </w:r>
      <w:r w:rsidR="000A20C8" w:rsidRPr="00C537E0">
        <w:rPr>
          <w:rFonts w:ascii="Times New Roman" w:hAnsi="Times New Roman" w:cs="Times New Roman"/>
          <w:sz w:val="24"/>
          <w:szCs w:val="24"/>
        </w:rPr>
        <w:t>e</w:t>
      </w:r>
      <w:r w:rsidR="00364249" w:rsidRPr="00C537E0">
        <w:rPr>
          <w:rFonts w:ascii="Times New Roman" w:hAnsi="Times New Roman" w:cs="Times New Roman"/>
          <w:sz w:val="24"/>
          <w:szCs w:val="24"/>
        </w:rPr>
        <w:t>ducational institutions are increasingly called upon to provide better educated enterprising individuals who will either act as entrepreneurs, or will be able to ma</w:t>
      </w:r>
      <w:r w:rsidR="00B6402C">
        <w:rPr>
          <w:rFonts w:ascii="Times New Roman" w:hAnsi="Times New Roman" w:cs="Times New Roman"/>
          <w:sz w:val="24"/>
          <w:szCs w:val="24"/>
        </w:rPr>
        <w:t>nage their careers and</w:t>
      </w:r>
      <w:r w:rsidR="00364249" w:rsidRPr="00C537E0">
        <w:rPr>
          <w:rFonts w:ascii="Times New Roman" w:hAnsi="Times New Roman" w:cs="Times New Roman"/>
          <w:sz w:val="24"/>
          <w:szCs w:val="24"/>
        </w:rPr>
        <w:t xml:space="preserve"> lives in an entrepreneurial way. </w:t>
      </w:r>
    </w:p>
    <w:p w:rsidR="00364249" w:rsidRPr="00C537E0" w:rsidRDefault="000A20C8" w:rsidP="00594A8D">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t>L</w:t>
      </w:r>
      <w:r w:rsidR="00364249" w:rsidRPr="00C537E0">
        <w:rPr>
          <w:rFonts w:ascii="Times New Roman" w:hAnsi="Times New Roman" w:cs="Times New Roman"/>
          <w:sz w:val="24"/>
          <w:szCs w:val="24"/>
        </w:rPr>
        <w:t>iterature review indicates that education programs in entrepreneurship are quite homogeneous in terms of content (Katz, 2002; Hytti and O'Gorman, 2004)</w:t>
      </w:r>
      <w:r w:rsidRPr="00C537E0">
        <w:rPr>
          <w:rFonts w:ascii="Times New Roman" w:hAnsi="Times New Roman" w:cs="Times New Roman"/>
          <w:sz w:val="24"/>
          <w:szCs w:val="24"/>
        </w:rPr>
        <w:t>,</w:t>
      </w:r>
      <w:r w:rsidR="00364249" w:rsidRPr="00C537E0">
        <w:rPr>
          <w:rFonts w:ascii="Times New Roman" w:hAnsi="Times New Roman" w:cs="Times New Roman"/>
          <w:sz w:val="24"/>
          <w:szCs w:val="24"/>
        </w:rPr>
        <w:t xml:space="preserve"> but dispersed in terms of teaching pedagogy. </w:t>
      </w:r>
      <w:r w:rsidRPr="00C537E0">
        <w:rPr>
          <w:rFonts w:ascii="Times New Roman" w:hAnsi="Times New Roman" w:cs="Times New Roman"/>
          <w:sz w:val="24"/>
          <w:szCs w:val="24"/>
        </w:rPr>
        <w:t>Furthermore, d</w:t>
      </w:r>
      <w:r w:rsidR="00364249" w:rsidRPr="00C537E0">
        <w:rPr>
          <w:rFonts w:ascii="Times New Roman" w:hAnsi="Times New Roman" w:cs="Times New Roman"/>
          <w:sz w:val="24"/>
          <w:szCs w:val="24"/>
        </w:rPr>
        <w:t xml:space="preserve">espite the consensus among researchers and practitioners that entrepreneurship is teachable, models of successful entrepreneurship education delivery are rather elusive.  </w:t>
      </w:r>
    </w:p>
    <w:p w:rsidR="009C62DB" w:rsidRPr="00C537E0" w:rsidRDefault="000A20C8" w:rsidP="00594A8D">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t>T</w:t>
      </w:r>
      <w:r w:rsidR="009F3EC1" w:rsidRPr="00C537E0">
        <w:rPr>
          <w:rFonts w:ascii="Times New Roman" w:hAnsi="Times New Roman" w:cs="Times New Roman"/>
          <w:sz w:val="24"/>
          <w:szCs w:val="24"/>
        </w:rPr>
        <w:t xml:space="preserve">his study complements the knowledge </w:t>
      </w:r>
      <w:r w:rsidRPr="00C537E0">
        <w:rPr>
          <w:rFonts w:ascii="Times New Roman" w:hAnsi="Times New Roman" w:cs="Times New Roman"/>
          <w:sz w:val="24"/>
          <w:szCs w:val="24"/>
        </w:rPr>
        <w:t xml:space="preserve">about entrepreneurship education aiming to support the supply of young enterprising individuals into the economy through the identification of a potential more efficient teaching method. </w:t>
      </w:r>
      <w:r w:rsidR="009C62DB" w:rsidRPr="00C537E0">
        <w:rPr>
          <w:rFonts w:ascii="Times New Roman" w:hAnsi="Times New Roman" w:cs="Times New Roman"/>
          <w:sz w:val="24"/>
          <w:szCs w:val="24"/>
        </w:rPr>
        <w:t xml:space="preserve">It </w:t>
      </w:r>
      <w:r w:rsidR="00237664" w:rsidRPr="00C537E0">
        <w:rPr>
          <w:rFonts w:ascii="Times New Roman" w:hAnsi="Times New Roman" w:cs="Times New Roman"/>
          <w:sz w:val="24"/>
          <w:szCs w:val="24"/>
        </w:rPr>
        <w:t xml:space="preserve">focuses on defining the impact that communities of practice have on the development of entrepreneurial behavior and </w:t>
      </w:r>
      <w:r w:rsidR="009C62DB" w:rsidRPr="00C537E0">
        <w:rPr>
          <w:rFonts w:ascii="Times New Roman" w:hAnsi="Times New Roman" w:cs="Times New Roman"/>
          <w:sz w:val="24"/>
          <w:szCs w:val="24"/>
        </w:rPr>
        <w:t>proposes communities of practice as an innovative way of developing entrepreneurial behavior among university students</w:t>
      </w:r>
      <w:r w:rsidR="00237664" w:rsidRPr="00C537E0">
        <w:rPr>
          <w:rFonts w:ascii="Times New Roman" w:hAnsi="Times New Roman" w:cs="Times New Roman"/>
          <w:sz w:val="24"/>
          <w:szCs w:val="24"/>
        </w:rPr>
        <w:t>.</w:t>
      </w:r>
    </w:p>
    <w:p w:rsidR="00237664" w:rsidRPr="00C537E0" w:rsidRDefault="00237664" w:rsidP="00594A8D">
      <w:pPr>
        <w:spacing w:line="240" w:lineRule="auto"/>
        <w:jc w:val="both"/>
        <w:rPr>
          <w:rFonts w:ascii="Times New Roman" w:hAnsi="Times New Roman" w:cs="Times New Roman"/>
          <w:b/>
          <w:sz w:val="24"/>
          <w:szCs w:val="24"/>
        </w:rPr>
      </w:pPr>
    </w:p>
    <w:p w:rsidR="00364249" w:rsidRPr="00C537E0" w:rsidRDefault="00364249" w:rsidP="00594A8D">
      <w:pPr>
        <w:spacing w:line="240" w:lineRule="auto"/>
        <w:jc w:val="both"/>
        <w:rPr>
          <w:rFonts w:ascii="Times New Roman" w:hAnsi="Times New Roman" w:cs="Times New Roman"/>
          <w:b/>
          <w:sz w:val="24"/>
          <w:szCs w:val="24"/>
        </w:rPr>
      </w:pPr>
      <w:r w:rsidRPr="00C537E0">
        <w:rPr>
          <w:rFonts w:ascii="Times New Roman" w:hAnsi="Times New Roman" w:cs="Times New Roman"/>
          <w:b/>
          <w:sz w:val="24"/>
          <w:szCs w:val="24"/>
        </w:rPr>
        <w:t xml:space="preserve">2. </w:t>
      </w:r>
      <w:r w:rsidR="00D97DC5" w:rsidRPr="00C537E0">
        <w:rPr>
          <w:rFonts w:ascii="Times New Roman" w:hAnsi="Times New Roman" w:cs="Times New Roman"/>
          <w:b/>
          <w:sz w:val="24"/>
          <w:szCs w:val="24"/>
        </w:rPr>
        <w:t>Entrepreneurial behavior, entrepreneurship education</w:t>
      </w:r>
      <w:r w:rsidRPr="00C537E0">
        <w:rPr>
          <w:rFonts w:ascii="Times New Roman" w:hAnsi="Times New Roman" w:cs="Times New Roman"/>
          <w:b/>
          <w:sz w:val="24"/>
          <w:szCs w:val="24"/>
        </w:rPr>
        <w:t xml:space="preserve"> and communities of practice</w:t>
      </w:r>
    </w:p>
    <w:p w:rsidR="00BD069A" w:rsidRPr="00C537E0" w:rsidRDefault="003741C4" w:rsidP="00594A8D">
      <w:pPr>
        <w:spacing w:line="240" w:lineRule="auto"/>
        <w:jc w:val="both"/>
        <w:rPr>
          <w:rFonts w:ascii="Times New Roman" w:hAnsi="Times New Roman" w:cs="Times New Roman"/>
          <w:sz w:val="24"/>
          <w:szCs w:val="24"/>
        </w:rPr>
      </w:pPr>
      <w:r w:rsidRPr="00B6402C">
        <w:rPr>
          <w:rFonts w:ascii="Times New Roman" w:hAnsi="Times New Roman" w:cs="Times New Roman"/>
          <w:sz w:val="24"/>
          <w:szCs w:val="24"/>
        </w:rPr>
        <w:t>I</w:t>
      </w:r>
      <w:r w:rsidR="00BD069A" w:rsidRPr="00B6402C">
        <w:rPr>
          <w:rFonts w:ascii="Times New Roman" w:hAnsi="Times New Roman" w:cs="Times New Roman"/>
          <w:sz w:val="24"/>
          <w:szCs w:val="24"/>
        </w:rPr>
        <w:t xml:space="preserve">t </w:t>
      </w:r>
      <w:r w:rsidR="00B6402C" w:rsidRPr="00B6402C">
        <w:rPr>
          <w:rFonts w:ascii="Times New Roman" w:hAnsi="Times New Roman" w:cs="Times New Roman"/>
          <w:sz w:val="24"/>
          <w:szCs w:val="24"/>
        </w:rPr>
        <w:t>can be accept</w:t>
      </w:r>
      <w:r w:rsidRPr="00B6402C">
        <w:rPr>
          <w:rFonts w:ascii="Times New Roman" w:hAnsi="Times New Roman" w:cs="Times New Roman"/>
          <w:sz w:val="24"/>
          <w:szCs w:val="24"/>
        </w:rPr>
        <w:t>ed</w:t>
      </w:r>
      <w:r w:rsidRPr="00C537E0">
        <w:rPr>
          <w:rFonts w:ascii="Times New Roman" w:hAnsi="Times New Roman" w:cs="Times New Roman"/>
          <w:sz w:val="24"/>
          <w:szCs w:val="24"/>
        </w:rPr>
        <w:t xml:space="preserve"> </w:t>
      </w:r>
      <w:r w:rsidR="00BD069A" w:rsidRPr="00C537E0">
        <w:rPr>
          <w:rFonts w:ascii="Times New Roman" w:hAnsi="Times New Roman" w:cs="Times New Roman"/>
          <w:sz w:val="24"/>
          <w:szCs w:val="24"/>
        </w:rPr>
        <w:t>that</w:t>
      </w:r>
      <w:r w:rsidRPr="00C537E0">
        <w:rPr>
          <w:rFonts w:ascii="Times New Roman" w:hAnsi="Times New Roman" w:cs="Times New Roman"/>
          <w:sz w:val="24"/>
          <w:szCs w:val="24"/>
        </w:rPr>
        <w:t>,</w:t>
      </w:r>
      <w:r w:rsidR="00BD069A" w:rsidRPr="00C537E0">
        <w:rPr>
          <w:rFonts w:ascii="Times New Roman" w:hAnsi="Times New Roman" w:cs="Times New Roman"/>
          <w:sz w:val="24"/>
          <w:szCs w:val="24"/>
        </w:rPr>
        <w:t xml:space="preserve"> </w:t>
      </w:r>
      <w:r w:rsidRPr="00C537E0">
        <w:rPr>
          <w:rFonts w:ascii="Times New Roman" w:hAnsi="Times New Roman" w:cs="Times New Roman"/>
          <w:sz w:val="24"/>
          <w:szCs w:val="24"/>
        </w:rPr>
        <w:t xml:space="preserve">as any other kind of behavior, </w:t>
      </w:r>
      <w:r w:rsidR="00BD069A" w:rsidRPr="00C537E0">
        <w:rPr>
          <w:rFonts w:ascii="Times New Roman" w:hAnsi="Times New Roman" w:cs="Times New Roman"/>
          <w:sz w:val="24"/>
          <w:szCs w:val="24"/>
        </w:rPr>
        <w:t xml:space="preserve">entrepreneurial behavior </w:t>
      </w:r>
      <w:r w:rsidRPr="00C537E0">
        <w:rPr>
          <w:rFonts w:ascii="Times New Roman" w:hAnsi="Times New Roman" w:cs="Times New Roman"/>
          <w:sz w:val="24"/>
          <w:szCs w:val="24"/>
        </w:rPr>
        <w:t xml:space="preserve">also </w:t>
      </w:r>
      <w:r w:rsidR="00BD069A" w:rsidRPr="00C537E0">
        <w:rPr>
          <w:rFonts w:ascii="Times New Roman" w:hAnsi="Times New Roman" w:cs="Times New Roman"/>
          <w:sz w:val="24"/>
          <w:szCs w:val="24"/>
        </w:rPr>
        <w:t xml:space="preserve">consists of individual’s actions and reactions, </w:t>
      </w:r>
      <w:r w:rsidR="00B6402C">
        <w:rPr>
          <w:rFonts w:ascii="Times New Roman" w:hAnsi="Times New Roman" w:cs="Times New Roman"/>
          <w:sz w:val="24"/>
          <w:szCs w:val="24"/>
        </w:rPr>
        <w:t>which present</w:t>
      </w:r>
      <w:r w:rsidRPr="00C537E0">
        <w:rPr>
          <w:rFonts w:ascii="Times New Roman" w:hAnsi="Times New Roman" w:cs="Times New Roman"/>
          <w:sz w:val="24"/>
          <w:szCs w:val="24"/>
        </w:rPr>
        <w:t xml:space="preserve"> a </w:t>
      </w:r>
      <w:r w:rsidR="00BD069A" w:rsidRPr="00C537E0">
        <w:rPr>
          <w:rFonts w:ascii="Times New Roman" w:hAnsi="Times New Roman" w:cs="Times New Roman"/>
          <w:sz w:val="24"/>
          <w:szCs w:val="24"/>
        </w:rPr>
        <w:t xml:space="preserve">response to the external and internal impulses. </w:t>
      </w:r>
      <w:r w:rsidRPr="00C537E0">
        <w:rPr>
          <w:rFonts w:ascii="Times New Roman" w:hAnsi="Times New Roman" w:cs="Times New Roman"/>
          <w:sz w:val="24"/>
          <w:szCs w:val="24"/>
        </w:rPr>
        <w:t xml:space="preserve">Based on the </w:t>
      </w:r>
      <w:r w:rsidR="00823269" w:rsidRPr="00C537E0">
        <w:rPr>
          <w:rFonts w:ascii="Times New Roman" w:hAnsi="Times New Roman" w:cs="Times New Roman"/>
          <w:sz w:val="24"/>
          <w:szCs w:val="24"/>
        </w:rPr>
        <w:t>definition of entrepreneurship (</w:t>
      </w:r>
      <w:r w:rsidR="00517583" w:rsidRPr="00C537E0">
        <w:rPr>
          <w:rFonts w:ascii="Times New Roman" w:hAnsi="Times New Roman" w:cs="Times New Roman"/>
          <w:sz w:val="24"/>
          <w:szCs w:val="24"/>
        </w:rPr>
        <w:t>Bygrave</w:t>
      </w:r>
      <w:r w:rsidR="00823269" w:rsidRPr="00C537E0">
        <w:rPr>
          <w:rFonts w:ascii="Times New Roman" w:hAnsi="Times New Roman" w:cs="Times New Roman"/>
          <w:sz w:val="24"/>
          <w:szCs w:val="24"/>
        </w:rPr>
        <w:t xml:space="preserve">, 1991; Herron and Robinson, 1993; Gibb and Cotton, 1998), </w:t>
      </w:r>
      <w:r w:rsidRPr="00C537E0">
        <w:rPr>
          <w:rFonts w:ascii="Times New Roman" w:hAnsi="Times New Roman" w:cs="Times New Roman"/>
          <w:sz w:val="24"/>
          <w:szCs w:val="24"/>
        </w:rPr>
        <w:t>it can be concluded that in the case of entrepreneurial behavior, t</w:t>
      </w:r>
      <w:r w:rsidR="00BD069A" w:rsidRPr="00C537E0">
        <w:rPr>
          <w:rFonts w:ascii="Times New Roman" w:hAnsi="Times New Roman" w:cs="Times New Roman"/>
          <w:sz w:val="24"/>
          <w:szCs w:val="24"/>
        </w:rPr>
        <w:t xml:space="preserve">hese </w:t>
      </w:r>
      <w:r w:rsidR="00823269" w:rsidRPr="00C537E0">
        <w:rPr>
          <w:rFonts w:ascii="Times New Roman" w:hAnsi="Times New Roman" w:cs="Times New Roman"/>
          <w:sz w:val="24"/>
          <w:szCs w:val="24"/>
        </w:rPr>
        <w:t xml:space="preserve">particular </w:t>
      </w:r>
      <w:r w:rsidR="00BD069A" w:rsidRPr="00C537E0">
        <w:rPr>
          <w:rFonts w:ascii="Times New Roman" w:hAnsi="Times New Roman" w:cs="Times New Roman"/>
          <w:sz w:val="24"/>
          <w:szCs w:val="24"/>
        </w:rPr>
        <w:t xml:space="preserve">actions and reactions </w:t>
      </w:r>
      <w:r w:rsidRPr="00C537E0">
        <w:rPr>
          <w:rFonts w:ascii="Times New Roman" w:hAnsi="Times New Roman" w:cs="Times New Roman"/>
          <w:sz w:val="24"/>
          <w:szCs w:val="24"/>
        </w:rPr>
        <w:t xml:space="preserve">are </w:t>
      </w:r>
      <w:r w:rsidR="00B6402C">
        <w:rPr>
          <w:rFonts w:ascii="Times New Roman" w:hAnsi="Times New Roman" w:cs="Times New Roman"/>
          <w:sz w:val="24"/>
          <w:szCs w:val="24"/>
        </w:rPr>
        <w:t xml:space="preserve">the ones </w:t>
      </w:r>
      <w:r w:rsidRPr="00C537E0">
        <w:rPr>
          <w:rFonts w:ascii="Times New Roman" w:hAnsi="Times New Roman" w:cs="Times New Roman"/>
          <w:sz w:val="24"/>
          <w:szCs w:val="24"/>
        </w:rPr>
        <w:t>needed</w:t>
      </w:r>
      <w:r w:rsidR="00BD069A" w:rsidRPr="00C537E0">
        <w:rPr>
          <w:rFonts w:ascii="Times New Roman" w:hAnsi="Times New Roman" w:cs="Times New Roman"/>
          <w:sz w:val="24"/>
          <w:szCs w:val="24"/>
        </w:rPr>
        <w:t xml:space="preserve"> for the creation and recognition of opportunities, introduction of changes </w:t>
      </w:r>
      <w:r w:rsidRPr="00C537E0">
        <w:rPr>
          <w:rFonts w:ascii="Times New Roman" w:hAnsi="Times New Roman" w:cs="Times New Roman"/>
          <w:sz w:val="24"/>
          <w:szCs w:val="24"/>
        </w:rPr>
        <w:t xml:space="preserve">and </w:t>
      </w:r>
      <w:r w:rsidR="00BD069A" w:rsidRPr="00C537E0">
        <w:rPr>
          <w:rFonts w:ascii="Times New Roman" w:hAnsi="Times New Roman" w:cs="Times New Roman"/>
          <w:sz w:val="24"/>
          <w:szCs w:val="24"/>
        </w:rPr>
        <w:t xml:space="preserve">creation of organizations whose aim is to make use of </w:t>
      </w:r>
      <w:r w:rsidRPr="00C537E0">
        <w:rPr>
          <w:rFonts w:ascii="Times New Roman" w:hAnsi="Times New Roman" w:cs="Times New Roman"/>
          <w:sz w:val="24"/>
          <w:szCs w:val="24"/>
        </w:rPr>
        <w:t>these opportunities and manage</w:t>
      </w:r>
      <w:r w:rsidR="00BD069A" w:rsidRPr="00C537E0">
        <w:rPr>
          <w:rFonts w:ascii="Times New Roman" w:hAnsi="Times New Roman" w:cs="Times New Roman"/>
          <w:sz w:val="24"/>
          <w:szCs w:val="24"/>
        </w:rPr>
        <w:t xml:space="preserve"> the increasing levels of uncertainty and complexity</w:t>
      </w:r>
      <w:r w:rsidRPr="00C537E0">
        <w:rPr>
          <w:rFonts w:ascii="Times New Roman" w:hAnsi="Times New Roman" w:cs="Times New Roman"/>
          <w:sz w:val="24"/>
          <w:szCs w:val="24"/>
        </w:rPr>
        <w:t xml:space="preserve"> in the environment</w:t>
      </w:r>
      <w:r w:rsidR="00BD069A" w:rsidRPr="00C537E0">
        <w:rPr>
          <w:rFonts w:ascii="Times New Roman" w:hAnsi="Times New Roman" w:cs="Times New Roman"/>
          <w:sz w:val="24"/>
          <w:szCs w:val="24"/>
        </w:rPr>
        <w:t xml:space="preserve">. </w:t>
      </w:r>
      <w:r w:rsidR="000E04B2" w:rsidRPr="00C537E0">
        <w:rPr>
          <w:rFonts w:ascii="Times New Roman" w:hAnsi="Times New Roman" w:cs="Times New Roman"/>
          <w:sz w:val="24"/>
          <w:szCs w:val="24"/>
        </w:rPr>
        <w:t>Entrepreneurial behavior is influence</w:t>
      </w:r>
      <w:r w:rsidR="00B6402C">
        <w:rPr>
          <w:rFonts w:ascii="Times New Roman" w:hAnsi="Times New Roman" w:cs="Times New Roman"/>
          <w:sz w:val="24"/>
          <w:szCs w:val="24"/>
        </w:rPr>
        <w:t>d</w:t>
      </w:r>
      <w:r w:rsidR="000E04B2" w:rsidRPr="00C537E0">
        <w:rPr>
          <w:rFonts w:ascii="Times New Roman" w:hAnsi="Times New Roman" w:cs="Times New Roman"/>
          <w:sz w:val="24"/>
          <w:szCs w:val="24"/>
        </w:rPr>
        <w:t xml:space="preserve"> by following element</w:t>
      </w:r>
      <w:r w:rsidR="00517583" w:rsidRPr="00C537E0">
        <w:rPr>
          <w:rFonts w:ascii="Times New Roman" w:hAnsi="Times New Roman" w:cs="Times New Roman"/>
          <w:sz w:val="24"/>
          <w:szCs w:val="24"/>
        </w:rPr>
        <w:t xml:space="preserve">s: </w:t>
      </w:r>
      <w:r w:rsidR="000E04B2" w:rsidRPr="00C537E0">
        <w:rPr>
          <w:rFonts w:ascii="Times New Roman" w:hAnsi="Times New Roman" w:cs="Times New Roman"/>
          <w:sz w:val="24"/>
          <w:szCs w:val="24"/>
        </w:rPr>
        <w:t xml:space="preserve">demographic factors and </w:t>
      </w:r>
      <w:r w:rsidR="00517583" w:rsidRPr="00C537E0">
        <w:rPr>
          <w:rFonts w:ascii="Times New Roman" w:hAnsi="Times New Roman" w:cs="Times New Roman"/>
          <w:sz w:val="24"/>
          <w:szCs w:val="24"/>
        </w:rPr>
        <w:t>personal characteristics, attitudes and believes, intentions, environment</w:t>
      </w:r>
      <w:r w:rsidR="000E04B2" w:rsidRPr="00C537E0">
        <w:rPr>
          <w:rFonts w:ascii="Times New Roman" w:hAnsi="Times New Roman" w:cs="Times New Roman"/>
          <w:sz w:val="24"/>
          <w:szCs w:val="24"/>
        </w:rPr>
        <w:t>, entrepreneurial competences and education (Sedlan-Kőnig, 2012).</w:t>
      </w:r>
      <w:r w:rsidR="00517583" w:rsidRPr="00C537E0">
        <w:rPr>
          <w:rFonts w:ascii="Times New Roman" w:hAnsi="Times New Roman" w:cs="Times New Roman"/>
          <w:sz w:val="24"/>
          <w:szCs w:val="24"/>
        </w:rPr>
        <w:t xml:space="preserve"> </w:t>
      </w:r>
      <w:r w:rsidR="000E04B2" w:rsidRPr="00B82AB6">
        <w:rPr>
          <w:rFonts w:ascii="Times New Roman" w:hAnsi="Times New Roman" w:cs="Times New Roman"/>
          <w:sz w:val="24"/>
          <w:szCs w:val="24"/>
        </w:rPr>
        <w:t>Previous research</w:t>
      </w:r>
      <w:r w:rsidR="000E04B2" w:rsidRPr="00C537E0">
        <w:rPr>
          <w:rFonts w:ascii="Times New Roman" w:hAnsi="Times New Roman" w:cs="Times New Roman"/>
          <w:sz w:val="24"/>
          <w:szCs w:val="24"/>
        </w:rPr>
        <w:t xml:space="preserve"> </w:t>
      </w:r>
      <w:r w:rsidR="00B82AB6">
        <w:rPr>
          <w:rFonts w:ascii="Times New Roman" w:hAnsi="Times New Roman" w:cs="Times New Roman"/>
          <w:sz w:val="24"/>
          <w:szCs w:val="24"/>
        </w:rPr>
        <w:t xml:space="preserve">(Bird, 1988; Krueger, 2003) </w:t>
      </w:r>
      <w:r w:rsidR="000E04B2" w:rsidRPr="00C537E0">
        <w:rPr>
          <w:rFonts w:ascii="Times New Roman" w:hAnsi="Times New Roman" w:cs="Times New Roman"/>
          <w:sz w:val="24"/>
          <w:szCs w:val="24"/>
        </w:rPr>
        <w:t xml:space="preserve">indicates that education can contribute significantly to the development of entrepreneurial behavior, in particular though the acquisition of competences. The role of competences in the development of entrepreneurial behavior has </w:t>
      </w:r>
      <w:r w:rsidR="00B6402C" w:rsidRPr="00C537E0">
        <w:rPr>
          <w:rFonts w:ascii="Times New Roman" w:hAnsi="Times New Roman" w:cs="Times New Roman"/>
          <w:sz w:val="24"/>
          <w:szCs w:val="24"/>
        </w:rPr>
        <w:t>unjus</w:t>
      </w:r>
      <w:r w:rsidR="00B6402C">
        <w:rPr>
          <w:rFonts w:ascii="Times New Roman" w:hAnsi="Times New Roman" w:cs="Times New Roman"/>
          <w:sz w:val="24"/>
          <w:szCs w:val="24"/>
        </w:rPr>
        <w:t>tly</w:t>
      </w:r>
      <w:r w:rsidR="00B6402C" w:rsidRPr="00B6402C">
        <w:rPr>
          <w:rFonts w:ascii="Times New Roman" w:hAnsi="Times New Roman" w:cs="Times New Roman"/>
          <w:sz w:val="24"/>
          <w:szCs w:val="24"/>
        </w:rPr>
        <w:t xml:space="preserve"> </w:t>
      </w:r>
      <w:r w:rsidR="000E04B2" w:rsidRPr="00C537E0">
        <w:rPr>
          <w:rFonts w:ascii="Times New Roman" w:hAnsi="Times New Roman" w:cs="Times New Roman"/>
          <w:sz w:val="24"/>
          <w:szCs w:val="24"/>
        </w:rPr>
        <w:t>been</w:t>
      </w:r>
      <w:r w:rsidR="00967806" w:rsidRPr="00C537E0">
        <w:rPr>
          <w:rFonts w:ascii="Times New Roman" w:hAnsi="Times New Roman" w:cs="Times New Roman"/>
          <w:sz w:val="24"/>
          <w:szCs w:val="24"/>
        </w:rPr>
        <w:t xml:space="preserve"> </w:t>
      </w:r>
      <w:r w:rsidR="00B6402C" w:rsidRPr="00C537E0">
        <w:rPr>
          <w:rFonts w:ascii="Times New Roman" w:hAnsi="Times New Roman" w:cs="Times New Roman"/>
          <w:sz w:val="24"/>
          <w:szCs w:val="24"/>
        </w:rPr>
        <w:t>neglected</w:t>
      </w:r>
      <w:r w:rsidR="000E04B2" w:rsidRPr="00C537E0">
        <w:rPr>
          <w:rFonts w:ascii="Times New Roman" w:hAnsi="Times New Roman" w:cs="Times New Roman"/>
          <w:sz w:val="24"/>
          <w:szCs w:val="24"/>
        </w:rPr>
        <w:t xml:space="preserve">.   </w:t>
      </w:r>
    </w:p>
    <w:p w:rsidR="00824F63" w:rsidRPr="00C537E0" w:rsidRDefault="00364249" w:rsidP="00594A8D">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t xml:space="preserve"> </w:t>
      </w:r>
      <w:r w:rsidR="00EC6DED" w:rsidRPr="00C537E0">
        <w:rPr>
          <w:rFonts w:ascii="Times New Roman" w:hAnsi="Times New Roman" w:cs="Times New Roman"/>
          <w:sz w:val="24"/>
          <w:szCs w:val="24"/>
        </w:rPr>
        <w:t>“Ent</w:t>
      </w:r>
      <w:r w:rsidR="00A14C28" w:rsidRPr="00C537E0">
        <w:rPr>
          <w:rFonts w:ascii="Times New Roman" w:hAnsi="Times New Roman" w:cs="Times New Roman"/>
          <w:sz w:val="24"/>
          <w:szCs w:val="24"/>
        </w:rPr>
        <w:t>repreneurship education program</w:t>
      </w:r>
      <w:r w:rsidR="00EC6DED" w:rsidRPr="00C537E0">
        <w:rPr>
          <w:rFonts w:ascii="Times New Roman" w:hAnsi="Times New Roman" w:cs="Times New Roman"/>
          <w:sz w:val="24"/>
          <w:szCs w:val="24"/>
        </w:rPr>
        <w:t xml:space="preserve"> is usually defined as the process of providing individuals with the ability to recognize commercial opportunities and the knowledge, skills and attitudes to act on them.¨ (</w:t>
      </w:r>
      <w:r w:rsidRPr="00C537E0">
        <w:rPr>
          <w:rFonts w:ascii="Times New Roman" w:hAnsi="Times New Roman" w:cs="Times New Roman"/>
          <w:sz w:val="24"/>
          <w:szCs w:val="24"/>
        </w:rPr>
        <w:t>Jones and English, 2004, 416</w:t>
      </w:r>
      <w:r w:rsidR="00EC6DED" w:rsidRPr="00C537E0">
        <w:rPr>
          <w:rFonts w:ascii="Times New Roman" w:hAnsi="Times New Roman" w:cs="Times New Roman"/>
          <w:sz w:val="24"/>
          <w:szCs w:val="24"/>
        </w:rPr>
        <w:t>)</w:t>
      </w:r>
      <w:r w:rsidRPr="00C537E0">
        <w:rPr>
          <w:rFonts w:ascii="Times New Roman" w:hAnsi="Times New Roman" w:cs="Times New Roman"/>
          <w:sz w:val="24"/>
          <w:szCs w:val="24"/>
        </w:rPr>
        <w:t>. T</w:t>
      </w:r>
      <w:r w:rsidR="00EC6DED" w:rsidRPr="00C537E0">
        <w:rPr>
          <w:rFonts w:ascii="Times New Roman" w:hAnsi="Times New Roman" w:cs="Times New Roman"/>
          <w:sz w:val="24"/>
          <w:szCs w:val="24"/>
        </w:rPr>
        <w:t>his definition emphasizes the professional skills and “how to”</w:t>
      </w:r>
      <w:r w:rsidRPr="00C537E0">
        <w:rPr>
          <w:rFonts w:ascii="Times New Roman" w:hAnsi="Times New Roman" w:cs="Times New Roman"/>
          <w:sz w:val="24"/>
          <w:szCs w:val="24"/>
        </w:rPr>
        <w:t xml:space="preserve"> knowledge</w:t>
      </w:r>
      <w:r w:rsidR="00EC6DED" w:rsidRPr="00C537E0">
        <w:rPr>
          <w:rFonts w:ascii="Times New Roman" w:hAnsi="Times New Roman" w:cs="Times New Roman"/>
          <w:sz w:val="24"/>
          <w:szCs w:val="24"/>
        </w:rPr>
        <w:t xml:space="preserve"> that is essential for starting, managing and growing </w:t>
      </w:r>
      <w:r w:rsidRPr="00C537E0">
        <w:rPr>
          <w:rFonts w:ascii="Times New Roman" w:hAnsi="Times New Roman" w:cs="Times New Roman"/>
          <w:sz w:val="24"/>
          <w:szCs w:val="24"/>
        </w:rPr>
        <w:t xml:space="preserve">a </w:t>
      </w:r>
      <w:r w:rsidR="00EC6DED" w:rsidRPr="00C537E0">
        <w:rPr>
          <w:rFonts w:ascii="Times New Roman" w:hAnsi="Times New Roman" w:cs="Times New Roman"/>
          <w:sz w:val="24"/>
          <w:szCs w:val="24"/>
        </w:rPr>
        <w:t xml:space="preserve">new business. </w:t>
      </w:r>
      <w:r w:rsidRPr="00C537E0">
        <w:rPr>
          <w:rFonts w:ascii="Times New Roman" w:hAnsi="Times New Roman" w:cs="Times New Roman"/>
          <w:sz w:val="24"/>
          <w:szCs w:val="24"/>
        </w:rPr>
        <w:t xml:space="preserve">However, </w:t>
      </w:r>
      <w:r w:rsidR="00EC6DED" w:rsidRPr="00C537E0">
        <w:rPr>
          <w:rFonts w:ascii="Times New Roman" w:hAnsi="Times New Roman" w:cs="Times New Roman"/>
          <w:sz w:val="24"/>
          <w:szCs w:val="24"/>
        </w:rPr>
        <w:t xml:space="preserve">changing dynamics of environment and the way economies function </w:t>
      </w:r>
      <w:r w:rsidR="00967806" w:rsidRPr="00C537E0">
        <w:rPr>
          <w:rFonts w:ascii="Times New Roman" w:hAnsi="Times New Roman" w:cs="Times New Roman"/>
          <w:sz w:val="24"/>
          <w:szCs w:val="24"/>
        </w:rPr>
        <w:t>today</w:t>
      </w:r>
      <w:r w:rsidR="00EC6DED" w:rsidRPr="00C537E0">
        <w:rPr>
          <w:rFonts w:ascii="Times New Roman" w:hAnsi="Times New Roman" w:cs="Times New Roman"/>
          <w:sz w:val="24"/>
          <w:szCs w:val="24"/>
        </w:rPr>
        <w:t xml:space="preserve"> have created the imperative for </w:t>
      </w:r>
      <w:r w:rsidRPr="00C537E0">
        <w:rPr>
          <w:rFonts w:ascii="Times New Roman" w:hAnsi="Times New Roman" w:cs="Times New Roman"/>
          <w:sz w:val="24"/>
          <w:szCs w:val="24"/>
        </w:rPr>
        <w:t xml:space="preserve">a </w:t>
      </w:r>
      <w:r w:rsidR="00EC6DED" w:rsidRPr="00C537E0">
        <w:rPr>
          <w:rFonts w:ascii="Times New Roman" w:hAnsi="Times New Roman" w:cs="Times New Roman"/>
          <w:sz w:val="24"/>
          <w:szCs w:val="24"/>
        </w:rPr>
        <w:t>broader</w:t>
      </w:r>
      <w:r w:rsidRPr="00C537E0">
        <w:rPr>
          <w:rFonts w:ascii="Times New Roman" w:hAnsi="Times New Roman" w:cs="Times New Roman"/>
          <w:sz w:val="24"/>
          <w:szCs w:val="24"/>
        </w:rPr>
        <w:t xml:space="preserve"> understanding</w:t>
      </w:r>
      <w:r w:rsidR="00EC6DED" w:rsidRPr="00C537E0">
        <w:rPr>
          <w:rFonts w:ascii="Times New Roman" w:hAnsi="Times New Roman" w:cs="Times New Roman"/>
          <w:sz w:val="24"/>
          <w:szCs w:val="24"/>
        </w:rPr>
        <w:t xml:space="preserve"> of </w:t>
      </w:r>
      <w:r w:rsidRPr="00C537E0">
        <w:rPr>
          <w:rFonts w:ascii="Times New Roman" w:hAnsi="Times New Roman" w:cs="Times New Roman"/>
          <w:sz w:val="24"/>
          <w:szCs w:val="24"/>
        </w:rPr>
        <w:t xml:space="preserve">the role of </w:t>
      </w:r>
      <w:r w:rsidR="00EC6DED" w:rsidRPr="00C537E0">
        <w:rPr>
          <w:rFonts w:ascii="Times New Roman" w:hAnsi="Times New Roman" w:cs="Times New Roman"/>
          <w:sz w:val="24"/>
          <w:szCs w:val="24"/>
        </w:rPr>
        <w:t>entrepreneurship</w:t>
      </w:r>
      <w:r w:rsidR="00A14C28" w:rsidRPr="00C537E0">
        <w:rPr>
          <w:rFonts w:ascii="Times New Roman" w:hAnsi="Times New Roman" w:cs="Times New Roman"/>
          <w:sz w:val="24"/>
          <w:szCs w:val="24"/>
        </w:rPr>
        <w:t xml:space="preserve"> education</w:t>
      </w:r>
      <w:r w:rsidR="00EC6DED" w:rsidRPr="00C537E0">
        <w:rPr>
          <w:rFonts w:ascii="Times New Roman" w:hAnsi="Times New Roman" w:cs="Times New Roman"/>
          <w:sz w:val="24"/>
          <w:szCs w:val="24"/>
        </w:rPr>
        <w:t>.  Beside</w:t>
      </w:r>
      <w:r w:rsidR="00A14C28" w:rsidRPr="00C537E0">
        <w:rPr>
          <w:rFonts w:ascii="Times New Roman" w:hAnsi="Times New Roman" w:cs="Times New Roman"/>
          <w:sz w:val="24"/>
          <w:szCs w:val="24"/>
        </w:rPr>
        <w:t>s</w:t>
      </w:r>
      <w:r w:rsidR="00EC6DED" w:rsidRPr="00C537E0">
        <w:rPr>
          <w:rFonts w:ascii="Times New Roman" w:hAnsi="Times New Roman" w:cs="Times New Roman"/>
          <w:sz w:val="24"/>
          <w:szCs w:val="24"/>
        </w:rPr>
        <w:t xml:space="preserve"> professional skills and knowledge</w:t>
      </w:r>
      <w:r w:rsidR="00A14C28" w:rsidRPr="00C537E0">
        <w:rPr>
          <w:rFonts w:ascii="Times New Roman" w:hAnsi="Times New Roman" w:cs="Times New Roman"/>
          <w:sz w:val="24"/>
          <w:szCs w:val="24"/>
        </w:rPr>
        <w:t>,</w:t>
      </w:r>
      <w:r w:rsidR="00EC6DED" w:rsidRPr="00C537E0">
        <w:rPr>
          <w:rFonts w:ascii="Times New Roman" w:hAnsi="Times New Roman" w:cs="Times New Roman"/>
          <w:sz w:val="24"/>
          <w:szCs w:val="24"/>
        </w:rPr>
        <w:t xml:space="preserve"> entrepreneurship</w:t>
      </w:r>
      <w:r w:rsidR="00A14C28" w:rsidRPr="00C537E0">
        <w:rPr>
          <w:rFonts w:ascii="Times New Roman" w:hAnsi="Times New Roman" w:cs="Times New Roman"/>
          <w:sz w:val="24"/>
          <w:szCs w:val="24"/>
        </w:rPr>
        <w:t xml:space="preserve"> education should foster</w:t>
      </w:r>
      <w:r w:rsidR="00EC6DED" w:rsidRPr="00C537E0">
        <w:rPr>
          <w:rFonts w:ascii="Times New Roman" w:hAnsi="Times New Roman" w:cs="Times New Roman"/>
          <w:sz w:val="24"/>
          <w:szCs w:val="24"/>
        </w:rPr>
        <w:t xml:space="preserve"> entrepreneurial</w:t>
      </w:r>
      <w:r w:rsidR="00A14C28" w:rsidRPr="00C537E0">
        <w:rPr>
          <w:rFonts w:ascii="Times New Roman" w:hAnsi="Times New Roman" w:cs="Times New Roman"/>
          <w:sz w:val="24"/>
          <w:szCs w:val="24"/>
        </w:rPr>
        <w:t xml:space="preserve"> </w:t>
      </w:r>
      <w:r w:rsidR="00A14C28" w:rsidRPr="00C537E0">
        <w:rPr>
          <w:rFonts w:ascii="Times New Roman" w:hAnsi="Times New Roman" w:cs="Times New Roman"/>
          <w:sz w:val="24"/>
          <w:szCs w:val="24"/>
        </w:rPr>
        <w:lastRenderedPageBreak/>
        <w:t xml:space="preserve">competences in every individual, as well as </w:t>
      </w:r>
      <w:r w:rsidR="00EC6DED" w:rsidRPr="00C537E0">
        <w:rPr>
          <w:rFonts w:ascii="Times New Roman" w:hAnsi="Times New Roman" w:cs="Times New Roman"/>
          <w:sz w:val="24"/>
          <w:szCs w:val="24"/>
        </w:rPr>
        <w:t xml:space="preserve">awareness about the benefits of entrepreneurship in the society. </w:t>
      </w:r>
      <w:r w:rsidR="00967806" w:rsidRPr="00C537E0">
        <w:rPr>
          <w:rFonts w:ascii="Times New Roman" w:hAnsi="Times New Roman" w:cs="Times New Roman"/>
          <w:sz w:val="24"/>
          <w:szCs w:val="24"/>
        </w:rPr>
        <w:t>Therefore, universities</w:t>
      </w:r>
      <w:r w:rsidR="00EC6DED" w:rsidRPr="00C537E0">
        <w:rPr>
          <w:rFonts w:ascii="Times New Roman" w:hAnsi="Times New Roman" w:cs="Times New Roman"/>
          <w:sz w:val="24"/>
          <w:szCs w:val="24"/>
        </w:rPr>
        <w:t xml:space="preserve"> have been </w:t>
      </w:r>
      <w:r w:rsidR="00474A65">
        <w:rPr>
          <w:rFonts w:ascii="Times New Roman" w:hAnsi="Times New Roman" w:cs="Times New Roman"/>
          <w:sz w:val="24"/>
          <w:szCs w:val="24"/>
        </w:rPr>
        <w:t>encourag</w:t>
      </w:r>
      <w:r w:rsidR="00EC6DED" w:rsidRPr="00C537E0">
        <w:rPr>
          <w:rFonts w:ascii="Times New Roman" w:hAnsi="Times New Roman" w:cs="Times New Roman"/>
          <w:sz w:val="24"/>
          <w:szCs w:val="24"/>
        </w:rPr>
        <w:t>ed to provide more substantial impact on developing and stimulating entrepreneurial knowledge, skills</w:t>
      </w:r>
      <w:r w:rsidR="00A14C28" w:rsidRPr="00C537E0">
        <w:rPr>
          <w:rFonts w:ascii="Times New Roman" w:hAnsi="Times New Roman" w:cs="Times New Roman"/>
          <w:sz w:val="24"/>
          <w:szCs w:val="24"/>
        </w:rPr>
        <w:t>,</w:t>
      </w:r>
      <w:r w:rsidR="00EC6DED" w:rsidRPr="00C537E0">
        <w:rPr>
          <w:rFonts w:ascii="Times New Roman" w:hAnsi="Times New Roman" w:cs="Times New Roman"/>
          <w:sz w:val="24"/>
          <w:szCs w:val="24"/>
        </w:rPr>
        <w:t xml:space="preserve"> </w:t>
      </w:r>
      <w:r w:rsidR="00A14C28" w:rsidRPr="00C537E0">
        <w:rPr>
          <w:rFonts w:ascii="Times New Roman" w:hAnsi="Times New Roman" w:cs="Times New Roman"/>
          <w:sz w:val="24"/>
          <w:szCs w:val="24"/>
        </w:rPr>
        <w:t xml:space="preserve">attitudes and </w:t>
      </w:r>
      <w:r w:rsidR="00EC6DED" w:rsidRPr="00C537E0">
        <w:rPr>
          <w:rFonts w:ascii="Times New Roman" w:hAnsi="Times New Roman" w:cs="Times New Roman"/>
          <w:sz w:val="24"/>
          <w:szCs w:val="24"/>
        </w:rPr>
        <w:t>values</w:t>
      </w:r>
      <w:r w:rsidR="00A14C28" w:rsidRPr="00C537E0">
        <w:rPr>
          <w:rFonts w:ascii="Times New Roman" w:hAnsi="Times New Roman" w:cs="Times New Roman"/>
          <w:sz w:val="24"/>
          <w:szCs w:val="24"/>
        </w:rPr>
        <w:t xml:space="preserve"> </w:t>
      </w:r>
      <w:r w:rsidR="00967806" w:rsidRPr="00C537E0">
        <w:rPr>
          <w:rFonts w:ascii="Times New Roman" w:hAnsi="Times New Roman" w:cs="Times New Roman"/>
          <w:sz w:val="24"/>
          <w:szCs w:val="24"/>
        </w:rPr>
        <w:t>through</w:t>
      </w:r>
      <w:r w:rsidR="00A14C28" w:rsidRPr="00C537E0">
        <w:rPr>
          <w:rFonts w:ascii="Times New Roman" w:hAnsi="Times New Roman" w:cs="Times New Roman"/>
          <w:sz w:val="24"/>
          <w:szCs w:val="24"/>
        </w:rPr>
        <w:t xml:space="preserve"> their programs</w:t>
      </w:r>
      <w:r w:rsidR="00EC6DED" w:rsidRPr="00C537E0">
        <w:rPr>
          <w:rFonts w:ascii="Times New Roman" w:hAnsi="Times New Roman" w:cs="Times New Roman"/>
          <w:sz w:val="24"/>
          <w:szCs w:val="24"/>
        </w:rPr>
        <w:t>.</w:t>
      </w:r>
    </w:p>
    <w:p w:rsidR="00714846" w:rsidRPr="00C537E0" w:rsidRDefault="00714846" w:rsidP="00714846">
      <w:pPr>
        <w:rPr>
          <w:rFonts w:ascii="Times New Roman" w:hAnsi="Times New Roman" w:cs="Times New Roman"/>
          <w:sz w:val="24"/>
          <w:szCs w:val="24"/>
        </w:rPr>
      </w:pPr>
      <w:r w:rsidRPr="00C537E0">
        <w:rPr>
          <w:rFonts w:ascii="Times New Roman" w:hAnsi="Times New Roman" w:cs="Times New Roman"/>
          <w:sz w:val="24"/>
          <w:szCs w:val="24"/>
        </w:rPr>
        <w:t xml:space="preserve">Literature review on the entrepreneurship education pedagogy reveals that entrepreneurship education should take the action-learning or experience oriented learning approach in order to increase the likelihood of effective entrepreneurship outcomes. </w:t>
      </w:r>
      <w:r w:rsidR="00474A65">
        <w:rPr>
          <w:rFonts w:ascii="Times New Roman" w:hAnsi="Times New Roman" w:cs="Times New Roman"/>
          <w:sz w:val="24"/>
          <w:szCs w:val="24"/>
        </w:rPr>
        <w:t>Furthermore, t</w:t>
      </w:r>
      <w:r w:rsidRPr="00C537E0">
        <w:rPr>
          <w:rFonts w:ascii="Times New Roman" w:hAnsi="Times New Roman" w:cs="Times New Roman"/>
          <w:sz w:val="24"/>
          <w:szCs w:val="24"/>
        </w:rPr>
        <w:t>he main challenge for entrepreneurship educators</w:t>
      </w:r>
      <w:r w:rsidR="00967806" w:rsidRPr="00C537E0">
        <w:rPr>
          <w:rFonts w:ascii="Times New Roman" w:hAnsi="Times New Roman" w:cs="Times New Roman"/>
          <w:sz w:val="24"/>
          <w:szCs w:val="24"/>
        </w:rPr>
        <w:t xml:space="preserve"> is to create appropriate</w:t>
      </w:r>
      <w:r w:rsidRPr="00C537E0">
        <w:rPr>
          <w:rFonts w:ascii="Times New Roman" w:hAnsi="Times New Roman" w:cs="Times New Roman"/>
          <w:sz w:val="24"/>
          <w:szCs w:val="24"/>
        </w:rPr>
        <w:t xml:space="preserve"> learning environment whic</w:t>
      </w:r>
      <w:r w:rsidR="00967806" w:rsidRPr="00C537E0">
        <w:rPr>
          <w:rFonts w:ascii="Times New Roman" w:hAnsi="Times New Roman" w:cs="Times New Roman"/>
          <w:sz w:val="24"/>
          <w:szCs w:val="24"/>
        </w:rPr>
        <w:t>h reflects the life world of</w:t>
      </w:r>
      <w:r w:rsidRPr="00C537E0">
        <w:rPr>
          <w:rFonts w:ascii="Times New Roman" w:hAnsi="Times New Roman" w:cs="Times New Roman"/>
          <w:sz w:val="24"/>
          <w:szCs w:val="24"/>
        </w:rPr>
        <w:t xml:space="preserve"> entrepreneurs. Therefore, entrepreneurship education has increasingly adopted experiential approaches (Gibb, 1993, 1996).  Learning through experience, which combines experience, perceptions, cogniti</w:t>
      </w:r>
      <w:r w:rsidR="00474A65">
        <w:rPr>
          <w:rFonts w:ascii="Times New Roman" w:hAnsi="Times New Roman" w:cs="Times New Roman"/>
          <w:sz w:val="24"/>
          <w:szCs w:val="24"/>
        </w:rPr>
        <w:t>ons and behaviors, is seen as an</w:t>
      </w:r>
      <w:r w:rsidRPr="00C537E0">
        <w:rPr>
          <w:rFonts w:ascii="Times New Roman" w:hAnsi="Times New Roman" w:cs="Times New Roman"/>
          <w:sz w:val="24"/>
          <w:szCs w:val="24"/>
        </w:rPr>
        <w:t xml:space="preserve"> innovative alte</w:t>
      </w:r>
      <w:r w:rsidR="00474A65">
        <w:rPr>
          <w:rFonts w:ascii="Times New Roman" w:hAnsi="Times New Roman" w:cs="Times New Roman"/>
          <w:sz w:val="24"/>
          <w:szCs w:val="24"/>
        </w:rPr>
        <w:t>rnative to traditional teaching</w:t>
      </w:r>
      <w:r w:rsidRPr="00C537E0">
        <w:rPr>
          <w:rFonts w:ascii="Times New Roman" w:hAnsi="Times New Roman" w:cs="Times New Roman"/>
          <w:sz w:val="24"/>
          <w:szCs w:val="24"/>
        </w:rPr>
        <w:t xml:space="preserve">. It emphasizes the central role that experience plays in the learning process (Rae and Carswell, 2000). </w:t>
      </w:r>
      <w:r w:rsidR="00967806" w:rsidRPr="00C537E0">
        <w:rPr>
          <w:rFonts w:ascii="Times New Roman" w:hAnsi="Times New Roman" w:cs="Times New Roman"/>
          <w:sz w:val="24"/>
          <w:szCs w:val="24"/>
        </w:rPr>
        <w:t>One way of achieving this objective is by introducing communities of practice into the university education programs.</w:t>
      </w:r>
    </w:p>
    <w:p w:rsidR="00237664" w:rsidRPr="00C537E0" w:rsidRDefault="00237664" w:rsidP="00474A65">
      <w:pPr>
        <w:pStyle w:val="NormalWeb"/>
        <w:jc w:val="both"/>
      </w:pPr>
      <w:r w:rsidRPr="00C537E0">
        <w:t xml:space="preserve">Communities of practice (Lave i Wenger, 1991) </w:t>
      </w:r>
      <w:r w:rsidRPr="00C537E0">
        <w:rPr>
          <w:color w:val="000000"/>
          <w:shd w:val="clear" w:color="auto" w:fill="FFFFFF" w:themeFill="background1"/>
        </w:rPr>
        <w:t>are groups of people who share a concern or a passion for something they do and learn how to do it better as they interact regularly.</w:t>
      </w:r>
      <w:r w:rsidR="00594A8D" w:rsidRPr="00C537E0">
        <w:rPr>
          <w:color w:val="000000"/>
          <w:shd w:val="clear" w:color="auto" w:fill="FFFFFF" w:themeFill="background1"/>
        </w:rPr>
        <w:t xml:space="preserve"> There are </w:t>
      </w:r>
      <w:r w:rsidR="00594A8D" w:rsidRPr="00C537E0">
        <w:t xml:space="preserve">three elements that are crucial in distinguishing a community of practice from other groups and communities. Community of practice has an identity defined by a shared domain of interest. Membership therefore implies a commitment to the domain, and therefore a shared competence that distinguishes members from other people. Secondly, in </w:t>
      </w:r>
      <w:r w:rsidR="00474A65">
        <w:t xml:space="preserve">pursuing their interest in the </w:t>
      </w:r>
      <w:r w:rsidR="00594A8D" w:rsidRPr="00C537E0">
        <w:t xml:space="preserve">domain, members engage in joint activities and discussions, help each other, and share information. They build relationships that enable them to learn from each other. Finally, members of a community of practice are practitioners. They develop a shared repertoire of resources: experiences, stories, tools, ways of addressing recurring problems, in short a shared practice. </w:t>
      </w:r>
    </w:p>
    <w:p w:rsidR="00594A8D" w:rsidRPr="00C537E0" w:rsidRDefault="00714846" w:rsidP="00594A8D">
      <w:pPr>
        <w:pStyle w:val="NormalWeb"/>
        <w:jc w:val="both"/>
      </w:pPr>
      <w:r w:rsidRPr="00C537E0">
        <w:t>There are numerous d</w:t>
      </w:r>
      <w:r w:rsidR="00594A8D" w:rsidRPr="00C537E0">
        <w:t xml:space="preserve">ifferences </w:t>
      </w:r>
      <w:r w:rsidRPr="00C537E0">
        <w:t xml:space="preserve">in the way </w:t>
      </w:r>
      <w:r w:rsidR="00594A8D" w:rsidRPr="00C537E0">
        <w:t xml:space="preserve">communities of practice and universities </w:t>
      </w:r>
      <w:r w:rsidRPr="00C537E0">
        <w:t xml:space="preserve">operate and they </w:t>
      </w:r>
      <w:r w:rsidR="00594A8D" w:rsidRPr="00C537E0">
        <w:t>are presented in Table 1</w:t>
      </w:r>
      <w:r w:rsidRPr="00C537E0">
        <w:t>.</w:t>
      </w:r>
    </w:p>
    <w:p w:rsidR="00594A8D" w:rsidRPr="00C537E0" w:rsidRDefault="00594A8D" w:rsidP="00594A8D">
      <w:pPr>
        <w:pStyle w:val="NormalWeb"/>
        <w:jc w:val="both"/>
        <w:rPr>
          <w:sz w:val="22"/>
          <w:szCs w:val="22"/>
          <w:u w:val="single"/>
        </w:rPr>
      </w:pPr>
      <w:r w:rsidRPr="00C537E0">
        <w:rPr>
          <w:sz w:val="22"/>
          <w:szCs w:val="22"/>
          <w:u w:val="single"/>
        </w:rPr>
        <w:t>Table 1: Comparison of communities of practice and universities</w:t>
      </w:r>
    </w:p>
    <w:tbl>
      <w:tblPr>
        <w:tblStyle w:val="TableGrid"/>
        <w:tblW w:w="0" w:type="auto"/>
        <w:tblLook w:val="04A0"/>
      </w:tblPr>
      <w:tblGrid>
        <w:gridCol w:w="4262"/>
        <w:gridCol w:w="4267"/>
      </w:tblGrid>
      <w:tr w:rsidR="00594A8D" w:rsidRPr="00C537E0" w:rsidTr="00714846">
        <w:tc>
          <w:tcPr>
            <w:tcW w:w="4644" w:type="dxa"/>
            <w:shd w:val="clear" w:color="auto" w:fill="7F7F7F" w:themeFill="text1" w:themeFillTint="80"/>
          </w:tcPr>
          <w:p w:rsidR="00594A8D" w:rsidRPr="00C537E0" w:rsidRDefault="00594A8D" w:rsidP="00714846">
            <w:pPr>
              <w:pStyle w:val="NormalWeb"/>
              <w:jc w:val="center"/>
              <w:rPr>
                <w:sz w:val="20"/>
                <w:szCs w:val="20"/>
              </w:rPr>
            </w:pPr>
            <w:r w:rsidRPr="00C537E0">
              <w:rPr>
                <w:sz w:val="20"/>
                <w:szCs w:val="20"/>
              </w:rPr>
              <w:t xml:space="preserve">COP </w:t>
            </w:r>
            <w:r w:rsidR="00714846" w:rsidRPr="00C537E0">
              <w:rPr>
                <w:sz w:val="20"/>
                <w:szCs w:val="20"/>
              </w:rPr>
              <w:t>emphasize</w:t>
            </w:r>
          </w:p>
        </w:tc>
        <w:tc>
          <w:tcPr>
            <w:tcW w:w="4644" w:type="dxa"/>
            <w:shd w:val="clear" w:color="auto" w:fill="7F7F7F" w:themeFill="text1" w:themeFillTint="80"/>
          </w:tcPr>
          <w:p w:rsidR="00594A8D" w:rsidRPr="00C537E0" w:rsidRDefault="00714846" w:rsidP="00714846">
            <w:pPr>
              <w:pStyle w:val="NormalWeb"/>
              <w:jc w:val="center"/>
              <w:rPr>
                <w:sz w:val="20"/>
                <w:szCs w:val="20"/>
              </w:rPr>
            </w:pPr>
            <w:r w:rsidRPr="00C537E0">
              <w:rPr>
                <w:sz w:val="20"/>
                <w:szCs w:val="20"/>
              </w:rPr>
              <w:t>Universities emphasize</w:t>
            </w:r>
          </w:p>
        </w:tc>
      </w:tr>
      <w:tr w:rsidR="00594A8D" w:rsidRPr="00C537E0" w:rsidTr="00594A8D">
        <w:tc>
          <w:tcPr>
            <w:tcW w:w="4644" w:type="dxa"/>
          </w:tcPr>
          <w:p w:rsidR="00594A8D" w:rsidRPr="00C537E0" w:rsidRDefault="00714846" w:rsidP="00714846">
            <w:pPr>
              <w:pStyle w:val="NormalWeb"/>
              <w:jc w:val="center"/>
              <w:rPr>
                <w:sz w:val="20"/>
                <w:szCs w:val="20"/>
              </w:rPr>
            </w:pPr>
            <w:r w:rsidRPr="00C537E0">
              <w:rPr>
                <w:sz w:val="20"/>
                <w:szCs w:val="20"/>
              </w:rPr>
              <w:t>novelty</w:t>
            </w:r>
          </w:p>
        </w:tc>
        <w:tc>
          <w:tcPr>
            <w:tcW w:w="4644" w:type="dxa"/>
          </w:tcPr>
          <w:p w:rsidR="00594A8D" w:rsidRPr="00C537E0" w:rsidRDefault="00714846" w:rsidP="00714846">
            <w:pPr>
              <w:pStyle w:val="NormalWeb"/>
              <w:jc w:val="center"/>
              <w:rPr>
                <w:sz w:val="20"/>
                <w:szCs w:val="20"/>
              </w:rPr>
            </w:pPr>
            <w:r w:rsidRPr="00C537E0">
              <w:rPr>
                <w:sz w:val="20"/>
                <w:szCs w:val="20"/>
              </w:rPr>
              <w:t>tried out things</w:t>
            </w:r>
          </w:p>
        </w:tc>
      </w:tr>
      <w:tr w:rsidR="00594A8D" w:rsidRPr="00C537E0" w:rsidTr="00594A8D">
        <w:tc>
          <w:tcPr>
            <w:tcW w:w="4644" w:type="dxa"/>
          </w:tcPr>
          <w:p w:rsidR="00594A8D" w:rsidRPr="00C537E0" w:rsidRDefault="00714846" w:rsidP="00714846">
            <w:pPr>
              <w:pStyle w:val="NormalWeb"/>
              <w:jc w:val="center"/>
              <w:rPr>
                <w:sz w:val="20"/>
                <w:szCs w:val="20"/>
              </w:rPr>
            </w:pPr>
            <w:r w:rsidRPr="00C537E0">
              <w:rPr>
                <w:sz w:val="20"/>
                <w:szCs w:val="20"/>
              </w:rPr>
              <w:t>facts</w:t>
            </w:r>
          </w:p>
        </w:tc>
        <w:tc>
          <w:tcPr>
            <w:tcW w:w="4644" w:type="dxa"/>
          </w:tcPr>
          <w:p w:rsidR="00594A8D" w:rsidRPr="00C537E0" w:rsidRDefault="00714846" w:rsidP="00714846">
            <w:pPr>
              <w:pStyle w:val="NormalWeb"/>
              <w:jc w:val="center"/>
              <w:rPr>
                <w:sz w:val="20"/>
                <w:szCs w:val="20"/>
              </w:rPr>
            </w:pPr>
            <w:r w:rsidRPr="00C537E0">
              <w:rPr>
                <w:sz w:val="20"/>
                <w:szCs w:val="20"/>
              </w:rPr>
              <w:t>ideas</w:t>
            </w:r>
          </w:p>
        </w:tc>
      </w:tr>
      <w:tr w:rsidR="00594A8D" w:rsidRPr="00C537E0" w:rsidTr="00594A8D">
        <w:tc>
          <w:tcPr>
            <w:tcW w:w="4644" w:type="dxa"/>
          </w:tcPr>
          <w:p w:rsidR="00594A8D" w:rsidRPr="00C537E0" w:rsidRDefault="00714846" w:rsidP="00714846">
            <w:pPr>
              <w:pStyle w:val="NormalWeb"/>
              <w:jc w:val="center"/>
              <w:rPr>
                <w:sz w:val="20"/>
                <w:szCs w:val="20"/>
              </w:rPr>
            </w:pPr>
            <w:r w:rsidRPr="00C537E0">
              <w:rPr>
                <w:sz w:val="20"/>
                <w:szCs w:val="20"/>
              </w:rPr>
              <w:t>freedom</w:t>
            </w:r>
          </w:p>
        </w:tc>
        <w:tc>
          <w:tcPr>
            <w:tcW w:w="4644" w:type="dxa"/>
          </w:tcPr>
          <w:p w:rsidR="00594A8D" w:rsidRPr="00C537E0" w:rsidRDefault="00714846" w:rsidP="00714846">
            <w:pPr>
              <w:pStyle w:val="NormalWeb"/>
              <w:jc w:val="center"/>
              <w:rPr>
                <w:sz w:val="20"/>
                <w:szCs w:val="20"/>
              </w:rPr>
            </w:pPr>
            <w:r w:rsidRPr="00C537E0">
              <w:rPr>
                <w:sz w:val="20"/>
                <w:szCs w:val="20"/>
              </w:rPr>
              <w:t>control</w:t>
            </w:r>
          </w:p>
        </w:tc>
      </w:tr>
      <w:tr w:rsidR="00594A8D" w:rsidRPr="00C537E0" w:rsidTr="00594A8D">
        <w:tc>
          <w:tcPr>
            <w:tcW w:w="4644" w:type="dxa"/>
          </w:tcPr>
          <w:p w:rsidR="00594A8D" w:rsidRPr="00C537E0" w:rsidRDefault="00714846" w:rsidP="00714846">
            <w:pPr>
              <w:pStyle w:val="NormalWeb"/>
              <w:jc w:val="center"/>
              <w:rPr>
                <w:sz w:val="20"/>
                <w:szCs w:val="20"/>
              </w:rPr>
            </w:pPr>
            <w:r w:rsidRPr="00C537E0">
              <w:rPr>
                <w:sz w:val="20"/>
                <w:szCs w:val="20"/>
              </w:rPr>
              <w:t>creativity</w:t>
            </w:r>
          </w:p>
        </w:tc>
        <w:tc>
          <w:tcPr>
            <w:tcW w:w="4644" w:type="dxa"/>
          </w:tcPr>
          <w:p w:rsidR="00594A8D" w:rsidRPr="00C537E0" w:rsidRDefault="00714846" w:rsidP="00714846">
            <w:pPr>
              <w:pStyle w:val="NormalWeb"/>
              <w:jc w:val="center"/>
              <w:rPr>
                <w:sz w:val="20"/>
                <w:szCs w:val="20"/>
              </w:rPr>
            </w:pPr>
            <w:r w:rsidRPr="00C537E0">
              <w:rPr>
                <w:sz w:val="20"/>
                <w:szCs w:val="20"/>
              </w:rPr>
              <w:t>structure</w:t>
            </w:r>
          </w:p>
        </w:tc>
      </w:tr>
      <w:tr w:rsidR="00594A8D" w:rsidRPr="00C537E0" w:rsidTr="00594A8D">
        <w:tc>
          <w:tcPr>
            <w:tcW w:w="4644" w:type="dxa"/>
          </w:tcPr>
          <w:p w:rsidR="00594A8D" w:rsidRPr="00C537E0" w:rsidRDefault="00714846" w:rsidP="00714846">
            <w:pPr>
              <w:pStyle w:val="NormalWeb"/>
              <w:jc w:val="center"/>
              <w:rPr>
                <w:sz w:val="20"/>
                <w:szCs w:val="20"/>
              </w:rPr>
            </w:pPr>
            <w:r w:rsidRPr="00C537E0">
              <w:rPr>
                <w:sz w:val="20"/>
                <w:szCs w:val="20"/>
              </w:rPr>
              <w:t>community</w:t>
            </w:r>
          </w:p>
        </w:tc>
        <w:tc>
          <w:tcPr>
            <w:tcW w:w="4644" w:type="dxa"/>
          </w:tcPr>
          <w:p w:rsidR="00594A8D" w:rsidRPr="00C537E0" w:rsidRDefault="00714846" w:rsidP="00714846">
            <w:pPr>
              <w:pStyle w:val="NormalWeb"/>
              <w:jc w:val="center"/>
              <w:rPr>
                <w:sz w:val="20"/>
                <w:szCs w:val="20"/>
              </w:rPr>
            </w:pPr>
            <w:r w:rsidRPr="00C537E0">
              <w:rPr>
                <w:sz w:val="20"/>
                <w:szCs w:val="20"/>
              </w:rPr>
              <w:t>individual</w:t>
            </w:r>
            <w:r w:rsidR="00474A65">
              <w:rPr>
                <w:sz w:val="20"/>
                <w:szCs w:val="20"/>
              </w:rPr>
              <w:t>s</w:t>
            </w:r>
          </w:p>
        </w:tc>
      </w:tr>
      <w:tr w:rsidR="00594A8D" w:rsidRPr="00C537E0" w:rsidTr="00594A8D">
        <w:tc>
          <w:tcPr>
            <w:tcW w:w="4644" w:type="dxa"/>
          </w:tcPr>
          <w:p w:rsidR="00594A8D" w:rsidRPr="00C537E0" w:rsidRDefault="00714846" w:rsidP="00714846">
            <w:pPr>
              <w:pStyle w:val="NormalWeb"/>
              <w:jc w:val="center"/>
              <w:rPr>
                <w:sz w:val="20"/>
                <w:szCs w:val="20"/>
              </w:rPr>
            </w:pPr>
            <w:r w:rsidRPr="00C537E0">
              <w:rPr>
                <w:sz w:val="20"/>
                <w:szCs w:val="20"/>
              </w:rPr>
              <w:t>authority</w:t>
            </w:r>
          </w:p>
        </w:tc>
        <w:tc>
          <w:tcPr>
            <w:tcW w:w="4644" w:type="dxa"/>
          </w:tcPr>
          <w:p w:rsidR="00594A8D" w:rsidRPr="00C537E0" w:rsidRDefault="00714846" w:rsidP="00714846">
            <w:pPr>
              <w:pStyle w:val="NormalWeb"/>
              <w:jc w:val="center"/>
              <w:rPr>
                <w:sz w:val="20"/>
                <w:szCs w:val="20"/>
              </w:rPr>
            </w:pPr>
            <w:r w:rsidRPr="00C537E0">
              <w:rPr>
                <w:sz w:val="20"/>
                <w:szCs w:val="20"/>
              </w:rPr>
              <w:t>power</w:t>
            </w:r>
          </w:p>
        </w:tc>
      </w:tr>
      <w:tr w:rsidR="00714846" w:rsidRPr="00C537E0" w:rsidTr="00594A8D">
        <w:tc>
          <w:tcPr>
            <w:tcW w:w="4644" w:type="dxa"/>
          </w:tcPr>
          <w:p w:rsidR="00714846" w:rsidRPr="00C537E0" w:rsidRDefault="00714846" w:rsidP="00714846">
            <w:pPr>
              <w:pStyle w:val="NormalWeb"/>
              <w:jc w:val="center"/>
              <w:rPr>
                <w:sz w:val="20"/>
                <w:szCs w:val="20"/>
              </w:rPr>
            </w:pPr>
            <w:r w:rsidRPr="00C537E0">
              <w:rPr>
                <w:sz w:val="20"/>
                <w:szCs w:val="20"/>
              </w:rPr>
              <w:t>norms</w:t>
            </w:r>
          </w:p>
        </w:tc>
        <w:tc>
          <w:tcPr>
            <w:tcW w:w="4644" w:type="dxa"/>
          </w:tcPr>
          <w:p w:rsidR="00714846" w:rsidRPr="00C537E0" w:rsidRDefault="00714846" w:rsidP="00714846">
            <w:pPr>
              <w:pStyle w:val="NormalWeb"/>
              <w:jc w:val="center"/>
              <w:rPr>
                <w:sz w:val="20"/>
                <w:szCs w:val="20"/>
              </w:rPr>
            </w:pPr>
            <w:r w:rsidRPr="00C537E0">
              <w:rPr>
                <w:sz w:val="20"/>
                <w:szCs w:val="20"/>
              </w:rPr>
              <w:t>rules</w:t>
            </w:r>
          </w:p>
        </w:tc>
      </w:tr>
    </w:tbl>
    <w:p w:rsidR="00824F63" w:rsidRPr="00917C0E" w:rsidRDefault="00917C0E" w:rsidP="00917C0E">
      <w:pPr>
        <w:spacing w:line="240" w:lineRule="auto"/>
        <w:ind w:left="4944" w:firstLine="720"/>
        <w:jc w:val="both"/>
        <w:rPr>
          <w:rFonts w:ascii="Times New Roman" w:hAnsi="Times New Roman" w:cs="Times New Roman"/>
          <w:sz w:val="20"/>
          <w:szCs w:val="20"/>
        </w:rPr>
      </w:pPr>
      <w:r w:rsidRPr="00917C0E">
        <w:rPr>
          <w:rFonts w:ascii="Times New Roman" w:hAnsi="Times New Roman" w:cs="Times New Roman"/>
          <w:sz w:val="20"/>
          <w:szCs w:val="20"/>
        </w:rPr>
        <w:t>(</w:t>
      </w:r>
      <w:r w:rsidR="00EE6766">
        <w:rPr>
          <w:rFonts w:ascii="Times New Roman" w:hAnsi="Times New Roman" w:cs="Times New Roman"/>
          <w:sz w:val="20"/>
          <w:szCs w:val="20"/>
        </w:rPr>
        <w:t xml:space="preserve">Source: </w:t>
      </w:r>
      <w:r w:rsidRPr="00917C0E">
        <w:rPr>
          <w:rFonts w:ascii="Times New Roman" w:hAnsi="Times New Roman" w:cs="Times New Roman"/>
          <w:sz w:val="20"/>
          <w:szCs w:val="20"/>
        </w:rPr>
        <w:t>Sedlan-Kőnig, 2012)</w:t>
      </w:r>
    </w:p>
    <w:p w:rsidR="009F3EC1" w:rsidRPr="00C537E0" w:rsidRDefault="00A14C28" w:rsidP="00594A8D">
      <w:pPr>
        <w:spacing w:line="240" w:lineRule="auto"/>
        <w:jc w:val="both"/>
        <w:rPr>
          <w:rFonts w:ascii="Times New Roman" w:hAnsi="Times New Roman" w:cs="Times New Roman"/>
          <w:b/>
          <w:sz w:val="24"/>
          <w:szCs w:val="24"/>
        </w:rPr>
      </w:pPr>
      <w:r w:rsidRPr="00C537E0">
        <w:rPr>
          <w:rFonts w:ascii="Times New Roman" w:hAnsi="Times New Roman" w:cs="Times New Roman"/>
          <w:b/>
          <w:sz w:val="24"/>
          <w:szCs w:val="24"/>
        </w:rPr>
        <w:t>3. Sample, instrument and data</w:t>
      </w:r>
    </w:p>
    <w:p w:rsidR="006326F6" w:rsidRPr="00C537E0" w:rsidRDefault="006D4DD3" w:rsidP="00D97DC5">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The main objective of the empirical research that was conducted on the convenient sample of 324 students of Josip Juraj Strossmayer University in Osijek was </w:t>
      </w:r>
      <w:r w:rsidR="006F55F8" w:rsidRPr="00C537E0">
        <w:rPr>
          <w:rFonts w:ascii="Times New Roman" w:hAnsi="Times New Roman" w:cs="Times New Roman"/>
          <w:sz w:val="24"/>
          <w:szCs w:val="24"/>
        </w:rPr>
        <w:t xml:space="preserve">to </w:t>
      </w:r>
      <w:r w:rsidRPr="00C537E0">
        <w:rPr>
          <w:rFonts w:ascii="Times New Roman" w:hAnsi="Times New Roman" w:cs="Times New Roman"/>
          <w:sz w:val="24"/>
          <w:szCs w:val="24"/>
        </w:rPr>
        <w:t>explore</w:t>
      </w:r>
      <w:r w:rsidR="00D97DC5" w:rsidRPr="00C537E0">
        <w:rPr>
          <w:rFonts w:ascii="Times New Roman" w:hAnsi="Times New Roman" w:cs="Times New Roman"/>
          <w:sz w:val="24"/>
          <w:szCs w:val="24"/>
        </w:rPr>
        <w:t xml:space="preserve"> the impact that communities of practice have on the development of entrepreneurial </w:t>
      </w:r>
      <w:r w:rsidR="00D97DC5" w:rsidRPr="00C537E0">
        <w:rPr>
          <w:rFonts w:ascii="Times New Roman" w:hAnsi="Times New Roman" w:cs="Times New Roman"/>
          <w:sz w:val="24"/>
          <w:szCs w:val="24"/>
        </w:rPr>
        <w:lastRenderedPageBreak/>
        <w:t>behavior</w:t>
      </w:r>
      <w:r w:rsidRPr="00C537E0">
        <w:rPr>
          <w:rFonts w:ascii="Times New Roman" w:hAnsi="Times New Roman" w:cs="Times New Roman"/>
          <w:sz w:val="24"/>
          <w:szCs w:val="24"/>
        </w:rPr>
        <w:t xml:space="preserve">. The instrument </w:t>
      </w:r>
      <w:r w:rsidR="000D456D">
        <w:rPr>
          <w:rFonts w:ascii="Times New Roman" w:hAnsi="Times New Roman" w:cs="Times New Roman"/>
          <w:sz w:val="24"/>
          <w:szCs w:val="24"/>
        </w:rPr>
        <w:t>used in</w:t>
      </w:r>
      <w:r w:rsidR="009169C1" w:rsidRPr="00C537E0">
        <w:rPr>
          <w:rFonts w:ascii="Times New Roman" w:hAnsi="Times New Roman" w:cs="Times New Roman"/>
          <w:sz w:val="24"/>
          <w:szCs w:val="24"/>
        </w:rPr>
        <w:t xml:space="preserve"> this quantitative research </w:t>
      </w:r>
      <w:r w:rsidRPr="00C537E0">
        <w:rPr>
          <w:rFonts w:ascii="Times New Roman" w:hAnsi="Times New Roman" w:cs="Times New Roman"/>
          <w:sz w:val="24"/>
          <w:szCs w:val="24"/>
        </w:rPr>
        <w:t>was a questionnaire consisting of two parts. The first part includes eight closed questions related to the demographic</w:t>
      </w:r>
      <w:r w:rsidR="000D456D">
        <w:rPr>
          <w:rFonts w:ascii="Times New Roman" w:hAnsi="Times New Roman" w:cs="Times New Roman"/>
          <w:sz w:val="24"/>
          <w:szCs w:val="24"/>
        </w:rPr>
        <w:t>s</w:t>
      </w:r>
      <w:r w:rsidRPr="00C537E0">
        <w:rPr>
          <w:rFonts w:ascii="Times New Roman" w:hAnsi="Times New Roman" w:cs="Times New Roman"/>
          <w:sz w:val="24"/>
          <w:szCs w:val="24"/>
        </w:rPr>
        <w:t xml:space="preserve"> of the respondents, their </w:t>
      </w:r>
      <w:r w:rsidR="000D456D">
        <w:rPr>
          <w:rFonts w:ascii="Times New Roman" w:hAnsi="Times New Roman" w:cs="Times New Roman"/>
          <w:sz w:val="24"/>
          <w:szCs w:val="24"/>
        </w:rPr>
        <w:t xml:space="preserve">propensity for </w:t>
      </w:r>
      <w:r w:rsidRPr="00C537E0">
        <w:rPr>
          <w:rFonts w:ascii="Times New Roman" w:hAnsi="Times New Roman" w:cs="Times New Roman"/>
          <w:sz w:val="24"/>
          <w:szCs w:val="24"/>
        </w:rPr>
        <w:t>entrepreneurial behavior and the</w:t>
      </w:r>
      <w:r w:rsidR="000D456D">
        <w:rPr>
          <w:rFonts w:ascii="Times New Roman" w:hAnsi="Times New Roman" w:cs="Times New Roman"/>
          <w:sz w:val="24"/>
          <w:szCs w:val="24"/>
        </w:rPr>
        <w:t xml:space="preserve"> estimated</w:t>
      </w:r>
      <w:r w:rsidRPr="00C537E0">
        <w:rPr>
          <w:rFonts w:ascii="Times New Roman" w:hAnsi="Times New Roman" w:cs="Times New Roman"/>
          <w:sz w:val="24"/>
          <w:szCs w:val="24"/>
        </w:rPr>
        <w:t xml:space="preserve"> </w:t>
      </w:r>
      <w:r w:rsidR="00D03E11">
        <w:rPr>
          <w:rFonts w:ascii="Times New Roman" w:hAnsi="Times New Roman" w:cs="Times New Roman"/>
          <w:sz w:val="24"/>
          <w:szCs w:val="24"/>
        </w:rPr>
        <w:t>probability of</w:t>
      </w:r>
      <w:r w:rsidR="000D456D">
        <w:rPr>
          <w:rFonts w:ascii="Times New Roman" w:hAnsi="Times New Roman" w:cs="Times New Roman"/>
          <w:sz w:val="24"/>
          <w:szCs w:val="24"/>
        </w:rPr>
        <w:t xml:space="preserve"> </w:t>
      </w:r>
      <w:r w:rsidRPr="00C537E0">
        <w:rPr>
          <w:rFonts w:ascii="Times New Roman" w:hAnsi="Times New Roman" w:cs="Times New Roman"/>
          <w:sz w:val="24"/>
          <w:szCs w:val="24"/>
        </w:rPr>
        <w:t>start</w:t>
      </w:r>
      <w:r w:rsidR="000D456D">
        <w:rPr>
          <w:rFonts w:ascii="Times New Roman" w:hAnsi="Times New Roman" w:cs="Times New Roman"/>
          <w:sz w:val="24"/>
          <w:szCs w:val="24"/>
        </w:rPr>
        <w:t>ing</w:t>
      </w:r>
      <w:r w:rsidRPr="00C537E0">
        <w:rPr>
          <w:rFonts w:ascii="Times New Roman" w:hAnsi="Times New Roman" w:cs="Times New Roman"/>
          <w:sz w:val="24"/>
          <w:szCs w:val="24"/>
        </w:rPr>
        <w:t xml:space="preserve"> their own business. </w:t>
      </w:r>
      <w:r w:rsidR="00B812E1" w:rsidRPr="00C537E0">
        <w:rPr>
          <w:rFonts w:ascii="Times New Roman" w:hAnsi="Times New Roman" w:cs="Times New Roman"/>
          <w:sz w:val="24"/>
          <w:szCs w:val="24"/>
        </w:rPr>
        <w:t>Li</w:t>
      </w:r>
      <w:r w:rsidRPr="00C537E0">
        <w:rPr>
          <w:rFonts w:ascii="Times New Roman" w:hAnsi="Times New Roman" w:cs="Times New Roman"/>
          <w:sz w:val="24"/>
          <w:szCs w:val="24"/>
        </w:rPr>
        <w:t>kert scale was used for some answers.  In the second part of the questionnaire</w:t>
      </w:r>
      <w:r w:rsidR="000D456D">
        <w:rPr>
          <w:rFonts w:ascii="Times New Roman" w:hAnsi="Times New Roman" w:cs="Times New Roman"/>
          <w:sz w:val="24"/>
          <w:szCs w:val="24"/>
        </w:rPr>
        <w:t>,</w:t>
      </w:r>
      <w:r w:rsidRPr="00C537E0">
        <w:rPr>
          <w:rFonts w:ascii="Times New Roman" w:hAnsi="Times New Roman" w:cs="Times New Roman"/>
          <w:sz w:val="24"/>
          <w:szCs w:val="24"/>
        </w:rPr>
        <w:t xml:space="preserve"> </w:t>
      </w:r>
      <w:r w:rsidR="00312B8F" w:rsidRPr="00C537E0">
        <w:rPr>
          <w:rFonts w:ascii="Times New Roman" w:hAnsi="Times New Roman" w:cs="Times New Roman"/>
          <w:sz w:val="24"/>
          <w:szCs w:val="24"/>
        </w:rPr>
        <w:t>the General Enterprising Tendency (GET) test (Caird,</w:t>
      </w:r>
      <w:r w:rsidR="000D456D">
        <w:rPr>
          <w:rFonts w:ascii="Times New Roman" w:hAnsi="Times New Roman" w:cs="Times New Roman"/>
          <w:sz w:val="24"/>
          <w:szCs w:val="24"/>
        </w:rPr>
        <w:t xml:space="preserve"> </w:t>
      </w:r>
      <w:r w:rsidR="00312B8F" w:rsidRPr="00C537E0">
        <w:rPr>
          <w:rFonts w:ascii="Times New Roman" w:hAnsi="Times New Roman" w:cs="Times New Roman"/>
          <w:sz w:val="24"/>
          <w:szCs w:val="24"/>
        </w:rPr>
        <w:t>1991) was employed. In this test</w:t>
      </w:r>
      <w:r w:rsidR="000D456D">
        <w:rPr>
          <w:rFonts w:ascii="Times New Roman" w:hAnsi="Times New Roman" w:cs="Times New Roman"/>
          <w:sz w:val="24"/>
          <w:szCs w:val="24"/>
        </w:rPr>
        <w:t>,</w:t>
      </w:r>
      <w:r w:rsidR="00312B8F" w:rsidRPr="00C537E0">
        <w:rPr>
          <w:rFonts w:ascii="Times New Roman" w:hAnsi="Times New Roman" w:cs="Times New Roman"/>
          <w:sz w:val="24"/>
          <w:szCs w:val="24"/>
        </w:rPr>
        <w:t xml:space="preserve"> respondents express their agreement or disagreement with the 54 statements </w:t>
      </w:r>
      <w:r w:rsidR="00B812E1" w:rsidRPr="00C537E0">
        <w:rPr>
          <w:rFonts w:ascii="Times New Roman" w:hAnsi="Times New Roman" w:cs="Times New Roman"/>
          <w:sz w:val="24"/>
          <w:szCs w:val="24"/>
        </w:rPr>
        <w:t>that cover the following attributes: need for achievement, need for autonomy,</w:t>
      </w:r>
      <w:r w:rsidR="00312B8F" w:rsidRPr="00C537E0">
        <w:rPr>
          <w:rFonts w:ascii="Times New Roman" w:hAnsi="Times New Roman" w:cs="Times New Roman"/>
          <w:sz w:val="24"/>
          <w:szCs w:val="24"/>
        </w:rPr>
        <w:t xml:space="preserve"> </w:t>
      </w:r>
      <w:r w:rsidR="00B812E1" w:rsidRPr="00C537E0">
        <w:rPr>
          <w:rFonts w:ascii="Times New Roman" w:hAnsi="Times New Roman" w:cs="Times New Roman"/>
          <w:sz w:val="24"/>
          <w:szCs w:val="24"/>
        </w:rPr>
        <w:t xml:space="preserve">creative ability, risk taking propensity, motivation and determination. </w:t>
      </w:r>
      <w:r w:rsidR="000D456D">
        <w:rPr>
          <w:rFonts w:ascii="Times New Roman" w:hAnsi="Times New Roman" w:cs="Times New Roman"/>
          <w:sz w:val="24"/>
          <w:szCs w:val="24"/>
        </w:rPr>
        <w:t>The sample was grouped into</w:t>
      </w:r>
      <w:r w:rsidR="006F55F8" w:rsidRPr="00C537E0">
        <w:rPr>
          <w:rFonts w:ascii="Times New Roman" w:hAnsi="Times New Roman" w:cs="Times New Roman"/>
          <w:sz w:val="24"/>
          <w:szCs w:val="24"/>
        </w:rPr>
        <w:t xml:space="preserve"> three subsamples: </w:t>
      </w:r>
      <w:r w:rsidR="009169C1" w:rsidRPr="00C537E0">
        <w:rPr>
          <w:rFonts w:ascii="Times New Roman" w:hAnsi="Times New Roman" w:cs="Times New Roman"/>
          <w:sz w:val="24"/>
          <w:szCs w:val="24"/>
        </w:rPr>
        <w:t xml:space="preserve">students who regularly do sports (and were </w:t>
      </w:r>
      <w:r w:rsidR="000D456D">
        <w:rPr>
          <w:rFonts w:ascii="Times New Roman" w:hAnsi="Times New Roman" w:cs="Times New Roman"/>
          <w:sz w:val="24"/>
          <w:szCs w:val="24"/>
        </w:rPr>
        <w:t xml:space="preserve">therefore </w:t>
      </w:r>
      <w:r w:rsidR="009169C1" w:rsidRPr="00C537E0">
        <w:rPr>
          <w:rFonts w:ascii="Times New Roman" w:hAnsi="Times New Roman" w:cs="Times New Roman"/>
          <w:sz w:val="24"/>
          <w:szCs w:val="24"/>
        </w:rPr>
        <w:t>observed as an example of community of practice), secondly, students who are members of students’ associations ( and were observed as an example of community of practice of a different kind</w:t>
      </w:r>
      <w:r w:rsidR="00E81FF6" w:rsidRPr="00C537E0">
        <w:rPr>
          <w:rStyle w:val="FootnoteReference"/>
          <w:rFonts w:ascii="Times New Roman" w:hAnsi="Times New Roman" w:cs="Times New Roman"/>
          <w:sz w:val="24"/>
          <w:szCs w:val="24"/>
        </w:rPr>
        <w:footnoteReference w:id="1"/>
      </w:r>
      <w:r w:rsidR="009169C1" w:rsidRPr="00C537E0">
        <w:rPr>
          <w:rFonts w:ascii="Times New Roman" w:hAnsi="Times New Roman" w:cs="Times New Roman"/>
          <w:sz w:val="24"/>
          <w:szCs w:val="24"/>
        </w:rPr>
        <w:t>),  and finally, the control group, students who neither do sports nor are members of students’ associations.</w:t>
      </w:r>
      <w:r w:rsidR="00E81FF6" w:rsidRPr="00C537E0">
        <w:rPr>
          <w:rFonts w:ascii="Times New Roman" w:hAnsi="Times New Roman" w:cs="Times New Roman"/>
          <w:sz w:val="24"/>
          <w:szCs w:val="24"/>
        </w:rPr>
        <w:t xml:space="preserve"> </w:t>
      </w:r>
    </w:p>
    <w:p w:rsidR="006326F6" w:rsidRPr="00C537E0" w:rsidRDefault="006326F6" w:rsidP="006326F6">
      <w:pPr>
        <w:rPr>
          <w:rFonts w:ascii="Times New Roman" w:hAnsi="Times New Roman" w:cs="Times New Roman"/>
        </w:rPr>
      </w:pPr>
      <w:r w:rsidRPr="00C537E0">
        <w:rPr>
          <w:rFonts w:ascii="Times New Roman" w:hAnsi="Times New Roman" w:cs="Times New Roman"/>
          <w:sz w:val="24"/>
          <w:szCs w:val="24"/>
        </w:rPr>
        <w:t>The analysis of the results included nonparametric and parametric descriptive statistics.  Univariate statistics, bivariate analysis, as well as multivariate data analysis were used. A univariate analysis of variance (ANOVA) was used for the comparison of means of several groups for bot</w:t>
      </w:r>
      <w:r w:rsidR="000D456D">
        <w:rPr>
          <w:rFonts w:ascii="Times New Roman" w:hAnsi="Times New Roman" w:cs="Times New Roman"/>
          <w:sz w:val="24"/>
          <w:szCs w:val="24"/>
        </w:rPr>
        <w:t>h dependent and independent variab</w:t>
      </w:r>
      <w:r w:rsidRPr="00C537E0">
        <w:rPr>
          <w:rFonts w:ascii="Times New Roman" w:hAnsi="Times New Roman" w:cs="Times New Roman"/>
          <w:sz w:val="24"/>
          <w:szCs w:val="24"/>
        </w:rPr>
        <w:t>les. A multivariate analysis of variance (MANOVA), on the other hand, was employed for the testing of effects and interactions of several independent variables on more dependent variables.</w:t>
      </w:r>
    </w:p>
    <w:p w:rsidR="00D4247C" w:rsidRPr="00C537E0" w:rsidRDefault="00D4247C" w:rsidP="00D97DC5">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For the purpose of this research the following hypotheses were </w:t>
      </w:r>
      <w:r w:rsidR="006326F6" w:rsidRPr="00C537E0">
        <w:rPr>
          <w:rFonts w:ascii="Times New Roman" w:hAnsi="Times New Roman" w:cs="Times New Roman"/>
          <w:sz w:val="24"/>
          <w:szCs w:val="24"/>
        </w:rPr>
        <w:t>tested</w:t>
      </w:r>
      <w:r w:rsidRPr="00C537E0">
        <w:rPr>
          <w:rFonts w:ascii="Times New Roman" w:hAnsi="Times New Roman" w:cs="Times New Roman"/>
          <w:sz w:val="24"/>
          <w:szCs w:val="24"/>
        </w:rPr>
        <w:t>:</w:t>
      </w:r>
    </w:p>
    <w:p w:rsidR="006D4DD3" w:rsidRPr="00C537E0" w:rsidRDefault="00D4247C" w:rsidP="00D97DC5">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H1: </w:t>
      </w:r>
      <w:r w:rsidR="00227067" w:rsidRPr="00C537E0">
        <w:rPr>
          <w:rFonts w:ascii="Times New Roman" w:hAnsi="Times New Roman" w:cs="Times New Roman"/>
          <w:sz w:val="24"/>
          <w:szCs w:val="24"/>
        </w:rPr>
        <w:t>Student</w:t>
      </w:r>
      <w:r w:rsidR="00227067">
        <w:rPr>
          <w:rFonts w:ascii="Times New Roman" w:hAnsi="Times New Roman" w:cs="Times New Roman"/>
          <w:sz w:val="24"/>
          <w:szCs w:val="24"/>
        </w:rPr>
        <w:t xml:space="preserve">s who </w:t>
      </w:r>
      <w:r w:rsidR="00227067" w:rsidRPr="00C537E0">
        <w:rPr>
          <w:rFonts w:ascii="Times New Roman" w:hAnsi="Times New Roman" w:cs="Times New Roman"/>
          <w:sz w:val="24"/>
          <w:szCs w:val="24"/>
        </w:rPr>
        <w:t>are members of students’ association</w:t>
      </w:r>
      <w:r w:rsidR="00227067">
        <w:rPr>
          <w:rFonts w:ascii="Times New Roman" w:hAnsi="Times New Roman" w:cs="Times New Roman"/>
          <w:sz w:val="24"/>
          <w:szCs w:val="24"/>
        </w:rPr>
        <w:t xml:space="preserve"> or do sports demonstrate strong</w:t>
      </w:r>
      <w:r w:rsidR="00227067" w:rsidRPr="00C537E0">
        <w:rPr>
          <w:rFonts w:ascii="Times New Roman" w:hAnsi="Times New Roman" w:cs="Times New Roman"/>
          <w:sz w:val="24"/>
          <w:szCs w:val="24"/>
        </w:rPr>
        <w:t xml:space="preserve">er </w:t>
      </w:r>
      <w:r w:rsidR="00227067">
        <w:rPr>
          <w:rFonts w:ascii="Times New Roman" w:hAnsi="Times New Roman" w:cs="Times New Roman"/>
          <w:sz w:val="24"/>
          <w:szCs w:val="24"/>
        </w:rPr>
        <w:t>propensity for</w:t>
      </w:r>
      <w:r w:rsidR="00227067" w:rsidRPr="00C537E0">
        <w:rPr>
          <w:rFonts w:ascii="Times New Roman" w:hAnsi="Times New Roman" w:cs="Times New Roman"/>
          <w:sz w:val="24"/>
          <w:szCs w:val="24"/>
        </w:rPr>
        <w:t xml:space="preserve"> entrepreneurial behavior than students who do not do sports.</w:t>
      </w:r>
    </w:p>
    <w:p w:rsidR="00D4247C" w:rsidRPr="00C537E0" w:rsidRDefault="00D4247C" w:rsidP="00D97DC5">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H2: Students who </w:t>
      </w:r>
      <w:r w:rsidR="00227067" w:rsidRPr="00C537E0">
        <w:rPr>
          <w:rFonts w:ascii="Times New Roman" w:hAnsi="Times New Roman" w:cs="Times New Roman"/>
          <w:sz w:val="24"/>
          <w:szCs w:val="24"/>
        </w:rPr>
        <w:t>are members of students’ association</w:t>
      </w:r>
      <w:r w:rsidR="00227067">
        <w:rPr>
          <w:rFonts w:ascii="Times New Roman" w:hAnsi="Times New Roman" w:cs="Times New Roman"/>
          <w:sz w:val="24"/>
          <w:szCs w:val="24"/>
        </w:rPr>
        <w:t xml:space="preserve"> or do sports</w:t>
      </w:r>
      <w:r w:rsidR="00227067" w:rsidRPr="00C537E0">
        <w:rPr>
          <w:rFonts w:ascii="Times New Roman" w:hAnsi="Times New Roman" w:cs="Times New Roman"/>
          <w:sz w:val="24"/>
          <w:szCs w:val="24"/>
        </w:rPr>
        <w:t xml:space="preserve"> </w:t>
      </w:r>
      <w:r w:rsidRPr="00C537E0">
        <w:rPr>
          <w:rFonts w:ascii="Times New Roman" w:hAnsi="Times New Roman" w:cs="Times New Roman"/>
          <w:sz w:val="24"/>
          <w:szCs w:val="24"/>
        </w:rPr>
        <w:t xml:space="preserve">demonstrate </w:t>
      </w:r>
      <w:r w:rsidR="00227067">
        <w:rPr>
          <w:rFonts w:ascii="Times New Roman" w:hAnsi="Times New Roman" w:cs="Times New Roman"/>
          <w:sz w:val="24"/>
          <w:szCs w:val="24"/>
        </w:rPr>
        <w:t>a higher probability of starting their own business</w:t>
      </w:r>
      <w:r w:rsidRPr="00C537E0">
        <w:rPr>
          <w:rFonts w:ascii="Times New Roman" w:hAnsi="Times New Roman" w:cs="Times New Roman"/>
          <w:sz w:val="24"/>
          <w:szCs w:val="24"/>
        </w:rPr>
        <w:t xml:space="preserve"> than students who do not take part in such activities.</w:t>
      </w:r>
    </w:p>
    <w:p w:rsidR="00D4247C" w:rsidRPr="00C537E0" w:rsidRDefault="000D456D" w:rsidP="00D97DC5">
      <w:pPr>
        <w:spacing w:line="240" w:lineRule="auto"/>
        <w:rPr>
          <w:rFonts w:ascii="Times New Roman" w:hAnsi="Times New Roman" w:cs="Times New Roman"/>
          <w:sz w:val="24"/>
          <w:szCs w:val="24"/>
        </w:rPr>
      </w:pPr>
      <w:r>
        <w:rPr>
          <w:rFonts w:ascii="Times New Roman" w:hAnsi="Times New Roman" w:cs="Times New Roman"/>
          <w:sz w:val="24"/>
          <w:szCs w:val="24"/>
        </w:rPr>
        <w:t>H3: University teaching</w:t>
      </w:r>
      <w:r w:rsidR="00D4247C" w:rsidRPr="00C537E0">
        <w:rPr>
          <w:rFonts w:ascii="Times New Roman" w:hAnsi="Times New Roman" w:cs="Times New Roman"/>
          <w:sz w:val="24"/>
          <w:szCs w:val="24"/>
        </w:rPr>
        <w:t xml:space="preserve"> do</w:t>
      </w:r>
      <w:r>
        <w:rPr>
          <w:rFonts w:ascii="Times New Roman" w:hAnsi="Times New Roman" w:cs="Times New Roman"/>
          <w:sz w:val="24"/>
          <w:szCs w:val="24"/>
        </w:rPr>
        <w:t>es</w:t>
      </w:r>
      <w:r w:rsidR="00D4247C" w:rsidRPr="00C537E0">
        <w:rPr>
          <w:rFonts w:ascii="Times New Roman" w:hAnsi="Times New Roman" w:cs="Times New Roman"/>
          <w:sz w:val="24"/>
          <w:szCs w:val="24"/>
        </w:rPr>
        <w:t xml:space="preserve"> not contribute significantly to the development of entrepreneurial competences</w:t>
      </w:r>
    </w:p>
    <w:p w:rsidR="006326F6" w:rsidRPr="00C537E0" w:rsidRDefault="00D4247C" w:rsidP="006326F6">
      <w:pPr>
        <w:spacing w:line="240" w:lineRule="auto"/>
        <w:rPr>
          <w:rFonts w:ascii="Times New Roman" w:hAnsi="Times New Roman" w:cs="Times New Roman"/>
          <w:sz w:val="24"/>
          <w:szCs w:val="24"/>
        </w:rPr>
      </w:pPr>
      <w:r w:rsidRPr="00C537E0">
        <w:rPr>
          <w:rFonts w:ascii="Times New Roman" w:hAnsi="Times New Roman" w:cs="Times New Roman"/>
          <w:sz w:val="24"/>
          <w:szCs w:val="24"/>
        </w:rPr>
        <w:t xml:space="preserve">H4: Doing sports and taking part in students’ associations as well as firsthand experience </w:t>
      </w:r>
      <w:r w:rsidR="006326F6" w:rsidRPr="00C537E0">
        <w:rPr>
          <w:rFonts w:ascii="Times New Roman" w:hAnsi="Times New Roman" w:cs="Times New Roman"/>
          <w:sz w:val="24"/>
          <w:szCs w:val="24"/>
        </w:rPr>
        <w:t>contribute more to the development of entrepreneuri</w:t>
      </w:r>
      <w:r w:rsidR="000D456D">
        <w:rPr>
          <w:rFonts w:ascii="Times New Roman" w:hAnsi="Times New Roman" w:cs="Times New Roman"/>
          <w:sz w:val="24"/>
          <w:szCs w:val="24"/>
        </w:rPr>
        <w:t>al competences than university teaching.</w:t>
      </w:r>
    </w:p>
    <w:p w:rsidR="00824F63" w:rsidRPr="00C537E0" w:rsidRDefault="00A14C28" w:rsidP="00594A8D">
      <w:pPr>
        <w:spacing w:line="240" w:lineRule="auto"/>
        <w:jc w:val="both"/>
        <w:rPr>
          <w:rFonts w:ascii="Times New Roman" w:hAnsi="Times New Roman" w:cs="Times New Roman"/>
          <w:b/>
          <w:sz w:val="24"/>
          <w:szCs w:val="24"/>
        </w:rPr>
      </w:pPr>
      <w:r w:rsidRPr="00C537E0">
        <w:rPr>
          <w:rFonts w:ascii="Times New Roman" w:hAnsi="Times New Roman" w:cs="Times New Roman"/>
          <w:b/>
          <w:sz w:val="24"/>
          <w:szCs w:val="24"/>
        </w:rPr>
        <w:t>4. Analysis and results</w:t>
      </w:r>
    </w:p>
    <w:p w:rsidR="009169C1" w:rsidRDefault="00227067" w:rsidP="00594A8D">
      <w:pPr>
        <w:spacing w:line="240" w:lineRule="auto"/>
        <w:jc w:val="both"/>
        <w:rPr>
          <w:rFonts w:ascii="Times New Roman" w:hAnsi="Times New Roman" w:cs="Times New Roman"/>
          <w:sz w:val="24"/>
          <w:szCs w:val="24"/>
        </w:rPr>
      </w:pPr>
      <w:r w:rsidRPr="00A20DA2">
        <w:rPr>
          <w:rFonts w:ascii="Times New Roman" w:hAnsi="Times New Roman" w:cs="Times New Roman"/>
          <w:sz w:val="24"/>
          <w:szCs w:val="24"/>
        </w:rPr>
        <w:t xml:space="preserve">The results of the testing for the </w:t>
      </w:r>
      <w:r>
        <w:rPr>
          <w:rFonts w:ascii="Times New Roman" w:hAnsi="Times New Roman" w:cs="Times New Roman"/>
          <w:sz w:val="24"/>
          <w:szCs w:val="24"/>
        </w:rPr>
        <w:t xml:space="preserve">Hypotheses 1 and 2 are shown in </w:t>
      </w:r>
      <w:r w:rsidR="00F23F6C" w:rsidRPr="00C537E0">
        <w:rPr>
          <w:rFonts w:ascii="Times New Roman" w:hAnsi="Times New Roman" w:cs="Times New Roman"/>
          <w:sz w:val="24"/>
          <w:szCs w:val="24"/>
        </w:rPr>
        <w:t>Table</w:t>
      </w:r>
      <w:r w:rsidR="0029041D">
        <w:rPr>
          <w:rFonts w:ascii="Times New Roman" w:hAnsi="Times New Roman" w:cs="Times New Roman"/>
          <w:sz w:val="24"/>
          <w:szCs w:val="24"/>
        </w:rPr>
        <w:t xml:space="preserve"> 2</w:t>
      </w:r>
      <w:r>
        <w:rPr>
          <w:rFonts w:ascii="Times New Roman" w:hAnsi="Times New Roman" w:cs="Times New Roman"/>
          <w:sz w:val="24"/>
          <w:szCs w:val="24"/>
        </w:rPr>
        <w:t>.</w:t>
      </w:r>
      <w:r w:rsidR="0029041D">
        <w:rPr>
          <w:rFonts w:ascii="Times New Roman" w:hAnsi="Times New Roman" w:cs="Times New Roman"/>
          <w:sz w:val="24"/>
          <w:szCs w:val="24"/>
        </w:rPr>
        <w:t xml:space="preserve"> </w:t>
      </w:r>
    </w:p>
    <w:p w:rsidR="00966894" w:rsidRDefault="00966894" w:rsidP="00594A8D">
      <w:pPr>
        <w:spacing w:line="240" w:lineRule="auto"/>
        <w:jc w:val="both"/>
        <w:rPr>
          <w:rFonts w:ascii="Times New Roman" w:hAnsi="Times New Roman" w:cs="Times New Roman"/>
          <w:sz w:val="24"/>
          <w:szCs w:val="24"/>
        </w:rPr>
      </w:pPr>
    </w:p>
    <w:p w:rsidR="00917C0E" w:rsidRPr="00C537E0" w:rsidRDefault="00917C0E" w:rsidP="00594A8D">
      <w:pPr>
        <w:spacing w:line="240" w:lineRule="auto"/>
        <w:jc w:val="both"/>
        <w:rPr>
          <w:rFonts w:ascii="Times New Roman" w:hAnsi="Times New Roman" w:cs="Times New Roman"/>
          <w:sz w:val="24"/>
          <w:szCs w:val="24"/>
        </w:rPr>
      </w:pPr>
    </w:p>
    <w:p w:rsidR="00C537E0" w:rsidRPr="00C537E0" w:rsidRDefault="00C537E0" w:rsidP="00E81FF6">
      <w:pPr>
        <w:rPr>
          <w:rFonts w:ascii="Times New Roman" w:hAnsi="Times New Roman" w:cs="Times New Roman"/>
          <w:u w:val="single"/>
        </w:rPr>
      </w:pPr>
      <w:r>
        <w:rPr>
          <w:rFonts w:ascii="Times New Roman" w:hAnsi="Times New Roman" w:cs="Times New Roman"/>
          <w:u w:val="single"/>
        </w:rPr>
        <w:lastRenderedPageBreak/>
        <w:t>T</w:t>
      </w:r>
      <w:r w:rsidR="00F23F6C" w:rsidRPr="00C537E0">
        <w:rPr>
          <w:rFonts w:ascii="Times New Roman" w:hAnsi="Times New Roman" w:cs="Times New Roman"/>
          <w:u w:val="single"/>
        </w:rPr>
        <w:t>able 2</w:t>
      </w:r>
      <w:r w:rsidR="00E81FF6" w:rsidRPr="00C537E0">
        <w:rPr>
          <w:rFonts w:ascii="Times New Roman" w:hAnsi="Times New Roman" w:cs="Times New Roman"/>
          <w:u w:val="single"/>
        </w:rPr>
        <w:t xml:space="preserve">: </w:t>
      </w:r>
      <w:r w:rsidR="00F23F6C" w:rsidRPr="00C537E0">
        <w:rPr>
          <w:rFonts w:ascii="Times New Roman" w:hAnsi="Times New Roman" w:cs="Times New Roman"/>
          <w:u w:val="single"/>
        </w:rPr>
        <w:t xml:space="preserve">Descriptive statistics for the variables: </w:t>
      </w:r>
      <w:r w:rsidR="00D03E11">
        <w:rPr>
          <w:rFonts w:ascii="Times New Roman" w:hAnsi="Times New Roman" w:cs="Times New Roman"/>
          <w:u w:val="single"/>
        </w:rPr>
        <w:t>Propensity for</w:t>
      </w:r>
      <w:r w:rsidR="00F23F6C" w:rsidRPr="00C537E0">
        <w:rPr>
          <w:rFonts w:ascii="Times New Roman" w:hAnsi="Times New Roman" w:cs="Times New Roman"/>
          <w:u w:val="single"/>
        </w:rPr>
        <w:t xml:space="preserve"> entrepreneurial behavior and </w:t>
      </w:r>
      <w:r w:rsidR="00D03E11">
        <w:rPr>
          <w:rFonts w:ascii="Times New Roman" w:hAnsi="Times New Roman" w:cs="Times New Roman"/>
          <w:u w:val="single"/>
        </w:rPr>
        <w:t xml:space="preserve"> </w:t>
      </w:r>
      <w:r w:rsidR="00966894">
        <w:rPr>
          <w:rFonts w:ascii="Times New Roman" w:hAnsi="Times New Roman" w:cs="Times New Roman"/>
          <w:u w:val="single"/>
        </w:rPr>
        <w:t xml:space="preserve">Probability of </w:t>
      </w:r>
      <w:r w:rsidR="00F23F6C" w:rsidRPr="00C537E0">
        <w:rPr>
          <w:rFonts w:ascii="Times New Roman" w:hAnsi="Times New Roman" w:cs="Times New Roman"/>
          <w:u w:val="single"/>
        </w:rPr>
        <w:t>start</w:t>
      </w:r>
      <w:r w:rsidR="00966894">
        <w:rPr>
          <w:rFonts w:ascii="Times New Roman" w:hAnsi="Times New Roman" w:cs="Times New Roman"/>
          <w:u w:val="single"/>
        </w:rPr>
        <w:t>ing</w:t>
      </w:r>
      <w:r w:rsidR="00F23F6C" w:rsidRPr="00C537E0">
        <w:rPr>
          <w:rFonts w:ascii="Times New Roman" w:hAnsi="Times New Roman" w:cs="Times New Roman"/>
          <w:u w:val="single"/>
        </w:rPr>
        <w:t xml:space="preserve"> own business</w:t>
      </w:r>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836"/>
        <w:gridCol w:w="1295"/>
        <w:gridCol w:w="994"/>
        <w:gridCol w:w="1278"/>
        <w:gridCol w:w="868"/>
      </w:tblGrid>
      <w:tr w:rsidR="00E81FF6" w:rsidRPr="00C537E0" w:rsidTr="00C537E0">
        <w:trPr>
          <w:trHeight w:val="525"/>
          <w:jc w:val="center"/>
        </w:trPr>
        <w:tc>
          <w:tcPr>
            <w:tcW w:w="2380" w:type="dxa"/>
            <w:shd w:val="clear" w:color="auto" w:fill="BFBFBF"/>
            <w:vAlign w:val="center"/>
          </w:tcPr>
          <w:p w:rsidR="00E81FF6" w:rsidRPr="00C537E0" w:rsidRDefault="00F23F6C"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Variable</w:t>
            </w:r>
          </w:p>
        </w:tc>
        <w:tc>
          <w:tcPr>
            <w:tcW w:w="836" w:type="dxa"/>
            <w:shd w:val="clear" w:color="auto" w:fill="BFBFBF"/>
            <w:vAlign w:val="center"/>
          </w:tcPr>
          <w:p w:rsidR="00E81FF6" w:rsidRPr="00C537E0" w:rsidRDefault="00F23F6C"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Gender</w:t>
            </w:r>
          </w:p>
        </w:tc>
        <w:tc>
          <w:tcPr>
            <w:tcW w:w="1295" w:type="dxa"/>
            <w:shd w:val="clear" w:color="auto" w:fill="BFBFBF"/>
            <w:vAlign w:val="center"/>
          </w:tcPr>
          <w:p w:rsidR="00E81FF6" w:rsidRPr="00C537E0" w:rsidRDefault="00F23F6C"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Category</w:t>
            </w:r>
          </w:p>
        </w:tc>
        <w:tc>
          <w:tcPr>
            <w:tcW w:w="994" w:type="dxa"/>
            <w:shd w:val="clear" w:color="auto" w:fill="BFBFBF"/>
            <w:vAlign w:val="center"/>
          </w:tcPr>
          <w:p w:rsidR="00E81FF6" w:rsidRPr="00C537E0" w:rsidRDefault="00F23F6C"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Mean</w:t>
            </w:r>
          </w:p>
        </w:tc>
        <w:tc>
          <w:tcPr>
            <w:tcW w:w="1278" w:type="dxa"/>
            <w:shd w:val="clear" w:color="auto" w:fill="BFBFBF"/>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Std. dev.</w:t>
            </w:r>
          </w:p>
        </w:tc>
        <w:tc>
          <w:tcPr>
            <w:tcW w:w="868" w:type="dxa"/>
            <w:shd w:val="clear" w:color="auto" w:fill="BFBFBF"/>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N</w:t>
            </w:r>
          </w:p>
        </w:tc>
      </w:tr>
      <w:tr w:rsidR="00E81FF6" w:rsidRPr="00C537E0" w:rsidTr="00966894">
        <w:trPr>
          <w:trHeight w:val="236"/>
          <w:jc w:val="center"/>
        </w:trPr>
        <w:tc>
          <w:tcPr>
            <w:tcW w:w="2380" w:type="dxa"/>
            <w:vMerge w:val="restart"/>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D03E11"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Pr>
                <w:rFonts w:ascii="Times New Roman" w:hAnsi="Times New Roman" w:cs="Times New Roman"/>
                <w:sz w:val="16"/>
                <w:szCs w:val="16"/>
              </w:rPr>
              <w:t xml:space="preserve">Propensity for </w:t>
            </w:r>
            <w:r w:rsidR="00F23F6C" w:rsidRPr="00C537E0">
              <w:rPr>
                <w:rFonts w:ascii="Times New Roman" w:hAnsi="Times New Roman" w:cs="Times New Roman"/>
                <w:sz w:val="16"/>
                <w:szCs w:val="16"/>
              </w:rPr>
              <w:t xml:space="preserve"> entrepreneurial behavior</w:t>
            </w:r>
          </w:p>
        </w:tc>
        <w:tc>
          <w:tcPr>
            <w:tcW w:w="836" w:type="dxa"/>
            <w:vMerge w:val="restart"/>
            <w:shd w:val="clear" w:color="auto" w:fill="auto"/>
            <w:vAlign w:val="center"/>
          </w:tcPr>
          <w:p w:rsidR="00E81FF6" w:rsidRPr="00C537E0" w:rsidRDefault="00F23F6C"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Male</w:t>
            </w:r>
          </w:p>
        </w:tc>
        <w:tc>
          <w:tcPr>
            <w:tcW w:w="1295" w:type="dxa"/>
            <w:shd w:val="clear" w:color="auto" w:fill="auto"/>
            <w:vAlign w:val="center"/>
          </w:tcPr>
          <w:p w:rsidR="00E81FF6" w:rsidRPr="00C537E0" w:rsidRDefault="00F23F6C"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control</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3,83</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1,112</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54</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p>
        </w:tc>
        <w:tc>
          <w:tcPr>
            <w:tcW w:w="1295" w:type="dxa"/>
            <w:shd w:val="clear" w:color="auto" w:fill="auto"/>
            <w:vAlign w:val="center"/>
          </w:tcPr>
          <w:p w:rsidR="00E81FF6" w:rsidRPr="00C537E0" w:rsidRDefault="00F23F6C"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sportsmen</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3,81</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1,090</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90</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p>
        </w:tc>
        <w:tc>
          <w:tcPr>
            <w:tcW w:w="1295" w:type="dxa"/>
            <w:tcBorders>
              <w:bottom w:val="single" w:sz="4" w:space="0" w:color="auto"/>
            </w:tcBorders>
            <w:shd w:val="clear" w:color="auto" w:fill="auto"/>
            <w:vAlign w:val="center"/>
          </w:tcPr>
          <w:p w:rsidR="00E81FF6" w:rsidRPr="00C537E0" w:rsidRDefault="00F23F6C"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associations</w:t>
            </w:r>
          </w:p>
        </w:tc>
        <w:tc>
          <w:tcPr>
            <w:tcW w:w="994"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4,30</w:t>
            </w:r>
          </w:p>
        </w:tc>
        <w:tc>
          <w:tcPr>
            <w:tcW w:w="127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,912</w:t>
            </w:r>
          </w:p>
        </w:tc>
        <w:tc>
          <w:tcPr>
            <w:tcW w:w="86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27</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p>
        </w:tc>
        <w:tc>
          <w:tcPr>
            <w:tcW w:w="1295" w:type="dxa"/>
            <w:shd w:val="clear" w:color="auto" w:fill="BFBFBF"/>
            <w:vAlign w:val="center"/>
          </w:tcPr>
          <w:p w:rsidR="00E81FF6" w:rsidRPr="00C537E0" w:rsidRDefault="00F23F6C"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Total</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3,89</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1,080</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171</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val="restart"/>
            <w:shd w:val="clear" w:color="auto" w:fill="auto"/>
            <w:vAlign w:val="center"/>
          </w:tcPr>
          <w:p w:rsidR="00E81FF6" w:rsidRPr="00C537E0" w:rsidRDefault="0029041D"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r>
              <w:rPr>
                <w:rFonts w:ascii="Times New Roman" w:eastAsia="MS Mincho" w:hAnsi="Times New Roman" w:cs="Times New Roman"/>
                <w:color w:val="000000"/>
                <w:sz w:val="16"/>
                <w:szCs w:val="16"/>
              </w:rPr>
              <w:t>Female</w:t>
            </w:r>
          </w:p>
        </w:tc>
        <w:tc>
          <w:tcPr>
            <w:tcW w:w="1295" w:type="dxa"/>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control</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3,59</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1,116</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75</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p>
        </w:tc>
        <w:tc>
          <w:tcPr>
            <w:tcW w:w="1295" w:type="dxa"/>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sportsmen</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3,57</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1,152</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40</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p>
        </w:tc>
        <w:tc>
          <w:tcPr>
            <w:tcW w:w="1295" w:type="dxa"/>
            <w:tcBorders>
              <w:bottom w:val="single" w:sz="4" w:space="0" w:color="auto"/>
            </w:tcBorders>
            <w:shd w:val="clear" w:color="auto" w:fill="auto"/>
            <w:vAlign w:val="center"/>
          </w:tcPr>
          <w:p w:rsidR="00E81FF6" w:rsidRPr="00C537E0" w:rsidRDefault="0029041D" w:rsidP="0029041D">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associations</w:t>
            </w:r>
          </w:p>
        </w:tc>
        <w:tc>
          <w:tcPr>
            <w:tcW w:w="994"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3,82</w:t>
            </w:r>
          </w:p>
        </w:tc>
        <w:tc>
          <w:tcPr>
            <w:tcW w:w="127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1,227</w:t>
            </w:r>
          </w:p>
        </w:tc>
        <w:tc>
          <w:tcPr>
            <w:tcW w:w="86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p>
        </w:tc>
        <w:tc>
          <w:tcPr>
            <w:tcW w:w="1295" w:type="dxa"/>
            <w:tcBorders>
              <w:bottom w:val="single" w:sz="4" w:space="0" w:color="auto"/>
            </w:tcBorders>
            <w:shd w:val="clear" w:color="auto" w:fill="BFBFBF"/>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Total</w:t>
            </w:r>
          </w:p>
        </w:tc>
        <w:tc>
          <w:tcPr>
            <w:tcW w:w="994" w:type="dxa"/>
            <w:tcBorders>
              <w:bottom w:val="single" w:sz="4" w:space="0" w:color="auto"/>
            </w:tcBorders>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3,64</w:t>
            </w:r>
          </w:p>
        </w:tc>
        <w:tc>
          <w:tcPr>
            <w:tcW w:w="1278" w:type="dxa"/>
            <w:tcBorders>
              <w:bottom w:val="single" w:sz="4" w:space="0" w:color="auto"/>
            </w:tcBorders>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1,151</w:t>
            </w:r>
          </w:p>
        </w:tc>
        <w:tc>
          <w:tcPr>
            <w:tcW w:w="868" w:type="dxa"/>
            <w:tcBorders>
              <w:bottom w:val="single" w:sz="4" w:space="0" w:color="auto"/>
            </w:tcBorders>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153</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val="restart"/>
            <w:shd w:val="clear" w:color="auto" w:fill="BFBFBF"/>
            <w:vAlign w:val="center"/>
          </w:tcPr>
          <w:p w:rsidR="00E81FF6" w:rsidRPr="00C537E0" w:rsidRDefault="0029041D"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b/>
                <w:color w:val="000000"/>
                <w:sz w:val="16"/>
                <w:szCs w:val="16"/>
              </w:rPr>
              <w:t>Total</w:t>
            </w:r>
          </w:p>
        </w:tc>
        <w:tc>
          <w:tcPr>
            <w:tcW w:w="1295" w:type="dxa"/>
            <w:shd w:val="clear" w:color="auto" w:fill="BFBFBF"/>
            <w:vAlign w:val="center"/>
          </w:tcPr>
          <w:p w:rsidR="00E81FF6" w:rsidRPr="00C537E0" w:rsidRDefault="0029041D" w:rsidP="0029041D">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control</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3,69</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1,117</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129</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shd w:val="clear" w:color="auto" w:fill="BFBFBF"/>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b/>
                <w:sz w:val="16"/>
                <w:szCs w:val="16"/>
              </w:rPr>
            </w:pPr>
          </w:p>
        </w:tc>
        <w:tc>
          <w:tcPr>
            <w:tcW w:w="1295" w:type="dxa"/>
            <w:shd w:val="clear" w:color="auto" w:fill="BFBFBF"/>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sportsmen</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3,74</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1,111</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130</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shd w:val="clear" w:color="auto" w:fill="BFBFBF"/>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b/>
                <w:sz w:val="16"/>
                <w:szCs w:val="16"/>
              </w:rPr>
            </w:pPr>
          </w:p>
        </w:tc>
        <w:tc>
          <w:tcPr>
            <w:tcW w:w="1295" w:type="dxa"/>
            <w:shd w:val="clear" w:color="auto" w:fill="BFBFBF"/>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associations</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4,02</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1,125</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65</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shd w:val="clear" w:color="auto" w:fill="BFBFBF"/>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b/>
                <w:sz w:val="16"/>
                <w:szCs w:val="16"/>
              </w:rPr>
            </w:pPr>
          </w:p>
        </w:tc>
        <w:tc>
          <w:tcPr>
            <w:tcW w:w="1295" w:type="dxa"/>
            <w:shd w:val="clear" w:color="auto" w:fill="BFBFBF"/>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b/>
                <w:sz w:val="16"/>
                <w:szCs w:val="16"/>
              </w:rPr>
            </w:pPr>
            <w:r w:rsidRPr="00C537E0">
              <w:rPr>
                <w:rFonts w:ascii="Times New Roman" w:eastAsia="MS Mincho" w:hAnsi="Times New Roman" w:cs="Times New Roman"/>
                <w:b/>
                <w:color w:val="000000"/>
                <w:sz w:val="16"/>
                <w:szCs w:val="16"/>
              </w:rPr>
              <w:t>Total</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3,77</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1,119</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324</w:t>
            </w:r>
          </w:p>
        </w:tc>
      </w:tr>
      <w:tr w:rsidR="00E81FF6" w:rsidRPr="00C537E0" w:rsidTr="00966894">
        <w:trPr>
          <w:trHeight w:val="127"/>
          <w:jc w:val="center"/>
        </w:trPr>
        <w:tc>
          <w:tcPr>
            <w:tcW w:w="2380" w:type="dxa"/>
            <w:vMerge w:val="restart"/>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p>
          <w:p w:rsidR="00E81FF6" w:rsidRPr="00C537E0" w:rsidRDefault="00D03E11" w:rsidP="00D03E11">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Pr>
                <w:rFonts w:ascii="Times New Roman" w:hAnsi="Times New Roman" w:cs="Times New Roman"/>
                <w:sz w:val="16"/>
                <w:szCs w:val="16"/>
              </w:rPr>
              <w:t xml:space="preserve">Probability of </w:t>
            </w:r>
            <w:r w:rsidR="00F23F6C" w:rsidRPr="00C537E0">
              <w:rPr>
                <w:rFonts w:ascii="Times New Roman" w:hAnsi="Times New Roman" w:cs="Times New Roman"/>
                <w:sz w:val="16"/>
                <w:szCs w:val="16"/>
              </w:rPr>
              <w:t>start</w:t>
            </w:r>
            <w:r>
              <w:rPr>
                <w:rFonts w:ascii="Times New Roman" w:hAnsi="Times New Roman" w:cs="Times New Roman"/>
                <w:sz w:val="16"/>
                <w:szCs w:val="16"/>
              </w:rPr>
              <w:t xml:space="preserve">ing </w:t>
            </w:r>
            <w:r w:rsidR="00F23F6C" w:rsidRPr="00C537E0">
              <w:rPr>
                <w:rFonts w:ascii="Times New Roman" w:hAnsi="Times New Roman" w:cs="Times New Roman"/>
                <w:sz w:val="16"/>
                <w:szCs w:val="16"/>
              </w:rPr>
              <w:t>own business</w:t>
            </w:r>
          </w:p>
        </w:tc>
        <w:tc>
          <w:tcPr>
            <w:tcW w:w="836" w:type="dxa"/>
            <w:vMerge w:val="restart"/>
            <w:shd w:val="clear" w:color="auto" w:fill="auto"/>
            <w:vAlign w:val="center"/>
          </w:tcPr>
          <w:p w:rsidR="00E81FF6" w:rsidRPr="00C537E0" w:rsidRDefault="0029041D"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Male</w:t>
            </w:r>
          </w:p>
        </w:tc>
        <w:tc>
          <w:tcPr>
            <w:tcW w:w="1295" w:type="dxa"/>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control</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3,20</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1,219</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54</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p>
        </w:tc>
        <w:tc>
          <w:tcPr>
            <w:tcW w:w="1295" w:type="dxa"/>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sportsmen</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3,32</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,958</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90</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p>
        </w:tc>
        <w:tc>
          <w:tcPr>
            <w:tcW w:w="1295" w:type="dxa"/>
            <w:tcBorders>
              <w:bottom w:val="single" w:sz="4" w:space="0" w:color="auto"/>
            </w:tcBorders>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associations</w:t>
            </w:r>
          </w:p>
        </w:tc>
        <w:tc>
          <w:tcPr>
            <w:tcW w:w="994"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3,89</w:t>
            </w:r>
          </w:p>
        </w:tc>
        <w:tc>
          <w:tcPr>
            <w:tcW w:w="127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,847</w:t>
            </w:r>
          </w:p>
        </w:tc>
        <w:tc>
          <w:tcPr>
            <w:tcW w:w="86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27</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p>
        </w:tc>
        <w:tc>
          <w:tcPr>
            <w:tcW w:w="1295" w:type="dxa"/>
            <w:shd w:val="clear" w:color="auto" w:fill="BFBFBF"/>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Total</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3,37</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1,052</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b/>
                <w:color w:val="000000"/>
                <w:sz w:val="16"/>
                <w:szCs w:val="16"/>
              </w:rPr>
            </w:pPr>
            <w:r w:rsidRPr="00C537E0">
              <w:rPr>
                <w:rFonts w:ascii="Times New Roman" w:eastAsia="MS Mincho" w:hAnsi="Times New Roman" w:cs="Times New Roman"/>
                <w:b/>
                <w:color w:val="000000"/>
                <w:sz w:val="16"/>
                <w:szCs w:val="16"/>
              </w:rPr>
              <w:t>171</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p>
        </w:tc>
        <w:tc>
          <w:tcPr>
            <w:tcW w:w="836" w:type="dxa"/>
            <w:vMerge w:val="restart"/>
            <w:shd w:val="clear" w:color="auto" w:fill="auto"/>
            <w:vAlign w:val="center"/>
          </w:tcPr>
          <w:p w:rsidR="00E81FF6" w:rsidRPr="00C537E0" w:rsidRDefault="0029041D" w:rsidP="00C537E0">
            <w:pPr>
              <w:widowControl w:val="0"/>
              <w:autoSpaceDE w:val="0"/>
              <w:autoSpaceDN w:val="0"/>
              <w:adjustRightInd w:val="0"/>
              <w:spacing w:after="100" w:afterAutospacing="1" w:line="240" w:lineRule="auto"/>
              <w:jc w:val="center"/>
              <w:rPr>
                <w:rFonts w:ascii="Times New Roman" w:eastAsia="MS Mincho" w:hAnsi="Times New Roman" w:cs="Times New Roman"/>
                <w:color w:val="000000"/>
                <w:sz w:val="16"/>
                <w:szCs w:val="16"/>
              </w:rPr>
            </w:pPr>
            <w:r>
              <w:rPr>
                <w:rFonts w:ascii="Times New Roman" w:eastAsia="MS Mincho" w:hAnsi="Times New Roman" w:cs="Times New Roman"/>
                <w:color w:val="000000"/>
                <w:sz w:val="16"/>
                <w:szCs w:val="16"/>
              </w:rPr>
              <w:t>Female</w:t>
            </w:r>
          </w:p>
        </w:tc>
        <w:tc>
          <w:tcPr>
            <w:tcW w:w="1295" w:type="dxa"/>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control</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2,85</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1,049</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75</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p>
        </w:tc>
        <w:tc>
          <w:tcPr>
            <w:tcW w:w="1295" w:type="dxa"/>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sportsmen</w:t>
            </w:r>
          </w:p>
        </w:tc>
        <w:tc>
          <w:tcPr>
            <w:tcW w:w="994"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3,00</w:t>
            </w:r>
          </w:p>
        </w:tc>
        <w:tc>
          <w:tcPr>
            <w:tcW w:w="127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1,038</w:t>
            </w:r>
          </w:p>
        </w:tc>
        <w:tc>
          <w:tcPr>
            <w:tcW w:w="868" w:type="dxa"/>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40</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sz w:val="16"/>
                <w:szCs w:val="16"/>
              </w:rPr>
            </w:pPr>
          </w:p>
        </w:tc>
        <w:tc>
          <w:tcPr>
            <w:tcW w:w="836" w:type="dxa"/>
            <w:vMerge/>
            <w:shd w:val="clear" w:color="auto" w:fill="auto"/>
            <w:vAlign w:val="center"/>
          </w:tcPr>
          <w:p w:rsidR="00E81FF6" w:rsidRPr="00C537E0" w:rsidRDefault="00E81FF6" w:rsidP="00C537E0">
            <w:pPr>
              <w:widowControl w:val="0"/>
              <w:autoSpaceDE w:val="0"/>
              <w:autoSpaceDN w:val="0"/>
              <w:adjustRightInd w:val="0"/>
              <w:spacing w:after="100" w:afterAutospacing="1" w:line="240" w:lineRule="auto"/>
              <w:jc w:val="center"/>
              <w:rPr>
                <w:rFonts w:ascii="Times New Roman" w:eastAsia="MS Mincho" w:hAnsi="Times New Roman" w:cs="Times New Roman"/>
                <w:sz w:val="16"/>
                <w:szCs w:val="16"/>
              </w:rPr>
            </w:pPr>
          </w:p>
        </w:tc>
        <w:tc>
          <w:tcPr>
            <w:tcW w:w="1295" w:type="dxa"/>
            <w:tcBorders>
              <w:bottom w:val="single" w:sz="4" w:space="0" w:color="auto"/>
            </w:tcBorders>
            <w:shd w:val="clear" w:color="auto" w:fill="auto"/>
            <w:vAlign w:val="center"/>
          </w:tcPr>
          <w:p w:rsidR="00E81FF6" w:rsidRPr="00C537E0" w:rsidRDefault="0029041D"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associations</w:t>
            </w:r>
          </w:p>
        </w:tc>
        <w:tc>
          <w:tcPr>
            <w:tcW w:w="994"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3,21</w:t>
            </w:r>
          </w:p>
        </w:tc>
        <w:tc>
          <w:tcPr>
            <w:tcW w:w="127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1,119</w:t>
            </w:r>
          </w:p>
        </w:tc>
        <w:tc>
          <w:tcPr>
            <w:tcW w:w="868" w:type="dxa"/>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0" w:line="240" w:lineRule="auto"/>
              <w:jc w:val="center"/>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p>
        </w:tc>
        <w:tc>
          <w:tcPr>
            <w:tcW w:w="836" w:type="dxa"/>
            <w:vMerge/>
            <w:tcBorders>
              <w:bottom w:val="single" w:sz="4" w:space="0" w:color="auto"/>
            </w:tcBorders>
            <w:shd w:val="clear" w:color="auto" w:fill="auto"/>
            <w:vAlign w:val="center"/>
          </w:tcPr>
          <w:p w:rsidR="00E81FF6" w:rsidRPr="00C537E0" w:rsidRDefault="00E81FF6" w:rsidP="00C537E0">
            <w:pPr>
              <w:widowControl w:val="0"/>
              <w:autoSpaceDE w:val="0"/>
              <w:autoSpaceDN w:val="0"/>
              <w:adjustRightInd w:val="0"/>
              <w:spacing w:after="100" w:afterAutospacing="1"/>
              <w:jc w:val="center"/>
              <w:rPr>
                <w:rFonts w:ascii="Times New Roman" w:eastAsia="MS Mincho" w:hAnsi="Times New Roman" w:cs="Times New Roman"/>
                <w:sz w:val="16"/>
                <w:szCs w:val="16"/>
              </w:rPr>
            </w:pPr>
          </w:p>
        </w:tc>
        <w:tc>
          <w:tcPr>
            <w:tcW w:w="1295" w:type="dxa"/>
            <w:tcBorders>
              <w:bottom w:val="single" w:sz="4" w:space="0" w:color="auto"/>
            </w:tcBorders>
            <w:shd w:val="clear" w:color="auto" w:fill="BFBFBF"/>
            <w:vAlign w:val="center"/>
          </w:tcPr>
          <w:p w:rsidR="00E81FF6" w:rsidRPr="00C537E0" w:rsidRDefault="0029041D"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color w:val="000000"/>
                <w:sz w:val="16"/>
                <w:szCs w:val="16"/>
              </w:rPr>
              <w:t>Total</w:t>
            </w:r>
          </w:p>
        </w:tc>
        <w:tc>
          <w:tcPr>
            <w:tcW w:w="994" w:type="dxa"/>
            <w:tcBorders>
              <w:bottom w:val="single" w:sz="4" w:space="0" w:color="auto"/>
            </w:tcBorders>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2,98</w:t>
            </w:r>
          </w:p>
        </w:tc>
        <w:tc>
          <w:tcPr>
            <w:tcW w:w="1278" w:type="dxa"/>
            <w:tcBorders>
              <w:bottom w:val="single" w:sz="4" w:space="0" w:color="auto"/>
            </w:tcBorders>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1,067</w:t>
            </w:r>
          </w:p>
        </w:tc>
        <w:tc>
          <w:tcPr>
            <w:tcW w:w="868" w:type="dxa"/>
            <w:tcBorders>
              <w:bottom w:val="single" w:sz="4" w:space="0" w:color="auto"/>
            </w:tcBorders>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153</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color w:val="000000"/>
                <w:sz w:val="16"/>
                <w:szCs w:val="16"/>
              </w:rPr>
            </w:pPr>
          </w:p>
        </w:tc>
        <w:tc>
          <w:tcPr>
            <w:tcW w:w="836" w:type="dxa"/>
            <w:vMerge w:val="restart"/>
            <w:shd w:val="clear" w:color="auto" w:fill="BFBFBF"/>
            <w:vAlign w:val="center"/>
          </w:tcPr>
          <w:p w:rsidR="00E81FF6" w:rsidRPr="00C537E0" w:rsidRDefault="0029041D" w:rsidP="00C537E0">
            <w:pPr>
              <w:widowControl w:val="0"/>
              <w:autoSpaceDE w:val="0"/>
              <w:autoSpaceDN w:val="0"/>
              <w:adjustRightInd w:val="0"/>
              <w:spacing w:after="100" w:afterAutospacing="1"/>
              <w:jc w:val="center"/>
              <w:rPr>
                <w:rFonts w:ascii="Times New Roman" w:eastAsia="MS Mincho" w:hAnsi="Times New Roman" w:cs="Times New Roman"/>
                <w:b/>
                <w:color w:val="FFFFFF"/>
                <w:sz w:val="16"/>
                <w:szCs w:val="16"/>
              </w:rPr>
            </w:pPr>
            <w:r w:rsidRPr="00C537E0">
              <w:rPr>
                <w:rFonts w:ascii="Times New Roman" w:eastAsia="MS Mincho" w:hAnsi="Times New Roman" w:cs="Times New Roman"/>
                <w:b/>
                <w:color w:val="000000"/>
                <w:sz w:val="16"/>
                <w:szCs w:val="16"/>
              </w:rPr>
              <w:t>Total</w:t>
            </w:r>
          </w:p>
        </w:tc>
        <w:tc>
          <w:tcPr>
            <w:tcW w:w="1295" w:type="dxa"/>
            <w:shd w:val="clear" w:color="auto" w:fill="BFBFBF"/>
            <w:vAlign w:val="center"/>
          </w:tcPr>
          <w:p w:rsidR="00E81FF6" w:rsidRPr="00C537E0" w:rsidRDefault="0029041D"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control</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3,00</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1,132</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129</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p>
        </w:tc>
        <w:tc>
          <w:tcPr>
            <w:tcW w:w="836" w:type="dxa"/>
            <w:vMerge/>
            <w:shd w:val="clear" w:color="auto" w:fill="BFBFBF"/>
            <w:vAlign w:val="center"/>
          </w:tcPr>
          <w:p w:rsidR="00E81FF6" w:rsidRPr="00C537E0" w:rsidRDefault="00E81FF6" w:rsidP="00C537E0">
            <w:pPr>
              <w:widowControl w:val="0"/>
              <w:autoSpaceDE w:val="0"/>
              <w:autoSpaceDN w:val="0"/>
              <w:adjustRightInd w:val="0"/>
              <w:spacing w:after="100" w:afterAutospacing="1"/>
              <w:jc w:val="center"/>
              <w:rPr>
                <w:rFonts w:ascii="Times New Roman" w:eastAsia="MS Mincho" w:hAnsi="Times New Roman" w:cs="Times New Roman"/>
                <w:b/>
                <w:color w:val="FFFFFF"/>
                <w:sz w:val="16"/>
                <w:szCs w:val="16"/>
              </w:rPr>
            </w:pPr>
          </w:p>
        </w:tc>
        <w:tc>
          <w:tcPr>
            <w:tcW w:w="1295" w:type="dxa"/>
            <w:shd w:val="clear" w:color="auto" w:fill="BFBFBF"/>
            <w:vAlign w:val="center"/>
          </w:tcPr>
          <w:p w:rsidR="00E81FF6" w:rsidRPr="00C537E0" w:rsidRDefault="0029041D"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sportsmen</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3,22</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,990</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130</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p>
        </w:tc>
        <w:tc>
          <w:tcPr>
            <w:tcW w:w="836" w:type="dxa"/>
            <w:vMerge/>
            <w:shd w:val="clear" w:color="auto" w:fill="BFBFBF"/>
            <w:vAlign w:val="center"/>
          </w:tcPr>
          <w:p w:rsidR="00E81FF6" w:rsidRPr="00C537E0" w:rsidRDefault="00E81FF6" w:rsidP="00C537E0">
            <w:pPr>
              <w:widowControl w:val="0"/>
              <w:autoSpaceDE w:val="0"/>
              <w:autoSpaceDN w:val="0"/>
              <w:adjustRightInd w:val="0"/>
              <w:spacing w:after="100" w:afterAutospacing="1"/>
              <w:jc w:val="center"/>
              <w:rPr>
                <w:rFonts w:ascii="Times New Roman" w:eastAsia="MS Mincho" w:hAnsi="Times New Roman" w:cs="Times New Roman"/>
                <w:b/>
                <w:color w:val="FFFFFF"/>
                <w:sz w:val="16"/>
                <w:szCs w:val="16"/>
              </w:rPr>
            </w:pPr>
          </w:p>
        </w:tc>
        <w:tc>
          <w:tcPr>
            <w:tcW w:w="1295" w:type="dxa"/>
            <w:shd w:val="clear" w:color="auto" w:fill="BFBFBF"/>
            <w:vAlign w:val="center"/>
          </w:tcPr>
          <w:p w:rsidR="00E81FF6" w:rsidRPr="00C537E0" w:rsidRDefault="0029041D"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associations</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3,49</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1,062</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r w:rsidRPr="00C537E0">
              <w:rPr>
                <w:rFonts w:ascii="Times New Roman" w:eastAsia="MS Mincho" w:hAnsi="Times New Roman" w:cs="Times New Roman"/>
                <w:sz w:val="16"/>
                <w:szCs w:val="16"/>
              </w:rPr>
              <w:t>65</w:t>
            </w:r>
          </w:p>
        </w:tc>
      </w:tr>
      <w:tr w:rsidR="00E81FF6" w:rsidRPr="00C537E0" w:rsidTr="00C537E0">
        <w:trPr>
          <w:trHeight w:val="121"/>
          <w:jc w:val="center"/>
        </w:trPr>
        <w:tc>
          <w:tcPr>
            <w:tcW w:w="2380" w:type="dxa"/>
            <w:vMerge/>
            <w:shd w:val="clear" w:color="auto" w:fill="auto"/>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sz w:val="16"/>
                <w:szCs w:val="16"/>
              </w:rPr>
            </w:pPr>
          </w:p>
        </w:tc>
        <w:tc>
          <w:tcPr>
            <w:tcW w:w="836" w:type="dxa"/>
            <w:vMerge/>
            <w:shd w:val="clear" w:color="auto" w:fill="BFBFBF"/>
            <w:vAlign w:val="center"/>
          </w:tcPr>
          <w:p w:rsidR="00E81FF6" w:rsidRPr="00C537E0" w:rsidRDefault="00E81FF6" w:rsidP="00C537E0">
            <w:pPr>
              <w:widowControl w:val="0"/>
              <w:autoSpaceDE w:val="0"/>
              <w:autoSpaceDN w:val="0"/>
              <w:adjustRightInd w:val="0"/>
              <w:spacing w:after="100" w:afterAutospacing="1"/>
              <w:jc w:val="center"/>
              <w:rPr>
                <w:rFonts w:ascii="Times New Roman" w:eastAsia="MS Mincho" w:hAnsi="Times New Roman" w:cs="Times New Roman"/>
                <w:b/>
                <w:color w:val="FFFFFF"/>
                <w:sz w:val="16"/>
                <w:szCs w:val="16"/>
              </w:rPr>
            </w:pPr>
          </w:p>
        </w:tc>
        <w:tc>
          <w:tcPr>
            <w:tcW w:w="1295" w:type="dxa"/>
            <w:shd w:val="clear" w:color="auto" w:fill="BFBFBF"/>
            <w:vAlign w:val="center"/>
          </w:tcPr>
          <w:p w:rsidR="00E81FF6" w:rsidRPr="00C537E0" w:rsidRDefault="0029041D"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color w:val="000000"/>
                <w:sz w:val="16"/>
                <w:szCs w:val="16"/>
              </w:rPr>
              <w:t>Total</w:t>
            </w:r>
          </w:p>
        </w:tc>
        <w:tc>
          <w:tcPr>
            <w:tcW w:w="994"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3,19</w:t>
            </w:r>
          </w:p>
        </w:tc>
        <w:tc>
          <w:tcPr>
            <w:tcW w:w="127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1,075</w:t>
            </w:r>
          </w:p>
        </w:tc>
        <w:tc>
          <w:tcPr>
            <w:tcW w:w="868" w:type="dxa"/>
            <w:shd w:val="clear" w:color="auto" w:fill="BFBFBF"/>
            <w:vAlign w:val="center"/>
          </w:tcPr>
          <w:p w:rsidR="00E81FF6" w:rsidRPr="00C537E0" w:rsidRDefault="00E81FF6" w:rsidP="00C537E0">
            <w:pPr>
              <w:widowControl w:val="0"/>
              <w:autoSpaceDE w:val="0"/>
              <w:autoSpaceDN w:val="0"/>
              <w:adjustRightInd w:val="0"/>
              <w:spacing w:after="0"/>
              <w:jc w:val="center"/>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324</w:t>
            </w:r>
          </w:p>
        </w:tc>
      </w:tr>
    </w:tbl>
    <w:p w:rsidR="00917C0E" w:rsidRPr="00917C0E" w:rsidRDefault="00917C0E" w:rsidP="00917C0E">
      <w:pPr>
        <w:spacing w:line="240" w:lineRule="auto"/>
        <w:ind w:left="4944" w:firstLine="720"/>
        <w:jc w:val="both"/>
        <w:rPr>
          <w:rFonts w:ascii="Times New Roman" w:hAnsi="Times New Roman" w:cs="Times New Roman"/>
          <w:sz w:val="20"/>
          <w:szCs w:val="20"/>
        </w:rPr>
      </w:pPr>
      <w:r w:rsidRPr="00917C0E">
        <w:rPr>
          <w:rFonts w:ascii="Times New Roman" w:hAnsi="Times New Roman" w:cs="Times New Roman"/>
          <w:sz w:val="20"/>
          <w:szCs w:val="20"/>
        </w:rPr>
        <w:t>(</w:t>
      </w:r>
      <w:r w:rsidR="00EE6766">
        <w:rPr>
          <w:rFonts w:ascii="Times New Roman" w:hAnsi="Times New Roman" w:cs="Times New Roman"/>
          <w:sz w:val="20"/>
          <w:szCs w:val="20"/>
        </w:rPr>
        <w:t xml:space="preserve">Source: </w:t>
      </w:r>
      <w:r w:rsidRPr="00917C0E">
        <w:rPr>
          <w:rFonts w:ascii="Times New Roman" w:hAnsi="Times New Roman" w:cs="Times New Roman"/>
          <w:sz w:val="20"/>
          <w:szCs w:val="20"/>
        </w:rPr>
        <w:t>Sedlan-Kőnig, 2012)</w:t>
      </w:r>
    </w:p>
    <w:p w:rsidR="00A8656D" w:rsidRDefault="00C537E0" w:rsidP="00A8656D">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t xml:space="preserve">Differences in </w:t>
      </w:r>
      <w:r>
        <w:rPr>
          <w:rFonts w:ascii="Times New Roman" w:hAnsi="Times New Roman" w:cs="Times New Roman"/>
          <w:sz w:val="24"/>
          <w:szCs w:val="24"/>
        </w:rPr>
        <w:t xml:space="preserve">means for </w:t>
      </w:r>
      <w:r w:rsidR="00D03E11">
        <w:rPr>
          <w:rFonts w:ascii="Times New Roman" w:hAnsi="Times New Roman" w:cs="Times New Roman"/>
          <w:sz w:val="24"/>
          <w:szCs w:val="24"/>
        </w:rPr>
        <w:t>propensity for</w:t>
      </w:r>
      <w:r w:rsidRPr="00C537E0">
        <w:rPr>
          <w:rFonts w:ascii="Times New Roman" w:hAnsi="Times New Roman" w:cs="Times New Roman"/>
          <w:sz w:val="24"/>
          <w:szCs w:val="24"/>
        </w:rPr>
        <w:t xml:space="preserve"> entrepreneurial behavior and </w:t>
      </w:r>
      <w:r w:rsidR="00D03E11">
        <w:rPr>
          <w:rFonts w:ascii="Times New Roman" w:hAnsi="Times New Roman" w:cs="Times New Roman"/>
          <w:sz w:val="24"/>
          <w:szCs w:val="24"/>
        </w:rPr>
        <w:t xml:space="preserve">probability of </w:t>
      </w:r>
      <w:r w:rsidRPr="00C537E0">
        <w:rPr>
          <w:rFonts w:ascii="Times New Roman" w:hAnsi="Times New Roman" w:cs="Times New Roman"/>
          <w:sz w:val="24"/>
          <w:szCs w:val="24"/>
        </w:rPr>
        <w:t>start</w:t>
      </w:r>
      <w:r w:rsidR="00D03E11">
        <w:rPr>
          <w:rFonts w:ascii="Times New Roman" w:hAnsi="Times New Roman" w:cs="Times New Roman"/>
          <w:sz w:val="24"/>
          <w:szCs w:val="24"/>
        </w:rPr>
        <w:t>ing</w:t>
      </w:r>
      <w:r w:rsidRPr="00C537E0">
        <w:rPr>
          <w:rFonts w:ascii="Times New Roman" w:hAnsi="Times New Roman" w:cs="Times New Roman"/>
          <w:sz w:val="24"/>
          <w:szCs w:val="24"/>
        </w:rPr>
        <w:t xml:space="preserve"> own business</w:t>
      </w:r>
      <w:r w:rsidR="00A8656D">
        <w:rPr>
          <w:rFonts w:ascii="Times New Roman" w:hAnsi="Times New Roman" w:cs="Times New Roman"/>
          <w:sz w:val="24"/>
          <w:szCs w:val="24"/>
        </w:rPr>
        <w:t xml:space="preserve"> can be observed although </w:t>
      </w:r>
      <w:r w:rsidR="00A13342">
        <w:rPr>
          <w:rFonts w:ascii="Times New Roman" w:hAnsi="Times New Roman" w:cs="Times New Roman"/>
          <w:sz w:val="24"/>
          <w:szCs w:val="24"/>
        </w:rPr>
        <w:t xml:space="preserve">a </w:t>
      </w:r>
      <w:r w:rsidR="00A8656D">
        <w:rPr>
          <w:rFonts w:ascii="Times New Roman" w:hAnsi="Times New Roman" w:cs="Times New Roman"/>
          <w:sz w:val="24"/>
          <w:szCs w:val="24"/>
        </w:rPr>
        <w:t xml:space="preserve">statistically significant difference was observed </w:t>
      </w:r>
      <w:r w:rsidR="00A13342">
        <w:rPr>
          <w:rFonts w:ascii="Times New Roman" w:hAnsi="Times New Roman" w:cs="Times New Roman"/>
          <w:sz w:val="24"/>
          <w:szCs w:val="24"/>
        </w:rPr>
        <w:t xml:space="preserve">only </w:t>
      </w:r>
      <w:r w:rsidR="00A8656D">
        <w:rPr>
          <w:rFonts w:ascii="Times New Roman" w:hAnsi="Times New Roman" w:cs="Times New Roman"/>
          <w:sz w:val="24"/>
          <w:szCs w:val="24"/>
        </w:rPr>
        <w:t xml:space="preserve">in </w:t>
      </w:r>
      <w:r w:rsidR="00D03E11">
        <w:rPr>
          <w:rFonts w:ascii="Times New Roman" w:hAnsi="Times New Roman" w:cs="Times New Roman"/>
          <w:sz w:val="24"/>
          <w:szCs w:val="24"/>
        </w:rPr>
        <w:t xml:space="preserve">propensity for </w:t>
      </w:r>
      <w:r w:rsidR="00A8656D" w:rsidRPr="00C537E0">
        <w:rPr>
          <w:rFonts w:ascii="Times New Roman" w:hAnsi="Times New Roman" w:cs="Times New Roman"/>
          <w:sz w:val="24"/>
          <w:szCs w:val="24"/>
        </w:rPr>
        <w:t>entrepreneurial behavior</w:t>
      </w:r>
      <w:r w:rsidR="00A8656D">
        <w:rPr>
          <w:rFonts w:ascii="Times New Roman" w:hAnsi="Times New Roman" w:cs="Times New Roman"/>
          <w:sz w:val="24"/>
          <w:szCs w:val="24"/>
        </w:rPr>
        <w:t xml:space="preserve">. </w:t>
      </w:r>
      <w:r w:rsidR="006968AB">
        <w:rPr>
          <w:rFonts w:ascii="Times New Roman" w:hAnsi="Times New Roman" w:cs="Times New Roman"/>
          <w:sz w:val="24"/>
          <w:szCs w:val="24"/>
        </w:rPr>
        <w:t xml:space="preserve">Thus, the </w:t>
      </w:r>
      <w:r w:rsidR="003B1063">
        <w:rPr>
          <w:rFonts w:ascii="Times New Roman" w:hAnsi="Times New Roman" w:cs="Times New Roman"/>
          <w:sz w:val="24"/>
          <w:szCs w:val="24"/>
        </w:rPr>
        <w:t>Hypothese</w:t>
      </w:r>
      <w:r w:rsidR="006968AB">
        <w:rPr>
          <w:rFonts w:ascii="Times New Roman" w:hAnsi="Times New Roman" w:cs="Times New Roman"/>
          <w:sz w:val="24"/>
          <w:szCs w:val="24"/>
        </w:rPr>
        <w:t xml:space="preserve">s 1 and 2 need to be further tested. </w:t>
      </w:r>
      <w:r w:rsidR="00A8656D">
        <w:rPr>
          <w:rFonts w:ascii="Times New Roman" w:hAnsi="Times New Roman" w:cs="Times New Roman"/>
          <w:sz w:val="24"/>
          <w:szCs w:val="24"/>
        </w:rPr>
        <w:t xml:space="preserve">The </w:t>
      </w:r>
      <w:r w:rsidR="006968AB">
        <w:rPr>
          <w:rFonts w:ascii="Times New Roman" w:hAnsi="Times New Roman" w:cs="Times New Roman"/>
          <w:sz w:val="24"/>
          <w:szCs w:val="24"/>
        </w:rPr>
        <w:t xml:space="preserve">above </w:t>
      </w:r>
      <w:r w:rsidR="00A8656D">
        <w:rPr>
          <w:rFonts w:ascii="Times New Roman" w:hAnsi="Times New Roman" w:cs="Times New Roman"/>
          <w:sz w:val="24"/>
          <w:szCs w:val="24"/>
        </w:rPr>
        <w:t>results show that students who are not members of sports clubs or students’ associations (the</w:t>
      </w:r>
      <w:r w:rsidR="00A13342">
        <w:rPr>
          <w:rFonts w:ascii="Times New Roman" w:hAnsi="Times New Roman" w:cs="Times New Roman"/>
          <w:sz w:val="24"/>
          <w:szCs w:val="24"/>
        </w:rPr>
        <w:t xml:space="preserve"> control group) demonstrate weaker</w:t>
      </w:r>
      <w:r w:rsidR="00A8656D">
        <w:rPr>
          <w:rFonts w:ascii="Times New Roman" w:hAnsi="Times New Roman" w:cs="Times New Roman"/>
          <w:sz w:val="24"/>
          <w:szCs w:val="24"/>
        </w:rPr>
        <w:t xml:space="preserve"> </w:t>
      </w:r>
      <w:r w:rsidR="00D03E11">
        <w:rPr>
          <w:rFonts w:ascii="Times New Roman" w:hAnsi="Times New Roman" w:cs="Times New Roman"/>
          <w:sz w:val="24"/>
          <w:szCs w:val="24"/>
        </w:rPr>
        <w:t>propensity for</w:t>
      </w:r>
      <w:r w:rsidR="00A8656D">
        <w:rPr>
          <w:rFonts w:ascii="Times New Roman" w:hAnsi="Times New Roman" w:cs="Times New Roman"/>
          <w:sz w:val="24"/>
          <w:szCs w:val="24"/>
        </w:rPr>
        <w:t xml:space="preserve"> </w:t>
      </w:r>
      <w:r w:rsidR="00A8656D" w:rsidRPr="00A8656D">
        <w:rPr>
          <w:rFonts w:ascii="Times New Roman" w:hAnsi="Times New Roman" w:cs="Times New Roman"/>
          <w:sz w:val="24"/>
          <w:szCs w:val="24"/>
        </w:rPr>
        <w:t>entrepreneurial behavior</w:t>
      </w:r>
      <w:r w:rsidR="00A13342">
        <w:rPr>
          <w:rFonts w:ascii="Times New Roman" w:hAnsi="Times New Roman" w:cs="Times New Roman"/>
          <w:sz w:val="24"/>
          <w:szCs w:val="24"/>
        </w:rPr>
        <w:t xml:space="preserve"> (mean 3,69) and lower</w:t>
      </w:r>
      <w:r w:rsidR="00A8656D">
        <w:rPr>
          <w:rFonts w:ascii="Times New Roman" w:hAnsi="Times New Roman" w:cs="Times New Roman"/>
          <w:sz w:val="24"/>
          <w:szCs w:val="24"/>
        </w:rPr>
        <w:t xml:space="preserve"> </w:t>
      </w:r>
      <w:r w:rsidR="00D03E11">
        <w:rPr>
          <w:rFonts w:ascii="Times New Roman" w:hAnsi="Times New Roman" w:cs="Times New Roman"/>
          <w:sz w:val="24"/>
          <w:szCs w:val="24"/>
        </w:rPr>
        <w:t xml:space="preserve">probability of </w:t>
      </w:r>
      <w:r w:rsidR="00A8656D" w:rsidRPr="00C537E0">
        <w:rPr>
          <w:rFonts w:ascii="Times New Roman" w:hAnsi="Times New Roman" w:cs="Times New Roman"/>
          <w:sz w:val="24"/>
          <w:szCs w:val="24"/>
        </w:rPr>
        <w:t>start</w:t>
      </w:r>
      <w:r w:rsidR="00D03E11">
        <w:rPr>
          <w:rFonts w:ascii="Times New Roman" w:hAnsi="Times New Roman" w:cs="Times New Roman"/>
          <w:sz w:val="24"/>
          <w:szCs w:val="24"/>
        </w:rPr>
        <w:t>ing</w:t>
      </w:r>
      <w:r w:rsidR="00A8656D" w:rsidRPr="00C537E0">
        <w:rPr>
          <w:rFonts w:ascii="Times New Roman" w:hAnsi="Times New Roman" w:cs="Times New Roman"/>
          <w:sz w:val="24"/>
          <w:szCs w:val="24"/>
        </w:rPr>
        <w:t xml:space="preserve"> own business</w:t>
      </w:r>
      <w:r w:rsidR="00A8656D">
        <w:rPr>
          <w:rFonts w:ascii="Times New Roman" w:hAnsi="Times New Roman" w:cs="Times New Roman"/>
          <w:sz w:val="24"/>
          <w:szCs w:val="24"/>
        </w:rPr>
        <w:t xml:space="preserve"> (mean 3,00) than students active in communities of practice. On the other hand, no difference was observed between members of two types of communities of practice regarding this matter. Interestingly, members of students’ associations </w:t>
      </w:r>
      <w:r w:rsidR="007226AC">
        <w:rPr>
          <w:rFonts w:ascii="Times New Roman" w:hAnsi="Times New Roman" w:cs="Times New Roman"/>
          <w:sz w:val="24"/>
          <w:szCs w:val="24"/>
        </w:rPr>
        <w:t xml:space="preserve">on average, </w:t>
      </w:r>
      <w:r w:rsidR="00A8656D">
        <w:rPr>
          <w:rFonts w:ascii="Times New Roman" w:hAnsi="Times New Roman" w:cs="Times New Roman"/>
          <w:sz w:val="24"/>
          <w:szCs w:val="24"/>
        </w:rPr>
        <w:t xml:space="preserve">show </w:t>
      </w:r>
      <w:r w:rsidR="007226AC">
        <w:rPr>
          <w:rFonts w:ascii="Times New Roman" w:hAnsi="Times New Roman" w:cs="Times New Roman"/>
          <w:sz w:val="24"/>
          <w:szCs w:val="24"/>
        </w:rPr>
        <w:t xml:space="preserve">the </w:t>
      </w:r>
      <w:r w:rsidR="00A13342">
        <w:rPr>
          <w:rFonts w:ascii="Times New Roman" w:hAnsi="Times New Roman" w:cs="Times New Roman"/>
          <w:sz w:val="24"/>
          <w:szCs w:val="24"/>
        </w:rPr>
        <w:t xml:space="preserve">strongest propensity </w:t>
      </w:r>
      <w:r w:rsidR="007226AC">
        <w:rPr>
          <w:rFonts w:ascii="Times New Roman" w:hAnsi="Times New Roman" w:cs="Times New Roman"/>
          <w:sz w:val="24"/>
          <w:szCs w:val="24"/>
        </w:rPr>
        <w:t>f</w:t>
      </w:r>
      <w:r w:rsidR="00A13342">
        <w:rPr>
          <w:rFonts w:ascii="Times New Roman" w:hAnsi="Times New Roman" w:cs="Times New Roman"/>
          <w:sz w:val="24"/>
          <w:szCs w:val="24"/>
        </w:rPr>
        <w:t xml:space="preserve">or </w:t>
      </w:r>
      <w:r w:rsidR="007226AC" w:rsidRPr="00C537E0">
        <w:rPr>
          <w:rFonts w:ascii="Times New Roman" w:hAnsi="Times New Roman" w:cs="Times New Roman"/>
          <w:sz w:val="24"/>
          <w:szCs w:val="24"/>
        </w:rPr>
        <w:t>entrepreneurial behavior</w:t>
      </w:r>
      <w:r w:rsidR="00A13342">
        <w:rPr>
          <w:rFonts w:ascii="Times New Roman" w:hAnsi="Times New Roman" w:cs="Times New Roman"/>
          <w:sz w:val="24"/>
          <w:szCs w:val="24"/>
        </w:rPr>
        <w:t xml:space="preserve">. They also assess </w:t>
      </w:r>
      <w:r w:rsidR="007226AC">
        <w:rPr>
          <w:rFonts w:ascii="Times New Roman" w:hAnsi="Times New Roman" w:cs="Times New Roman"/>
          <w:sz w:val="24"/>
          <w:szCs w:val="24"/>
        </w:rPr>
        <w:t xml:space="preserve">the </w:t>
      </w:r>
      <w:r w:rsidR="00D03E11">
        <w:rPr>
          <w:rFonts w:ascii="Times New Roman" w:hAnsi="Times New Roman" w:cs="Times New Roman"/>
          <w:sz w:val="24"/>
          <w:szCs w:val="24"/>
        </w:rPr>
        <w:t xml:space="preserve">probability of </w:t>
      </w:r>
      <w:r w:rsidR="007226AC" w:rsidRPr="00C537E0">
        <w:rPr>
          <w:rFonts w:ascii="Times New Roman" w:hAnsi="Times New Roman" w:cs="Times New Roman"/>
          <w:sz w:val="24"/>
          <w:szCs w:val="24"/>
        </w:rPr>
        <w:t>start</w:t>
      </w:r>
      <w:r w:rsidR="00D03E11">
        <w:rPr>
          <w:rFonts w:ascii="Times New Roman" w:hAnsi="Times New Roman" w:cs="Times New Roman"/>
          <w:sz w:val="24"/>
          <w:szCs w:val="24"/>
        </w:rPr>
        <w:t>ing</w:t>
      </w:r>
      <w:r w:rsidR="007226AC" w:rsidRPr="00C537E0">
        <w:rPr>
          <w:rFonts w:ascii="Times New Roman" w:hAnsi="Times New Roman" w:cs="Times New Roman"/>
          <w:sz w:val="24"/>
          <w:szCs w:val="24"/>
        </w:rPr>
        <w:t xml:space="preserve"> own business</w:t>
      </w:r>
      <w:r w:rsidR="007226AC">
        <w:rPr>
          <w:rFonts w:ascii="Times New Roman" w:hAnsi="Times New Roman" w:cs="Times New Roman"/>
          <w:sz w:val="24"/>
          <w:szCs w:val="24"/>
        </w:rPr>
        <w:t xml:space="preserve"> </w:t>
      </w:r>
      <w:r w:rsidR="00A13342">
        <w:rPr>
          <w:rFonts w:ascii="Times New Roman" w:hAnsi="Times New Roman" w:cs="Times New Roman"/>
          <w:sz w:val="24"/>
          <w:szCs w:val="24"/>
        </w:rPr>
        <w:t xml:space="preserve">as the highest </w:t>
      </w:r>
      <w:r w:rsidR="007226AC">
        <w:rPr>
          <w:rFonts w:ascii="Times New Roman" w:hAnsi="Times New Roman" w:cs="Times New Roman"/>
          <w:sz w:val="24"/>
          <w:szCs w:val="24"/>
        </w:rPr>
        <w:t xml:space="preserve">(Graph 1). </w:t>
      </w:r>
    </w:p>
    <w:p w:rsidR="00583693" w:rsidRPr="00C537E0" w:rsidRDefault="007226AC" w:rsidP="00D03E1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Graph 1</w:t>
      </w:r>
      <w:r w:rsidR="00D03E11">
        <w:rPr>
          <w:rFonts w:ascii="Times New Roman" w:hAnsi="Times New Roman" w:cs="Times New Roman"/>
          <w:u w:val="single"/>
        </w:rPr>
        <w:t xml:space="preserve">: </w:t>
      </w:r>
      <w:r w:rsidR="00D03E11" w:rsidRPr="00D03E11">
        <w:rPr>
          <w:rFonts w:ascii="Times New Roman" w:hAnsi="Times New Roman" w:cs="Times New Roman"/>
          <w:u w:val="single"/>
        </w:rPr>
        <w:t>Means for vari</w:t>
      </w:r>
      <w:r w:rsidR="00583693" w:rsidRPr="00D03E11">
        <w:rPr>
          <w:rFonts w:ascii="Times New Roman" w:hAnsi="Times New Roman" w:cs="Times New Roman"/>
          <w:u w:val="single"/>
        </w:rPr>
        <w:t>able</w:t>
      </w:r>
      <w:r w:rsidR="00D03E11" w:rsidRPr="00D03E11">
        <w:rPr>
          <w:rFonts w:ascii="Times New Roman" w:hAnsi="Times New Roman" w:cs="Times New Roman"/>
          <w:u w:val="single"/>
        </w:rPr>
        <w:t>s</w:t>
      </w:r>
      <w:r w:rsidR="00A13342">
        <w:rPr>
          <w:rFonts w:ascii="Times New Roman" w:hAnsi="Times New Roman" w:cs="Times New Roman"/>
          <w:u w:val="single"/>
        </w:rPr>
        <w:t>:</w:t>
      </w:r>
      <w:r w:rsidR="00D03E11" w:rsidRPr="00D03E11">
        <w:rPr>
          <w:rFonts w:ascii="Times New Roman" w:hAnsi="Times New Roman" w:cs="Times New Roman"/>
          <w:u w:val="single"/>
        </w:rPr>
        <w:t xml:space="preserve"> Propensity for entrepreneurial behavior and Probability of starting own business</w:t>
      </w:r>
      <w:r w:rsidR="00D03E11" w:rsidRPr="00D03E11">
        <w:rPr>
          <w:rFonts w:ascii="Times New Roman" w:eastAsia="MS Mincho" w:hAnsi="Times New Roman" w:cs="Times New Roman"/>
          <w:color w:val="000000"/>
          <w:u w:val="single"/>
        </w:rPr>
        <w:t xml:space="preserve"> </w:t>
      </w:r>
      <w:r w:rsidR="00DA022B" w:rsidRPr="00D03E11">
        <w:rPr>
          <w:rFonts w:ascii="Times New Roman" w:eastAsia="MS Mincho" w:hAnsi="Times New Roman" w:cs="Times New Roman"/>
          <w:color w:val="000000"/>
          <w:u w:val="single"/>
        </w:rPr>
        <w:t>with subsamples</w:t>
      </w:r>
    </w:p>
    <w:p w:rsidR="00583693" w:rsidRPr="00C537E0" w:rsidRDefault="005D21E6" w:rsidP="00EE3C99">
      <w:pPr>
        <w:spacing w:line="240" w:lineRule="auto"/>
        <w:jc w:val="center"/>
        <w:rPr>
          <w:rFonts w:ascii="Times New Roman" w:hAnsi="Times New Roman" w:cs="Times New Roman"/>
          <w:b/>
          <w:sz w:val="24"/>
          <w:szCs w:val="24"/>
        </w:rPr>
      </w:pPr>
      <w:r w:rsidRPr="005D21E6">
        <w:rPr>
          <w:rFonts w:ascii="Times New Roman" w:hAnsi="Times New Roman" w:cs="Times New Roman"/>
          <w:noProof/>
          <w:sz w:val="24"/>
          <w:szCs w:val="24"/>
          <w:lang w:val="hr-HR" w:eastAsia="hr-HR"/>
        </w:rPr>
        <w:pict>
          <v:shapetype id="_x0000_t202" coordsize="21600,21600" o:spt="202" path="m,l,21600r21600,l21600,xe">
            <v:stroke joinstyle="miter"/>
            <v:path gradientshapeok="t" o:connecttype="rect"/>
          </v:shapetype>
          <v:shape id="_x0000_s1036" type="#_x0000_t202" style="position:absolute;left:0;text-align:left;margin-left:260.3pt;margin-top:130.95pt;width:145.6pt;height:52.35pt;z-index:251665408" filled="f" fillcolor="white [3212]" stroked="f">
            <v:textbox style="mso-next-textbox:#_x0000_s1036">
              <w:txbxContent>
                <w:p w:rsidR="00474A65" w:rsidRDefault="00474A65" w:rsidP="00DA022B">
                  <w:pPr>
                    <w:rPr>
                      <w:sz w:val="16"/>
                      <w:szCs w:val="16"/>
                      <w:lang w:val="hr-HR"/>
                    </w:rPr>
                  </w:pPr>
                  <w:r>
                    <w:rPr>
                      <w:sz w:val="16"/>
                      <w:szCs w:val="16"/>
                      <w:lang w:val="hr-HR"/>
                    </w:rPr>
                    <w:t>Probability</w:t>
                  </w:r>
                </w:p>
                <w:p w:rsidR="00917C0E" w:rsidRDefault="00EE6766" w:rsidP="00DA022B">
                  <w:pPr>
                    <w:rPr>
                      <w:sz w:val="16"/>
                      <w:szCs w:val="16"/>
                      <w:lang w:val="hr-HR"/>
                    </w:rPr>
                  </w:pPr>
                  <w:r>
                    <w:rPr>
                      <w:rFonts w:ascii="Times New Roman" w:hAnsi="Times New Roman" w:cs="Times New Roman"/>
                      <w:sz w:val="20"/>
                      <w:szCs w:val="20"/>
                    </w:rPr>
                    <w:t>(</w:t>
                  </w:r>
                  <w:r w:rsidR="00917C0E">
                    <w:rPr>
                      <w:rFonts w:ascii="Times New Roman" w:hAnsi="Times New Roman" w:cs="Times New Roman"/>
                      <w:sz w:val="20"/>
                      <w:szCs w:val="20"/>
                    </w:rPr>
                    <w:t>Source: Sedlan-Kőnig, 2012</w:t>
                  </w:r>
                  <w:r>
                    <w:rPr>
                      <w:rFonts w:ascii="Times New Roman" w:hAnsi="Times New Roman" w:cs="Times New Roman"/>
                      <w:sz w:val="20"/>
                      <w:szCs w:val="20"/>
                    </w:rPr>
                    <w:t>)</w:t>
                  </w:r>
                </w:p>
                <w:p w:rsidR="00917C0E" w:rsidRDefault="00917C0E" w:rsidP="00DA022B">
                  <w:pPr>
                    <w:rPr>
                      <w:sz w:val="16"/>
                      <w:szCs w:val="16"/>
                      <w:lang w:val="hr-HR"/>
                    </w:rPr>
                  </w:pPr>
                </w:p>
                <w:p w:rsidR="00917C0E" w:rsidRPr="005A0EC4" w:rsidRDefault="00917C0E" w:rsidP="00DA022B">
                  <w:pPr>
                    <w:rPr>
                      <w:sz w:val="16"/>
                      <w:szCs w:val="16"/>
                      <w:lang w:val="hr-HR"/>
                    </w:rPr>
                  </w:pPr>
                </w:p>
              </w:txbxContent>
            </v:textbox>
          </v:shape>
        </w:pict>
      </w:r>
      <w:r w:rsidRPr="005D21E6">
        <w:rPr>
          <w:rFonts w:ascii="Times New Roman" w:hAnsi="Times New Roman" w:cs="Times New Roman"/>
          <w:noProof/>
          <w:u w:val="single"/>
          <w:lang w:val="hr-HR" w:eastAsia="hr-HR"/>
        </w:rPr>
        <w:pict>
          <v:shape id="_x0000_s1032" type="#_x0000_t202" style="position:absolute;left:0;text-align:left;margin-left:282.9pt;margin-top:1.2pt;width:52.5pt;height:27pt;z-index:251663360" filled="f" fillcolor="white [3212]" stroked="f">
            <v:textbox style="mso-next-textbox:#_x0000_s1032">
              <w:txbxContent>
                <w:p w:rsidR="00474A65" w:rsidRPr="005A0EC4" w:rsidRDefault="00474A65" w:rsidP="005A0EC4">
                  <w:pPr>
                    <w:rPr>
                      <w:sz w:val="16"/>
                      <w:szCs w:val="16"/>
                      <w:lang w:val="hr-HR"/>
                    </w:rPr>
                  </w:pPr>
                  <w:r>
                    <w:rPr>
                      <w:sz w:val="16"/>
                      <w:szCs w:val="16"/>
                      <w:lang w:val="hr-HR"/>
                    </w:rPr>
                    <w:t>Control</w:t>
                  </w:r>
                </w:p>
              </w:txbxContent>
            </v:textbox>
          </v:shape>
        </w:pict>
      </w:r>
      <w:r w:rsidRPr="005D21E6">
        <w:rPr>
          <w:rFonts w:ascii="Times New Roman" w:hAnsi="Times New Roman" w:cs="Times New Roman"/>
          <w:noProof/>
          <w:u w:val="single"/>
          <w:lang w:val="hr-HR" w:eastAsia="hr-HR"/>
        </w:rPr>
        <w:pict>
          <v:shape id="_x0000_s1031" type="#_x0000_t202" style="position:absolute;left:0;text-align:left;margin-left:175.65pt;margin-top:1.2pt;width:88.5pt;height:27pt;z-index:251662336" filled="f" fillcolor="white [3212]" stroked="f">
            <v:textbox style="mso-next-textbox:#_x0000_s1031">
              <w:txbxContent>
                <w:p w:rsidR="00474A65" w:rsidRPr="005A0EC4" w:rsidRDefault="00474A65" w:rsidP="005A0EC4">
                  <w:pPr>
                    <w:rPr>
                      <w:sz w:val="16"/>
                      <w:szCs w:val="16"/>
                      <w:lang w:val="hr-HR"/>
                    </w:rPr>
                  </w:pPr>
                  <w:r>
                    <w:rPr>
                      <w:sz w:val="16"/>
                      <w:szCs w:val="16"/>
                      <w:lang w:val="hr-HR"/>
                    </w:rPr>
                    <w:t>Memb. of st. assoc.</w:t>
                  </w:r>
                </w:p>
              </w:txbxContent>
            </v:textbox>
          </v:shape>
        </w:pict>
      </w:r>
      <w:r w:rsidRPr="005D21E6">
        <w:rPr>
          <w:rFonts w:ascii="Times New Roman" w:hAnsi="Times New Roman" w:cs="Times New Roman"/>
          <w:noProof/>
          <w:u w:val="single"/>
          <w:lang w:val="hr-HR" w:eastAsia="hr-HR"/>
        </w:rPr>
        <w:pict>
          <v:shape id="_x0000_s1030" type="#_x0000_t202" style="position:absolute;left:0;text-align:left;margin-left:99.15pt;margin-top:1.2pt;width:51pt;height:27pt;z-index:251661312" filled="f" fillcolor="white [3212]" stroked="f">
            <v:textbox style="mso-next-textbox:#_x0000_s1030">
              <w:txbxContent>
                <w:p w:rsidR="00474A65" w:rsidRPr="005A0EC4" w:rsidRDefault="00474A65">
                  <w:pPr>
                    <w:rPr>
                      <w:sz w:val="16"/>
                      <w:szCs w:val="16"/>
                      <w:lang w:val="hr-HR"/>
                    </w:rPr>
                  </w:pPr>
                  <w:r w:rsidRPr="005A0EC4">
                    <w:rPr>
                      <w:sz w:val="16"/>
                      <w:szCs w:val="16"/>
                      <w:lang w:val="hr-HR"/>
                    </w:rPr>
                    <w:t>Sportsman</w:t>
                  </w:r>
                </w:p>
              </w:txbxContent>
            </v:textbox>
          </v:shape>
        </w:pict>
      </w:r>
      <w:r w:rsidRPr="005D21E6">
        <w:rPr>
          <w:rFonts w:ascii="Times New Roman" w:hAnsi="Times New Roman" w:cs="Times New Roman"/>
          <w:noProof/>
          <w:sz w:val="24"/>
          <w:szCs w:val="24"/>
          <w:lang w:val="hr-HR" w:eastAsia="hr-HR"/>
        </w:rPr>
        <w:pict>
          <v:shape id="_x0000_s1035" type="#_x0000_t202" style="position:absolute;left:0;text-align:left;margin-left:127.65pt;margin-top:130.95pt;width:52.5pt;height:27pt;z-index:251664384" filled="f" fillcolor="white [3212]" stroked="f">
            <v:textbox style="mso-next-textbox:#_x0000_s1035">
              <w:txbxContent>
                <w:p w:rsidR="00474A65" w:rsidRPr="005A0EC4" w:rsidRDefault="00474A65" w:rsidP="00DA022B">
                  <w:pPr>
                    <w:rPr>
                      <w:sz w:val="16"/>
                      <w:szCs w:val="16"/>
                      <w:lang w:val="hr-HR"/>
                    </w:rPr>
                  </w:pPr>
                  <w:r>
                    <w:rPr>
                      <w:sz w:val="16"/>
                      <w:szCs w:val="16"/>
                      <w:lang w:val="hr-HR"/>
                    </w:rPr>
                    <w:t>Propensity</w:t>
                  </w:r>
                </w:p>
              </w:txbxContent>
            </v:textbox>
          </v:shape>
        </w:pict>
      </w:r>
      <w:r w:rsidRPr="005D21E6">
        <w:rPr>
          <w:rFonts w:ascii="Times New Roman" w:hAnsi="Times New Roman" w:cs="Times New Roman"/>
          <w:noProof/>
          <w:u w:val="single"/>
          <w:lang w:val="hr-HR" w:eastAsia="hr-HR"/>
        </w:rPr>
        <w:pict>
          <v:rect id="_x0000_s1028" style="position:absolute;left:0;text-align:left;margin-left:282.9pt;margin-top:1.2pt;width:69pt;height:12pt;z-index:251660288" stroked="f"/>
        </w:pict>
      </w:r>
      <w:r w:rsidRPr="005D21E6">
        <w:rPr>
          <w:rFonts w:ascii="Times New Roman" w:hAnsi="Times New Roman" w:cs="Times New Roman"/>
          <w:noProof/>
          <w:lang w:val="hr-HR" w:eastAsia="hr-HR"/>
        </w:rPr>
        <w:pict>
          <v:rect id="_x0000_s1026" style="position:absolute;left:0;text-align:left;margin-left:183.9pt;margin-top:1.2pt;width:57pt;height:12pt;z-index:251658240" stroked="f"/>
        </w:pict>
      </w:r>
      <w:r w:rsidRPr="005D21E6">
        <w:rPr>
          <w:rFonts w:ascii="Times New Roman" w:hAnsi="Times New Roman" w:cs="Times New Roman"/>
          <w:noProof/>
          <w:lang w:val="hr-HR" w:eastAsia="hr-HR"/>
        </w:rPr>
        <w:pict>
          <v:rect id="_x0000_s1027" style="position:absolute;left:0;text-align:left;margin-left:97.65pt;margin-top:1.2pt;width:52.5pt;height:12pt;z-index:251659264" stroked="f">
            <v:textbox>
              <w:txbxContent>
                <w:p w:rsidR="00474A65" w:rsidRDefault="00474A65"/>
              </w:txbxContent>
            </v:textbox>
          </v:rect>
        </w:pict>
      </w:r>
      <w:r w:rsidR="00583693" w:rsidRPr="00C537E0">
        <w:rPr>
          <w:rFonts w:ascii="Times New Roman" w:hAnsi="Times New Roman" w:cs="Times New Roman"/>
          <w:noProof/>
          <w:lang w:val="hr-HR" w:eastAsia="hr-HR"/>
        </w:rPr>
        <w:drawing>
          <wp:inline distT="0" distB="0" distL="0" distR="0">
            <wp:extent cx="4207894" cy="1975449"/>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3C99" w:rsidRDefault="00EE3C99" w:rsidP="00EE3C9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results suggest that a considerable pattern exists </w:t>
      </w:r>
      <w:r w:rsidR="003B1063">
        <w:rPr>
          <w:rFonts w:ascii="Times New Roman" w:hAnsi="Times New Roman" w:cs="Times New Roman"/>
          <w:sz w:val="24"/>
          <w:szCs w:val="24"/>
        </w:rPr>
        <w:t xml:space="preserve">in the means </w:t>
      </w:r>
      <w:r>
        <w:rPr>
          <w:rFonts w:ascii="Times New Roman" w:hAnsi="Times New Roman" w:cs="Times New Roman"/>
          <w:sz w:val="24"/>
          <w:szCs w:val="24"/>
        </w:rPr>
        <w:t>for the observed vari</w:t>
      </w:r>
      <w:r w:rsidR="003B1063">
        <w:rPr>
          <w:rFonts w:ascii="Times New Roman" w:hAnsi="Times New Roman" w:cs="Times New Roman"/>
          <w:sz w:val="24"/>
          <w:szCs w:val="24"/>
        </w:rPr>
        <w:t xml:space="preserve">ables. However, </w:t>
      </w:r>
      <w:r>
        <w:rPr>
          <w:rFonts w:ascii="Times New Roman" w:hAnsi="Times New Roman" w:cs="Times New Roman"/>
          <w:sz w:val="24"/>
          <w:szCs w:val="24"/>
        </w:rPr>
        <w:t>a difference between two examples of communities of practice regarding their influence on the development of entrep</w:t>
      </w:r>
      <w:r w:rsidR="003B1063">
        <w:rPr>
          <w:rFonts w:ascii="Times New Roman" w:hAnsi="Times New Roman" w:cs="Times New Roman"/>
          <w:sz w:val="24"/>
          <w:szCs w:val="24"/>
        </w:rPr>
        <w:t>reneurial behavior can be observ</w:t>
      </w:r>
      <w:r>
        <w:rPr>
          <w:rFonts w:ascii="Times New Roman" w:hAnsi="Times New Roman" w:cs="Times New Roman"/>
          <w:sz w:val="24"/>
          <w:szCs w:val="24"/>
        </w:rPr>
        <w:t xml:space="preserve">ed. </w:t>
      </w:r>
    </w:p>
    <w:p w:rsidR="007226AC" w:rsidRPr="001129C9" w:rsidRDefault="001129C9" w:rsidP="001129C9">
      <w:pPr>
        <w:spacing w:line="240" w:lineRule="auto"/>
        <w:jc w:val="both"/>
        <w:rPr>
          <w:rFonts w:ascii="Times New Roman" w:hAnsi="Times New Roman" w:cs="Times New Roman"/>
        </w:rPr>
      </w:pPr>
      <w:r w:rsidRPr="00C85680">
        <w:rPr>
          <w:rFonts w:ascii="Times New Roman" w:hAnsi="Times New Roman" w:cs="Times New Roman"/>
          <w:sz w:val="24"/>
          <w:szCs w:val="24"/>
        </w:rPr>
        <w:t>Hypothesis</w:t>
      </w:r>
      <w:r w:rsidR="00C85680" w:rsidRPr="00C85680">
        <w:rPr>
          <w:rFonts w:ascii="Times New Roman" w:hAnsi="Times New Roman" w:cs="Times New Roman"/>
        </w:rPr>
        <w:t xml:space="preserve"> </w:t>
      </w:r>
      <w:r w:rsidRPr="00C85680">
        <w:rPr>
          <w:rFonts w:ascii="Times New Roman" w:hAnsi="Times New Roman" w:cs="Times New Roman"/>
        </w:rPr>
        <w:t>3</w:t>
      </w:r>
      <w:r w:rsidRPr="001129C9">
        <w:rPr>
          <w:rFonts w:ascii="Times New Roman" w:hAnsi="Times New Roman" w:cs="Times New Roman"/>
        </w:rPr>
        <w:t xml:space="preserve">: </w:t>
      </w:r>
      <w:r w:rsidR="00A51D13">
        <w:rPr>
          <w:rFonts w:ascii="Times New Roman" w:hAnsi="Times New Roman" w:cs="Times New Roman"/>
          <w:sz w:val="24"/>
          <w:szCs w:val="24"/>
        </w:rPr>
        <w:t>University teaching</w:t>
      </w:r>
      <w:r w:rsidRPr="00C537E0">
        <w:rPr>
          <w:rFonts w:ascii="Times New Roman" w:hAnsi="Times New Roman" w:cs="Times New Roman"/>
          <w:sz w:val="24"/>
          <w:szCs w:val="24"/>
        </w:rPr>
        <w:t xml:space="preserve"> do</w:t>
      </w:r>
      <w:r w:rsidR="00A51D13">
        <w:rPr>
          <w:rFonts w:ascii="Times New Roman" w:hAnsi="Times New Roman" w:cs="Times New Roman"/>
          <w:sz w:val="24"/>
          <w:szCs w:val="24"/>
        </w:rPr>
        <w:t>es</w:t>
      </w:r>
      <w:r w:rsidRPr="00C537E0">
        <w:rPr>
          <w:rFonts w:ascii="Times New Roman" w:hAnsi="Times New Roman" w:cs="Times New Roman"/>
          <w:sz w:val="24"/>
          <w:szCs w:val="24"/>
        </w:rPr>
        <w:t xml:space="preserve"> not contribute significantly to the development of entrepreneurial competences</w:t>
      </w:r>
      <w:r>
        <w:rPr>
          <w:rFonts w:ascii="Times New Roman" w:hAnsi="Times New Roman" w:cs="Times New Roman"/>
          <w:sz w:val="24"/>
          <w:szCs w:val="24"/>
        </w:rPr>
        <w:t xml:space="preserve"> was tested with the correlation analysis for particular segments, as well as </w:t>
      </w:r>
      <w:r w:rsidR="00C85680">
        <w:rPr>
          <w:rFonts w:ascii="Times New Roman" w:hAnsi="Times New Roman" w:cs="Times New Roman"/>
          <w:sz w:val="24"/>
          <w:szCs w:val="24"/>
        </w:rPr>
        <w:t xml:space="preserve">general </w:t>
      </w:r>
      <w:r w:rsidR="00A51D13">
        <w:rPr>
          <w:rFonts w:ascii="Times New Roman" w:hAnsi="Times New Roman" w:cs="Times New Roman"/>
          <w:sz w:val="24"/>
          <w:szCs w:val="24"/>
        </w:rPr>
        <w:t>self-</w:t>
      </w:r>
      <w:r w:rsidR="00C85680">
        <w:rPr>
          <w:rFonts w:ascii="Times New Roman" w:hAnsi="Times New Roman" w:cs="Times New Roman"/>
          <w:sz w:val="24"/>
          <w:szCs w:val="24"/>
        </w:rPr>
        <w:t>effica</w:t>
      </w:r>
      <w:r>
        <w:rPr>
          <w:rFonts w:ascii="Times New Roman" w:hAnsi="Times New Roman" w:cs="Times New Roman"/>
          <w:sz w:val="24"/>
          <w:szCs w:val="24"/>
        </w:rPr>
        <w:t xml:space="preserve">cy. </w:t>
      </w:r>
      <w:r w:rsidRPr="001129C9">
        <w:rPr>
          <w:rFonts w:ascii="Times New Roman" w:hAnsi="Times New Roman" w:cs="Times New Roman"/>
          <w:sz w:val="24"/>
          <w:szCs w:val="24"/>
        </w:rPr>
        <w:t>As can be seen</w:t>
      </w:r>
      <w:r>
        <w:rPr>
          <w:rFonts w:ascii="Times New Roman" w:hAnsi="Times New Roman" w:cs="Times New Roman"/>
          <w:sz w:val="24"/>
          <w:szCs w:val="24"/>
        </w:rPr>
        <w:t xml:space="preserve"> in </w:t>
      </w:r>
      <w:r w:rsidR="00A20DA2">
        <w:rPr>
          <w:rFonts w:ascii="Times New Roman" w:hAnsi="Times New Roman" w:cs="Times New Roman"/>
          <w:sz w:val="24"/>
          <w:szCs w:val="24"/>
        </w:rPr>
        <w:t>Table 3</w:t>
      </w:r>
      <w:r>
        <w:rPr>
          <w:rFonts w:ascii="Times New Roman" w:hAnsi="Times New Roman" w:cs="Times New Roman"/>
          <w:sz w:val="24"/>
          <w:szCs w:val="24"/>
        </w:rPr>
        <w:t xml:space="preserve">, the lowest correlation exists for the impact of university </w:t>
      </w:r>
      <w:r w:rsidR="00A51D13">
        <w:rPr>
          <w:rFonts w:ascii="Times New Roman" w:hAnsi="Times New Roman" w:cs="Times New Roman"/>
          <w:sz w:val="24"/>
          <w:szCs w:val="24"/>
        </w:rPr>
        <w:t xml:space="preserve">teaching on efficacy </w:t>
      </w:r>
      <w:r>
        <w:rPr>
          <w:rFonts w:ascii="Times New Roman" w:hAnsi="Times New Roman" w:cs="Times New Roman"/>
          <w:sz w:val="24"/>
          <w:szCs w:val="24"/>
        </w:rPr>
        <w:t>in persuasion and negotiati</w:t>
      </w:r>
      <w:r w:rsidR="00A51D13">
        <w:rPr>
          <w:rFonts w:ascii="Times New Roman" w:hAnsi="Times New Roman" w:cs="Times New Roman"/>
          <w:sz w:val="24"/>
          <w:szCs w:val="24"/>
        </w:rPr>
        <w:t>on, and the highest for effica</w:t>
      </w:r>
      <w:r>
        <w:rPr>
          <w:rFonts w:ascii="Times New Roman" w:hAnsi="Times New Roman" w:cs="Times New Roman"/>
          <w:sz w:val="24"/>
          <w:szCs w:val="24"/>
        </w:rPr>
        <w:t xml:space="preserve">cy in sales and marketing. In general, the estimation of the </w:t>
      </w:r>
      <w:r w:rsidR="00A20DA2">
        <w:rPr>
          <w:rFonts w:ascii="Times New Roman" w:hAnsi="Times New Roman" w:cs="Times New Roman"/>
          <w:sz w:val="24"/>
          <w:szCs w:val="24"/>
        </w:rPr>
        <w:t>im</w:t>
      </w:r>
      <w:r>
        <w:rPr>
          <w:rFonts w:ascii="Times New Roman" w:hAnsi="Times New Roman" w:cs="Times New Roman"/>
          <w:sz w:val="24"/>
          <w:szCs w:val="24"/>
        </w:rPr>
        <w:t>p</w:t>
      </w:r>
      <w:r w:rsidR="00A20DA2">
        <w:rPr>
          <w:rFonts w:ascii="Times New Roman" w:hAnsi="Times New Roman" w:cs="Times New Roman"/>
          <w:sz w:val="24"/>
          <w:szCs w:val="24"/>
        </w:rPr>
        <w:t>a</w:t>
      </w:r>
      <w:r>
        <w:rPr>
          <w:rFonts w:ascii="Times New Roman" w:hAnsi="Times New Roman" w:cs="Times New Roman"/>
          <w:sz w:val="24"/>
          <w:szCs w:val="24"/>
        </w:rPr>
        <w:t xml:space="preserve">ct of university </w:t>
      </w:r>
      <w:r w:rsidR="00A51D13">
        <w:rPr>
          <w:rFonts w:ascii="Times New Roman" w:hAnsi="Times New Roman" w:cs="Times New Roman"/>
          <w:sz w:val="24"/>
          <w:szCs w:val="24"/>
        </w:rPr>
        <w:t>teaching on effica</w:t>
      </w:r>
      <w:r>
        <w:rPr>
          <w:rFonts w:ascii="Times New Roman" w:hAnsi="Times New Roman" w:cs="Times New Roman"/>
          <w:sz w:val="24"/>
          <w:szCs w:val="24"/>
        </w:rPr>
        <w:t>cy is a medium positiv</w:t>
      </w:r>
      <w:r w:rsidR="00A51D13">
        <w:rPr>
          <w:rFonts w:ascii="Times New Roman" w:hAnsi="Times New Roman" w:cs="Times New Roman"/>
          <w:sz w:val="24"/>
          <w:szCs w:val="24"/>
        </w:rPr>
        <w:t>e correlation. This means that H</w:t>
      </w:r>
      <w:r>
        <w:rPr>
          <w:rFonts w:ascii="Times New Roman" w:hAnsi="Times New Roman" w:cs="Times New Roman"/>
          <w:sz w:val="24"/>
          <w:szCs w:val="24"/>
        </w:rPr>
        <w:t xml:space="preserve">ypothesis 3 is confirmed. </w:t>
      </w:r>
    </w:p>
    <w:p w:rsidR="007226AC" w:rsidRPr="007226AC" w:rsidRDefault="002C5B53" w:rsidP="007226AC">
      <w:pPr>
        <w:rPr>
          <w:rFonts w:ascii="Times New Roman" w:hAnsi="Times New Roman" w:cs="Times New Roman"/>
          <w:u w:val="single"/>
        </w:rPr>
      </w:pPr>
      <w:r>
        <w:rPr>
          <w:rFonts w:ascii="Times New Roman" w:hAnsi="Times New Roman" w:cs="Times New Roman"/>
          <w:u w:val="single"/>
        </w:rPr>
        <w:t>Table</w:t>
      </w:r>
      <w:r w:rsidR="00A20DA2">
        <w:rPr>
          <w:rFonts w:ascii="Times New Roman" w:hAnsi="Times New Roman" w:cs="Times New Roman"/>
          <w:u w:val="single"/>
        </w:rPr>
        <w:t xml:space="preserve"> 3</w:t>
      </w:r>
      <w:r w:rsidR="007226AC" w:rsidRPr="007226AC">
        <w:rPr>
          <w:rFonts w:ascii="Times New Roman" w:hAnsi="Times New Roman" w:cs="Times New Roman"/>
          <w:u w:val="single"/>
        </w:rPr>
        <w:t xml:space="preserve">: </w:t>
      </w:r>
      <w:r w:rsidR="001129C9" w:rsidRPr="001129C9">
        <w:rPr>
          <w:rFonts w:ascii="Times New Roman" w:hAnsi="Times New Roman" w:cs="Times New Roman"/>
          <w:u w:val="single"/>
        </w:rPr>
        <w:t>Pearson’s coefficients  of correlation</w:t>
      </w:r>
      <w:r w:rsidR="00D03E11">
        <w:rPr>
          <w:rFonts w:ascii="Times New Roman" w:hAnsi="Times New Roman" w:cs="Times New Roman"/>
          <w:u w:val="single"/>
        </w:rPr>
        <w:t xml:space="preserve"> between </w:t>
      </w:r>
      <w:r w:rsidR="007226AC" w:rsidRPr="007226AC">
        <w:rPr>
          <w:rFonts w:ascii="Times New Roman" w:hAnsi="Times New Roman" w:cs="Times New Roman"/>
          <w:u w:val="single"/>
        </w:rPr>
        <w:t xml:space="preserve"> </w:t>
      </w:r>
      <w:r w:rsidR="00A51D13">
        <w:rPr>
          <w:rFonts w:ascii="Times New Roman" w:hAnsi="Times New Roman" w:cs="Times New Roman"/>
          <w:u w:val="single"/>
        </w:rPr>
        <w:t xml:space="preserve">different </w:t>
      </w:r>
      <w:r w:rsidR="007226AC" w:rsidRPr="007226AC">
        <w:rPr>
          <w:rFonts w:ascii="Times New Roman" w:hAnsi="Times New Roman" w:cs="Times New Roman"/>
          <w:u w:val="single"/>
        </w:rPr>
        <w:t>aspe</w:t>
      </w:r>
      <w:r w:rsidR="00D03E11">
        <w:rPr>
          <w:rFonts w:ascii="Times New Roman" w:hAnsi="Times New Roman" w:cs="Times New Roman"/>
          <w:u w:val="single"/>
        </w:rPr>
        <w:t xml:space="preserve">cts of </w:t>
      </w:r>
      <w:r w:rsidR="00A51D13">
        <w:rPr>
          <w:rFonts w:ascii="Times New Roman" w:hAnsi="Times New Roman" w:cs="Times New Roman"/>
          <w:u w:val="single"/>
        </w:rPr>
        <w:t>self-</w:t>
      </w:r>
      <w:r w:rsidR="00D03E11">
        <w:rPr>
          <w:rFonts w:ascii="Times New Roman" w:hAnsi="Times New Roman" w:cs="Times New Roman"/>
          <w:u w:val="single"/>
        </w:rPr>
        <w:t>efficacy  and estimation of influence of university</w:t>
      </w:r>
      <w:r w:rsidR="00C85680">
        <w:rPr>
          <w:rFonts w:ascii="Times New Roman" w:hAnsi="Times New Roman" w:cs="Times New Roman"/>
          <w:u w:val="single"/>
        </w:rPr>
        <w:t xml:space="preserve"> teaching </w:t>
      </w:r>
      <w:r w:rsidR="007226AC" w:rsidRPr="007226AC">
        <w:rPr>
          <w:rFonts w:ascii="Times New Roman" w:hAnsi="Times New Roman" w:cs="Times New Roman"/>
          <w:u w:val="single"/>
        </w:rPr>
        <w:t xml:space="preserv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1559"/>
      </w:tblGrid>
      <w:tr w:rsidR="007226AC" w:rsidRPr="001129C9" w:rsidTr="00474A65">
        <w:trPr>
          <w:trHeight w:val="312"/>
          <w:jc w:val="center"/>
        </w:trPr>
        <w:tc>
          <w:tcPr>
            <w:tcW w:w="6379" w:type="dxa"/>
            <w:shd w:val="clear" w:color="auto" w:fill="BFBFBF"/>
          </w:tcPr>
          <w:p w:rsidR="007226AC" w:rsidRPr="001129C9" w:rsidRDefault="00D03E11" w:rsidP="00D03E11">
            <w:pPr>
              <w:spacing w:after="0"/>
              <w:rPr>
                <w:rFonts w:ascii="Times New Roman" w:eastAsia="MS Mincho" w:hAnsi="Times New Roman" w:cs="Times New Roman"/>
                <w:b/>
                <w:sz w:val="16"/>
                <w:szCs w:val="16"/>
              </w:rPr>
            </w:pPr>
            <w:r>
              <w:rPr>
                <w:rFonts w:ascii="Times New Roman" w:eastAsia="MS Mincho" w:hAnsi="Times New Roman" w:cs="Times New Roman"/>
                <w:b/>
                <w:sz w:val="16"/>
                <w:szCs w:val="16"/>
              </w:rPr>
              <w:t>General perception of efficacy</w:t>
            </w:r>
            <w:r w:rsidR="00FD1537">
              <w:rPr>
                <w:rFonts w:ascii="Times New Roman" w:eastAsia="MS Mincho" w:hAnsi="Times New Roman" w:cs="Times New Roman"/>
                <w:b/>
                <w:sz w:val="16"/>
                <w:szCs w:val="16"/>
              </w:rPr>
              <w:t xml:space="preserve"> in</w:t>
            </w:r>
          </w:p>
        </w:tc>
        <w:tc>
          <w:tcPr>
            <w:tcW w:w="1559" w:type="dxa"/>
            <w:shd w:val="clear" w:color="auto" w:fill="BFBFBF"/>
          </w:tcPr>
          <w:p w:rsidR="007226AC" w:rsidRPr="001129C9" w:rsidRDefault="007226AC" w:rsidP="001129C9">
            <w:pPr>
              <w:spacing w:after="0"/>
              <w:rPr>
                <w:rFonts w:ascii="Times New Roman" w:eastAsia="MS Mincho" w:hAnsi="Times New Roman" w:cs="Times New Roman"/>
                <w:b/>
                <w:sz w:val="16"/>
                <w:szCs w:val="16"/>
              </w:rPr>
            </w:pPr>
            <w:r w:rsidRPr="001129C9">
              <w:rPr>
                <w:rFonts w:ascii="Times New Roman" w:eastAsia="MS Mincho" w:hAnsi="Times New Roman" w:cs="Times New Roman"/>
                <w:b/>
                <w:sz w:val="16"/>
                <w:szCs w:val="16"/>
              </w:rPr>
              <w:t>,35</w:t>
            </w:r>
          </w:p>
        </w:tc>
      </w:tr>
      <w:tr w:rsidR="007226AC" w:rsidRPr="001129C9" w:rsidTr="00474A65">
        <w:trPr>
          <w:trHeight w:val="329"/>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a) </w:t>
            </w:r>
            <w:r w:rsidR="00FD1537">
              <w:rPr>
                <w:rFonts w:ascii="Times New Roman" w:eastAsia="MS Mincho" w:hAnsi="Times New Roman" w:cs="Times New Roman"/>
                <w:sz w:val="16"/>
                <w:szCs w:val="16"/>
              </w:rPr>
              <w:t>detection of market opportunities</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,31</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b) </w:t>
            </w:r>
            <w:r w:rsidR="00FD1537">
              <w:rPr>
                <w:rFonts w:ascii="Times New Roman" w:eastAsia="MS Mincho" w:hAnsi="Times New Roman" w:cs="Times New Roman"/>
                <w:sz w:val="16"/>
                <w:szCs w:val="16"/>
              </w:rPr>
              <w:t xml:space="preserve">collection of, analysis and understanding of data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,42</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c) </w:t>
            </w:r>
            <w:r w:rsidR="00FD1537">
              <w:rPr>
                <w:rFonts w:ascii="Times New Roman" w:eastAsia="MS Mincho" w:hAnsi="Times New Roman" w:cs="Times New Roman"/>
                <w:sz w:val="16"/>
                <w:szCs w:val="16"/>
              </w:rPr>
              <w:t xml:space="preserve">persuasion and negotiation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,21</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d) </w:t>
            </w:r>
            <w:r w:rsidR="00FD1537">
              <w:rPr>
                <w:rFonts w:ascii="Times New Roman" w:eastAsia="MS Mincho" w:hAnsi="Times New Roman" w:cs="Times New Roman"/>
                <w:sz w:val="16"/>
                <w:szCs w:val="16"/>
              </w:rPr>
              <w:t xml:space="preserve">usage of IT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,34</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e)</w:t>
            </w:r>
            <w:r w:rsidR="00FD1537">
              <w:rPr>
                <w:rFonts w:ascii="Times New Roman" w:eastAsia="MS Mincho" w:hAnsi="Times New Roman" w:cs="Times New Roman"/>
                <w:sz w:val="16"/>
                <w:szCs w:val="16"/>
              </w:rPr>
              <w:t xml:space="preserve">development of interpersonal relations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,25</w:t>
            </w:r>
          </w:p>
        </w:tc>
      </w:tr>
      <w:tr w:rsidR="007226AC" w:rsidRPr="001129C9" w:rsidTr="00474A65">
        <w:trPr>
          <w:trHeight w:val="329"/>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f) </w:t>
            </w:r>
            <w:r w:rsidR="00FD1537">
              <w:rPr>
                <w:rFonts w:ascii="Times New Roman" w:eastAsia="MS Mincho" w:hAnsi="Times New Roman" w:cs="Times New Roman"/>
                <w:sz w:val="16"/>
                <w:szCs w:val="16"/>
              </w:rPr>
              <w:t xml:space="preserve">management of financial resources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,44</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g) </w:t>
            </w:r>
            <w:r w:rsidR="00FD1537">
              <w:rPr>
                <w:rFonts w:ascii="Times New Roman" w:eastAsia="MS Mincho" w:hAnsi="Times New Roman" w:cs="Times New Roman"/>
                <w:sz w:val="16"/>
                <w:szCs w:val="16"/>
              </w:rPr>
              <w:t xml:space="preserve">sales and marketing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,54</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h) </w:t>
            </w:r>
            <w:r w:rsidR="00FD1537">
              <w:rPr>
                <w:rFonts w:ascii="Times New Roman" w:eastAsia="MS Mincho" w:hAnsi="Times New Roman" w:cs="Times New Roman"/>
                <w:sz w:val="16"/>
                <w:szCs w:val="16"/>
              </w:rPr>
              <w:t xml:space="preserve">work under stress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,38</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i) </w:t>
            </w:r>
            <w:r w:rsidR="00FD1537">
              <w:rPr>
                <w:rFonts w:ascii="Times New Roman" w:eastAsia="MS Mincho" w:hAnsi="Times New Roman" w:cs="Times New Roman"/>
                <w:sz w:val="16"/>
                <w:szCs w:val="16"/>
              </w:rPr>
              <w:t xml:space="preserve">dealing with uncertainty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,28</w:t>
            </w:r>
          </w:p>
        </w:tc>
      </w:tr>
      <w:tr w:rsidR="007226AC" w:rsidRPr="001129C9" w:rsidTr="00474A65">
        <w:trPr>
          <w:trHeight w:val="329"/>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j) </w:t>
            </w:r>
            <w:r w:rsidR="00FD1537">
              <w:rPr>
                <w:rFonts w:ascii="Times New Roman" w:eastAsia="MS Mincho" w:hAnsi="Times New Roman" w:cs="Times New Roman"/>
                <w:sz w:val="16"/>
                <w:szCs w:val="16"/>
              </w:rPr>
              <w:t xml:space="preserve">planning </w:t>
            </w:r>
            <w:r w:rsidRPr="001129C9">
              <w:rPr>
                <w:rFonts w:ascii="Times New Roman" w:eastAsia="MS Mincho" w:hAnsi="Times New Roman" w:cs="Times New Roman"/>
                <w:sz w:val="16"/>
                <w:szCs w:val="16"/>
              </w:rPr>
              <w:t xml:space="preserve">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,34</w:t>
            </w:r>
          </w:p>
        </w:tc>
      </w:tr>
      <w:tr w:rsidR="007226AC" w:rsidRPr="001129C9" w:rsidTr="00474A65">
        <w:trPr>
          <w:trHeight w:val="312"/>
          <w:jc w:val="center"/>
        </w:trPr>
        <w:tc>
          <w:tcPr>
            <w:tcW w:w="6379" w:type="dxa"/>
            <w:shd w:val="clear" w:color="auto" w:fill="auto"/>
          </w:tcPr>
          <w:p w:rsidR="007226AC" w:rsidRPr="001129C9" w:rsidRDefault="007226AC" w:rsidP="00FD1537">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 xml:space="preserve">k) </w:t>
            </w:r>
            <w:r w:rsidR="00FD1537">
              <w:rPr>
                <w:rFonts w:ascii="Times New Roman" w:eastAsia="MS Mincho" w:hAnsi="Times New Roman" w:cs="Times New Roman"/>
                <w:sz w:val="16"/>
                <w:szCs w:val="16"/>
              </w:rPr>
              <w:t xml:space="preserve">managing changes in the environment </w:t>
            </w:r>
          </w:p>
        </w:tc>
        <w:tc>
          <w:tcPr>
            <w:tcW w:w="1559" w:type="dxa"/>
            <w:shd w:val="clear" w:color="auto" w:fill="auto"/>
          </w:tcPr>
          <w:p w:rsidR="007226AC" w:rsidRPr="001129C9" w:rsidRDefault="007226AC" w:rsidP="001129C9">
            <w:pPr>
              <w:spacing w:after="0"/>
              <w:rPr>
                <w:rFonts w:ascii="Times New Roman" w:eastAsia="MS Mincho" w:hAnsi="Times New Roman" w:cs="Times New Roman"/>
                <w:sz w:val="16"/>
                <w:szCs w:val="16"/>
              </w:rPr>
            </w:pPr>
            <w:r w:rsidRPr="001129C9">
              <w:rPr>
                <w:rFonts w:ascii="Times New Roman" w:eastAsia="MS Mincho" w:hAnsi="Times New Roman" w:cs="Times New Roman"/>
                <w:sz w:val="16"/>
                <w:szCs w:val="16"/>
              </w:rPr>
              <w:t>,27</w:t>
            </w:r>
          </w:p>
        </w:tc>
      </w:tr>
    </w:tbl>
    <w:p w:rsidR="00917C0E" w:rsidRPr="00917C0E" w:rsidRDefault="00917C0E" w:rsidP="00917C0E">
      <w:pPr>
        <w:spacing w:line="240" w:lineRule="auto"/>
        <w:ind w:left="4944" w:firstLine="720"/>
        <w:jc w:val="both"/>
        <w:rPr>
          <w:rFonts w:ascii="Times New Roman" w:hAnsi="Times New Roman" w:cs="Times New Roman"/>
          <w:sz w:val="20"/>
          <w:szCs w:val="20"/>
        </w:rPr>
      </w:pPr>
      <w:r w:rsidRPr="00917C0E">
        <w:rPr>
          <w:rFonts w:ascii="Times New Roman" w:hAnsi="Times New Roman" w:cs="Times New Roman"/>
          <w:sz w:val="20"/>
          <w:szCs w:val="20"/>
        </w:rPr>
        <w:t>(</w:t>
      </w:r>
      <w:r>
        <w:rPr>
          <w:rFonts w:ascii="Times New Roman" w:hAnsi="Times New Roman" w:cs="Times New Roman"/>
          <w:sz w:val="20"/>
          <w:szCs w:val="20"/>
        </w:rPr>
        <w:t xml:space="preserve">Source: </w:t>
      </w:r>
      <w:r w:rsidRPr="00917C0E">
        <w:rPr>
          <w:rFonts w:ascii="Times New Roman" w:hAnsi="Times New Roman" w:cs="Times New Roman"/>
          <w:sz w:val="20"/>
          <w:szCs w:val="20"/>
        </w:rPr>
        <w:t>Sedlan-Kőnig, 2012)</w:t>
      </w:r>
    </w:p>
    <w:p w:rsidR="00A20DA2" w:rsidRPr="00C537E0" w:rsidRDefault="00A20DA2" w:rsidP="00A20DA2">
      <w:pPr>
        <w:spacing w:line="240" w:lineRule="auto"/>
        <w:rPr>
          <w:rFonts w:ascii="Times New Roman" w:hAnsi="Times New Roman" w:cs="Times New Roman"/>
          <w:sz w:val="24"/>
          <w:szCs w:val="24"/>
        </w:rPr>
      </w:pPr>
      <w:r w:rsidRPr="00A20DA2">
        <w:rPr>
          <w:rFonts w:ascii="Times New Roman" w:hAnsi="Times New Roman" w:cs="Times New Roman"/>
          <w:sz w:val="24"/>
          <w:szCs w:val="24"/>
        </w:rPr>
        <w:t xml:space="preserve">The results of the testing for the </w:t>
      </w:r>
      <w:r w:rsidR="00A51D13">
        <w:rPr>
          <w:rFonts w:ascii="Times New Roman" w:hAnsi="Times New Roman" w:cs="Times New Roman"/>
          <w:sz w:val="24"/>
          <w:szCs w:val="24"/>
        </w:rPr>
        <w:t>H</w:t>
      </w:r>
      <w:r>
        <w:rPr>
          <w:rFonts w:ascii="Times New Roman" w:hAnsi="Times New Roman" w:cs="Times New Roman"/>
          <w:sz w:val="24"/>
          <w:szCs w:val="24"/>
        </w:rPr>
        <w:t xml:space="preserve">ypothesis 4: </w:t>
      </w:r>
      <w:r w:rsidRPr="00C537E0">
        <w:rPr>
          <w:rFonts w:ascii="Times New Roman" w:hAnsi="Times New Roman" w:cs="Times New Roman"/>
          <w:sz w:val="24"/>
          <w:szCs w:val="24"/>
        </w:rPr>
        <w:t>Doing sports and taking part in students’ associations</w:t>
      </w:r>
      <w:r w:rsidR="00A51D13">
        <w:rPr>
          <w:rFonts w:ascii="Times New Roman" w:hAnsi="Times New Roman" w:cs="Times New Roman"/>
          <w:sz w:val="24"/>
          <w:szCs w:val="24"/>
        </w:rPr>
        <w:t>,</w:t>
      </w:r>
      <w:r w:rsidRPr="00C537E0">
        <w:rPr>
          <w:rFonts w:ascii="Times New Roman" w:hAnsi="Times New Roman" w:cs="Times New Roman"/>
          <w:sz w:val="24"/>
          <w:szCs w:val="24"/>
        </w:rPr>
        <w:t xml:space="preserve"> as well as firsthand experience contribute more to the development of entrepreneuri</w:t>
      </w:r>
      <w:r w:rsidR="00A51D13">
        <w:rPr>
          <w:rFonts w:ascii="Times New Roman" w:hAnsi="Times New Roman" w:cs="Times New Roman"/>
          <w:sz w:val="24"/>
          <w:szCs w:val="24"/>
        </w:rPr>
        <w:t>al competences than university teaching</w:t>
      </w:r>
      <w:r>
        <w:rPr>
          <w:rFonts w:ascii="Times New Roman" w:hAnsi="Times New Roman" w:cs="Times New Roman"/>
          <w:sz w:val="24"/>
          <w:szCs w:val="24"/>
        </w:rPr>
        <w:t xml:space="preserve"> are shown in Table 4.</w:t>
      </w:r>
    </w:p>
    <w:p w:rsidR="00583693" w:rsidRPr="00C537E0" w:rsidRDefault="002C5B53" w:rsidP="00583693">
      <w:pPr>
        <w:rPr>
          <w:rFonts w:ascii="Times New Roman" w:hAnsi="Times New Roman" w:cs="Times New Roman"/>
          <w:u w:val="single"/>
        </w:rPr>
      </w:pPr>
      <w:r>
        <w:rPr>
          <w:rFonts w:ascii="Times New Roman" w:hAnsi="Times New Roman" w:cs="Times New Roman"/>
          <w:u w:val="single"/>
        </w:rPr>
        <w:t xml:space="preserve">Table </w:t>
      </w:r>
      <w:r w:rsidR="00A20DA2">
        <w:rPr>
          <w:rFonts w:ascii="Times New Roman" w:hAnsi="Times New Roman" w:cs="Times New Roman"/>
          <w:u w:val="single"/>
        </w:rPr>
        <w:t>4</w:t>
      </w:r>
      <w:r w:rsidR="00A51D13">
        <w:rPr>
          <w:rFonts w:ascii="Times New Roman" w:hAnsi="Times New Roman" w:cs="Times New Roman"/>
          <w:u w:val="single"/>
        </w:rPr>
        <w:t>: Pearson’s</w:t>
      </w:r>
      <w:r w:rsidR="00A51D13" w:rsidRPr="00A51D13">
        <w:rPr>
          <w:rFonts w:ascii="Times New Roman" w:hAnsi="Times New Roman" w:cs="Times New Roman"/>
          <w:u w:val="single"/>
        </w:rPr>
        <w:t xml:space="preserve"> </w:t>
      </w:r>
      <w:r w:rsidR="00A51D13" w:rsidRPr="001129C9">
        <w:rPr>
          <w:rFonts w:ascii="Times New Roman" w:hAnsi="Times New Roman" w:cs="Times New Roman"/>
          <w:u w:val="single"/>
        </w:rPr>
        <w:t>coefficients  of correlation</w:t>
      </w:r>
      <w:r w:rsidR="00A51D13">
        <w:rPr>
          <w:rFonts w:ascii="Times New Roman" w:hAnsi="Times New Roman" w:cs="Times New Roman"/>
          <w:u w:val="single"/>
        </w:rPr>
        <w:t xml:space="preserve"> between </w:t>
      </w:r>
      <w:r w:rsidR="00A51D13" w:rsidRPr="007226AC">
        <w:rPr>
          <w:rFonts w:ascii="Times New Roman" w:hAnsi="Times New Roman" w:cs="Times New Roman"/>
          <w:u w:val="single"/>
        </w:rPr>
        <w:t xml:space="preserve"> </w:t>
      </w:r>
      <w:r w:rsidR="00583693" w:rsidRPr="00C537E0">
        <w:rPr>
          <w:rFonts w:ascii="Times New Roman" w:hAnsi="Times New Roman" w:cs="Times New Roman"/>
          <w:u w:val="single"/>
        </w:rPr>
        <w:t>general</w:t>
      </w:r>
      <w:r w:rsidR="00A51D13">
        <w:rPr>
          <w:rFonts w:ascii="Times New Roman" w:hAnsi="Times New Roman" w:cs="Times New Roman"/>
          <w:u w:val="single"/>
        </w:rPr>
        <w:t xml:space="preserve">  self-efficacy</w:t>
      </w:r>
      <w:r w:rsidR="00583693" w:rsidRPr="00C537E0">
        <w:rPr>
          <w:rFonts w:ascii="Times New Roman" w:hAnsi="Times New Roman" w:cs="Times New Roman"/>
          <w:u w:val="single"/>
        </w:rPr>
        <w:t xml:space="preserve"> </w:t>
      </w:r>
      <w:r w:rsidR="00A51D13">
        <w:rPr>
          <w:rFonts w:ascii="Times New Roman" w:hAnsi="Times New Roman" w:cs="Times New Roman"/>
          <w:u w:val="single"/>
        </w:rPr>
        <w:t xml:space="preserve">and  estimation of influence of university teaching </w:t>
      </w:r>
      <w:r w:rsidR="00A51D13" w:rsidRPr="007226AC">
        <w:rPr>
          <w:rFonts w:ascii="Times New Roman" w:hAnsi="Times New Roman" w:cs="Times New Roman"/>
          <w:u w:val="single"/>
        </w:rPr>
        <w:t xml:space="preserve"> </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7"/>
        <w:gridCol w:w="848"/>
        <w:gridCol w:w="989"/>
        <w:gridCol w:w="809"/>
        <w:gridCol w:w="1114"/>
      </w:tblGrid>
      <w:tr w:rsidR="00583693" w:rsidRPr="00C537E0" w:rsidTr="00C537E0">
        <w:trPr>
          <w:trHeight w:val="346"/>
          <w:jc w:val="center"/>
        </w:trPr>
        <w:tc>
          <w:tcPr>
            <w:tcW w:w="4607" w:type="dxa"/>
            <w:tcBorders>
              <w:bottom w:val="single" w:sz="4" w:space="0" w:color="auto"/>
            </w:tcBorders>
            <w:shd w:val="clear" w:color="auto" w:fill="BFBFBF"/>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b/>
                <w:sz w:val="16"/>
                <w:szCs w:val="16"/>
              </w:rPr>
            </w:pPr>
          </w:p>
        </w:tc>
        <w:tc>
          <w:tcPr>
            <w:tcW w:w="848" w:type="dxa"/>
            <w:shd w:val="clear" w:color="auto" w:fill="BFBFBF"/>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1</w:t>
            </w:r>
          </w:p>
        </w:tc>
        <w:tc>
          <w:tcPr>
            <w:tcW w:w="989" w:type="dxa"/>
            <w:shd w:val="clear" w:color="auto" w:fill="BFBFBF"/>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2</w:t>
            </w:r>
          </w:p>
        </w:tc>
        <w:tc>
          <w:tcPr>
            <w:tcW w:w="809" w:type="dxa"/>
            <w:shd w:val="clear" w:color="auto" w:fill="BFBFBF"/>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3</w:t>
            </w:r>
          </w:p>
        </w:tc>
        <w:tc>
          <w:tcPr>
            <w:tcW w:w="1114" w:type="dxa"/>
            <w:shd w:val="clear" w:color="auto" w:fill="BFBFBF"/>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4</w:t>
            </w:r>
          </w:p>
        </w:tc>
      </w:tr>
      <w:tr w:rsidR="00583693" w:rsidRPr="00C537E0" w:rsidTr="00C537E0">
        <w:trPr>
          <w:trHeight w:val="364"/>
          <w:jc w:val="center"/>
        </w:trPr>
        <w:tc>
          <w:tcPr>
            <w:tcW w:w="4607" w:type="dxa"/>
            <w:shd w:val="clear" w:color="auto" w:fill="BFBFBF"/>
          </w:tcPr>
          <w:p w:rsidR="00583693" w:rsidRPr="00C537E0" w:rsidRDefault="00FD1537" w:rsidP="00A51D13">
            <w:pPr>
              <w:widowControl w:val="0"/>
              <w:tabs>
                <w:tab w:val="left" w:pos="1107"/>
              </w:tabs>
              <w:autoSpaceDE w:val="0"/>
              <w:autoSpaceDN w:val="0"/>
              <w:adjustRightIn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1. General</w:t>
            </w:r>
            <w:r w:rsidR="00583693" w:rsidRPr="00C537E0">
              <w:rPr>
                <w:rFonts w:ascii="Times New Roman" w:eastAsia="MS Mincho" w:hAnsi="Times New Roman" w:cs="Times New Roman"/>
                <w:b/>
                <w:sz w:val="16"/>
                <w:szCs w:val="16"/>
              </w:rPr>
              <w:t xml:space="preserve"> </w:t>
            </w:r>
            <w:r w:rsidR="00A51D13">
              <w:rPr>
                <w:rFonts w:ascii="Times New Roman" w:eastAsia="MS Mincho" w:hAnsi="Times New Roman" w:cs="Times New Roman"/>
                <w:b/>
                <w:sz w:val="16"/>
                <w:szCs w:val="16"/>
              </w:rPr>
              <w:t>self-</w:t>
            </w:r>
            <w:r>
              <w:rPr>
                <w:rFonts w:ascii="Times New Roman" w:eastAsia="MS Mincho" w:hAnsi="Times New Roman" w:cs="Times New Roman"/>
                <w:b/>
                <w:sz w:val="16"/>
                <w:szCs w:val="16"/>
              </w:rPr>
              <w:t xml:space="preserve">efficacy </w:t>
            </w:r>
          </w:p>
        </w:tc>
        <w:tc>
          <w:tcPr>
            <w:tcW w:w="848"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1,000</w:t>
            </w:r>
          </w:p>
        </w:tc>
        <w:tc>
          <w:tcPr>
            <w:tcW w:w="98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,398</w:t>
            </w:r>
            <w:r w:rsidRPr="00C537E0">
              <w:rPr>
                <w:rFonts w:ascii="Times New Roman" w:eastAsia="MS Mincho" w:hAnsi="Times New Roman" w:cs="Times New Roman"/>
                <w:color w:val="000000"/>
                <w:sz w:val="16"/>
                <w:szCs w:val="16"/>
                <w:vertAlign w:val="superscript"/>
              </w:rPr>
              <w:t>**</w:t>
            </w:r>
          </w:p>
        </w:tc>
        <w:tc>
          <w:tcPr>
            <w:tcW w:w="80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,603</w:t>
            </w:r>
            <w:r w:rsidRPr="00C537E0">
              <w:rPr>
                <w:rFonts w:ascii="Times New Roman" w:eastAsia="MS Mincho" w:hAnsi="Times New Roman" w:cs="Times New Roman"/>
                <w:color w:val="000000"/>
                <w:sz w:val="16"/>
                <w:szCs w:val="16"/>
                <w:vertAlign w:val="superscript"/>
              </w:rPr>
              <w:t>**</w:t>
            </w:r>
          </w:p>
        </w:tc>
        <w:tc>
          <w:tcPr>
            <w:tcW w:w="1114"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,347</w:t>
            </w:r>
            <w:r w:rsidRPr="00C537E0">
              <w:rPr>
                <w:rFonts w:ascii="Times New Roman" w:eastAsia="MS Mincho" w:hAnsi="Times New Roman" w:cs="Times New Roman"/>
                <w:color w:val="000000"/>
                <w:sz w:val="16"/>
                <w:szCs w:val="16"/>
                <w:vertAlign w:val="superscript"/>
              </w:rPr>
              <w:t>**</w:t>
            </w:r>
          </w:p>
        </w:tc>
      </w:tr>
      <w:tr w:rsidR="00583693" w:rsidRPr="00C537E0" w:rsidTr="00C537E0">
        <w:trPr>
          <w:trHeight w:val="355"/>
          <w:jc w:val="center"/>
        </w:trPr>
        <w:tc>
          <w:tcPr>
            <w:tcW w:w="4607" w:type="dxa"/>
            <w:shd w:val="clear" w:color="auto" w:fill="BFBFBF"/>
          </w:tcPr>
          <w:p w:rsidR="00583693" w:rsidRPr="00C537E0" w:rsidRDefault="00FD1537" w:rsidP="00FD1537">
            <w:pPr>
              <w:widowControl w:val="0"/>
              <w:autoSpaceDE w:val="0"/>
              <w:autoSpaceDN w:val="0"/>
              <w:adjustRightInd w:val="0"/>
              <w:spacing w:after="0" w:line="240" w:lineRule="auto"/>
              <w:rPr>
                <w:rFonts w:ascii="Times New Roman" w:eastAsia="MS Mincho" w:hAnsi="Times New Roman" w:cs="Times New Roman"/>
                <w:b/>
                <w:sz w:val="16"/>
                <w:szCs w:val="16"/>
              </w:rPr>
            </w:pPr>
            <w:r>
              <w:rPr>
                <w:rFonts w:ascii="Times New Roman" w:eastAsia="MS Mincho" w:hAnsi="Times New Roman" w:cs="Times New Roman"/>
                <w:b/>
                <w:sz w:val="16"/>
                <w:szCs w:val="16"/>
              </w:rPr>
              <w:t xml:space="preserve">2. General estimation of sports clubs’/associations’ influence </w:t>
            </w:r>
          </w:p>
        </w:tc>
        <w:tc>
          <w:tcPr>
            <w:tcW w:w="848"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,398</w:t>
            </w:r>
            <w:r w:rsidRPr="00C537E0">
              <w:rPr>
                <w:rFonts w:ascii="Times New Roman" w:eastAsia="MS Mincho" w:hAnsi="Times New Roman" w:cs="Times New Roman"/>
                <w:color w:val="000000"/>
                <w:sz w:val="16"/>
                <w:szCs w:val="16"/>
                <w:vertAlign w:val="superscript"/>
              </w:rPr>
              <w:t>**</w:t>
            </w:r>
          </w:p>
        </w:tc>
        <w:tc>
          <w:tcPr>
            <w:tcW w:w="98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1,000</w:t>
            </w:r>
          </w:p>
        </w:tc>
        <w:tc>
          <w:tcPr>
            <w:tcW w:w="80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,381</w:t>
            </w:r>
            <w:r w:rsidRPr="00C537E0">
              <w:rPr>
                <w:rFonts w:ascii="Times New Roman" w:eastAsia="MS Mincho" w:hAnsi="Times New Roman" w:cs="Times New Roman"/>
                <w:color w:val="000000"/>
                <w:sz w:val="16"/>
                <w:szCs w:val="16"/>
                <w:vertAlign w:val="superscript"/>
              </w:rPr>
              <w:t>**</w:t>
            </w:r>
          </w:p>
        </w:tc>
        <w:tc>
          <w:tcPr>
            <w:tcW w:w="1114"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,421</w:t>
            </w:r>
            <w:r w:rsidRPr="00C537E0">
              <w:rPr>
                <w:rFonts w:ascii="Times New Roman" w:eastAsia="MS Mincho" w:hAnsi="Times New Roman" w:cs="Times New Roman"/>
                <w:color w:val="000000"/>
                <w:sz w:val="16"/>
                <w:szCs w:val="16"/>
                <w:vertAlign w:val="superscript"/>
              </w:rPr>
              <w:t>**</w:t>
            </w:r>
          </w:p>
        </w:tc>
      </w:tr>
      <w:tr w:rsidR="00583693" w:rsidRPr="00C537E0" w:rsidTr="00C537E0">
        <w:trPr>
          <w:trHeight w:val="364"/>
          <w:jc w:val="center"/>
        </w:trPr>
        <w:tc>
          <w:tcPr>
            <w:tcW w:w="4607" w:type="dxa"/>
            <w:shd w:val="clear" w:color="auto" w:fill="BFBFBF"/>
          </w:tcPr>
          <w:p w:rsidR="00583693" w:rsidRPr="00C537E0" w:rsidRDefault="00583693" w:rsidP="00FD1537">
            <w:pPr>
              <w:widowControl w:val="0"/>
              <w:autoSpaceDE w:val="0"/>
              <w:autoSpaceDN w:val="0"/>
              <w:adjustRightInd w:val="0"/>
              <w:spacing w:after="0" w:line="240" w:lineRule="auto"/>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3. General</w:t>
            </w:r>
            <w:r w:rsidR="00FD1537">
              <w:rPr>
                <w:rFonts w:ascii="Times New Roman" w:eastAsia="MS Mincho" w:hAnsi="Times New Roman" w:cs="Times New Roman"/>
                <w:b/>
                <w:sz w:val="16"/>
                <w:szCs w:val="16"/>
              </w:rPr>
              <w:t xml:space="preserve"> estimation of  influence  of firsthand experience</w:t>
            </w:r>
          </w:p>
        </w:tc>
        <w:tc>
          <w:tcPr>
            <w:tcW w:w="848"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,603</w:t>
            </w:r>
            <w:r w:rsidRPr="00C537E0">
              <w:rPr>
                <w:rFonts w:ascii="Times New Roman" w:eastAsia="MS Mincho" w:hAnsi="Times New Roman" w:cs="Times New Roman"/>
                <w:color w:val="000000"/>
                <w:sz w:val="16"/>
                <w:szCs w:val="16"/>
                <w:vertAlign w:val="superscript"/>
              </w:rPr>
              <w:t>**</w:t>
            </w:r>
          </w:p>
        </w:tc>
        <w:tc>
          <w:tcPr>
            <w:tcW w:w="98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,381</w:t>
            </w:r>
            <w:r w:rsidRPr="00C537E0">
              <w:rPr>
                <w:rFonts w:ascii="Times New Roman" w:eastAsia="MS Mincho" w:hAnsi="Times New Roman" w:cs="Times New Roman"/>
                <w:color w:val="000000"/>
                <w:sz w:val="16"/>
                <w:szCs w:val="16"/>
                <w:vertAlign w:val="superscript"/>
              </w:rPr>
              <w:t>**</w:t>
            </w:r>
          </w:p>
        </w:tc>
        <w:tc>
          <w:tcPr>
            <w:tcW w:w="80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1,000</w:t>
            </w:r>
          </w:p>
        </w:tc>
        <w:tc>
          <w:tcPr>
            <w:tcW w:w="1114"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,314</w:t>
            </w:r>
            <w:r w:rsidRPr="00C537E0">
              <w:rPr>
                <w:rFonts w:ascii="Times New Roman" w:eastAsia="MS Mincho" w:hAnsi="Times New Roman" w:cs="Times New Roman"/>
                <w:color w:val="000000"/>
                <w:sz w:val="16"/>
                <w:szCs w:val="16"/>
                <w:vertAlign w:val="superscript"/>
              </w:rPr>
              <w:t>**</w:t>
            </w:r>
          </w:p>
        </w:tc>
      </w:tr>
      <w:tr w:rsidR="00583693" w:rsidRPr="00C537E0" w:rsidTr="00C537E0">
        <w:trPr>
          <w:trHeight w:val="364"/>
          <w:jc w:val="center"/>
        </w:trPr>
        <w:tc>
          <w:tcPr>
            <w:tcW w:w="4607" w:type="dxa"/>
            <w:shd w:val="clear" w:color="auto" w:fill="BFBFBF"/>
          </w:tcPr>
          <w:p w:rsidR="00583693" w:rsidRPr="00C537E0" w:rsidRDefault="00583693" w:rsidP="00FD1537">
            <w:pPr>
              <w:widowControl w:val="0"/>
              <w:autoSpaceDE w:val="0"/>
              <w:autoSpaceDN w:val="0"/>
              <w:adjustRightInd w:val="0"/>
              <w:spacing w:after="0" w:line="240" w:lineRule="auto"/>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4. General</w:t>
            </w:r>
            <w:r w:rsidR="00FD1537">
              <w:rPr>
                <w:rFonts w:ascii="Times New Roman" w:eastAsia="MS Mincho" w:hAnsi="Times New Roman" w:cs="Times New Roman"/>
                <w:b/>
                <w:sz w:val="16"/>
                <w:szCs w:val="16"/>
              </w:rPr>
              <w:t xml:space="preserve"> estimation of university’s influence</w:t>
            </w:r>
          </w:p>
        </w:tc>
        <w:tc>
          <w:tcPr>
            <w:tcW w:w="848"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,347</w:t>
            </w:r>
            <w:r w:rsidRPr="00C537E0">
              <w:rPr>
                <w:rFonts w:ascii="Times New Roman" w:eastAsia="MS Mincho" w:hAnsi="Times New Roman" w:cs="Times New Roman"/>
                <w:color w:val="000000"/>
                <w:sz w:val="16"/>
                <w:szCs w:val="16"/>
                <w:vertAlign w:val="superscript"/>
              </w:rPr>
              <w:t>**</w:t>
            </w:r>
          </w:p>
        </w:tc>
        <w:tc>
          <w:tcPr>
            <w:tcW w:w="98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,421</w:t>
            </w:r>
            <w:r w:rsidRPr="00C537E0">
              <w:rPr>
                <w:rFonts w:ascii="Times New Roman" w:eastAsia="MS Mincho" w:hAnsi="Times New Roman" w:cs="Times New Roman"/>
                <w:color w:val="000000"/>
                <w:sz w:val="16"/>
                <w:szCs w:val="16"/>
                <w:vertAlign w:val="superscript"/>
              </w:rPr>
              <w:t>**</w:t>
            </w:r>
          </w:p>
        </w:tc>
        <w:tc>
          <w:tcPr>
            <w:tcW w:w="809"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,314</w:t>
            </w:r>
            <w:r w:rsidRPr="00C537E0">
              <w:rPr>
                <w:rFonts w:ascii="Times New Roman" w:eastAsia="MS Mincho" w:hAnsi="Times New Roman" w:cs="Times New Roman"/>
                <w:color w:val="000000"/>
                <w:sz w:val="16"/>
                <w:szCs w:val="16"/>
                <w:vertAlign w:val="superscript"/>
              </w:rPr>
              <w:t>**</w:t>
            </w:r>
          </w:p>
        </w:tc>
        <w:tc>
          <w:tcPr>
            <w:tcW w:w="1114" w:type="dxa"/>
            <w:shd w:val="clear" w:color="auto" w:fill="auto"/>
            <w:vAlign w:val="center"/>
          </w:tcPr>
          <w:p w:rsidR="00583693" w:rsidRPr="00C537E0" w:rsidRDefault="00583693" w:rsidP="00C537E0">
            <w:pPr>
              <w:widowControl w:val="0"/>
              <w:autoSpaceDE w:val="0"/>
              <w:autoSpaceDN w:val="0"/>
              <w:adjustRightInd w:val="0"/>
              <w:spacing w:after="0" w:line="240" w:lineRule="auto"/>
              <w:rPr>
                <w:rFonts w:ascii="Times New Roman" w:eastAsia="MS Mincho" w:hAnsi="Times New Roman" w:cs="Times New Roman"/>
                <w:color w:val="000000"/>
                <w:sz w:val="16"/>
                <w:szCs w:val="16"/>
              </w:rPr>
            </w:pPr>
            <w:r w:rsidRPr="00C537E0">
              <w:rPr>
                <w:rFonts w:ascii="Times New Roman" w:eastAsia="MS Mincho" w:hAnsi="Times New Roman" w:cs="Times New Roman"/>
                <w:color w:val="000000"/>
                <w:sz w:val="16"/>
                <w:szCs w:val="16"/>
              </w:rPr>
              <w:t>1,000</w:t>
            </w:r>
          </w:p>
        </w:tc>
      </w:tr>
      <w:tr w:rsidR="00583693" w:rsidRPr="00C537E0" w:rsidTr="00A51D13">
        <w:trPr>
          <w:trHeight w:val="211"/>
          <w:jc w:val="center"/>
        </w:trPr>
        <w:tc>
          <w:tcPr>
            <w:tcW w:w="8367" w:type="dxa"/>
            <w:gridSpan w:val="5"/>
            <w:shd w:val="clear" w:color="auto" w:fill="auto"/>
          </w:tcPr>
          <w:p w:rsidR="00583693" w:rsidRPr="00C537E0" w:rsidRDefault="00FD1537" w:rsidP="00FD1537">
            <w:pPr>
              <w:widowControl w:val="0"/>
              <w:autoSpaceDE w:val="0"/>
              <w:autoSpaceDN w:val="0"/>
              <w:adjustRightInd w:val="0"/>
              <w:spacing w:after="0" w:line="240" w:lineRule="auto"/>
              <w:rPr>
                <w:rFonts w:ascii="Times New Roman" w:eastAsia="MS Mincho" w:hAnsi="Times New Roman" w:cs="Times New Roman"/>
                <w:color w:val="000000"/>
                <w:sz w:val="16"/>
                <w:szCs w:val="16"/>
              </w:rPr>
            </w:pPr>
            <w:r>
              <w:rPr>
                <w:rFonts w:ascii="Times New Roman" w:eastAsia="MS Mincho" w:hAnsi="Times New Roman" w:cs="Times New Roman"/>
                <w:color w:val="000000"/>
                <w:sz w:val="16"/>
                <w:szCs w:val="16"/>
              </w:rPr>
              <w:t>** positive correlation</w:t>
            </w:r>
            <w:r w:rsidR="00583693" w:rsidRPr="00C537E0">
              <w:rPr>
                <w:rFonts w:ascii="Times New Roman" w:eastAsia="MS Mincho" w:hAnsi="Times New Roman" w:cs="Times New Roman"/>
                <w:color w:val="000000"/>
                <w:sz w:val="16"/>
                <w:szCs w:val="16"/>
              </w:rPr>
              <w:t xml:space="preserve"> , p</w:t>
            </w:r>
            <w:r w:rsidR="00583693" w:rsidRPr="00C537E0">
              <w:rPr>
                <w:rFonts w:ascii="Times New Roman" w:hAnsi="Times New Roman" w:cs="Times New Roman"/>
                <w:sz w:val="16"/>
                <w:szCs w:val="16"/>
              </w:rPr>
              <w:t>&lt;0,01</w:t>
            </w:r>
          </w:p>
        </w:tc>
      </w:tr>
    </w:tbl>
    <w:p w:rsidR="00917C0E" w:rsidRPr="00917C0E" w:rsidRDefault="00917C0E" w:rsidP="00917C0E">
      <w:pPr>
        <w:spacing w:line="240" w:lineRule="auto"/>
        <w:ind w:left="4944" w:firstLine="720"/>
        <w:jc w:val="both"/>
        <w:rPr>
          <w:rFonts w:ascii="Times New Roman" w:hAnsi="Times New Roman" w:cs="Times New Roman"/>
          <w:sz w:val="20"/>
          <w:szCs w:val="20"/>
        </w:rPr>
      </w:pPr>
      <w:r w:rsidRPr="00917C0E">
        <w:rPr>
          <w:rFonts w:ascii="Times New Roman" w:hAnsi="Times New Roman" w:cs="Times New Roman"/>
          <w:sz w:val="20"/>
          <w:szCs w:val="20"/>
        </w:rPr>
        <w:t>(</w:t>
      </w:r>
      <w:r>
        <w:rPr>
          <w:rFonts w:ascii="Times New Roman" w:hAnsi="Times New Roman" w:cs="Times New Roman"/>
          <w:sz w:val="20"/>
          <w:szCs w:val="20"/>
        </w:rPr>
        <w:t xml:space="preserve">Source: </w:t>
      </w:r>
      <w:r w:rsidRPr="00917C0E">
        <w:rPr>
          <w:rFonts w:ascii="Times New Roman" w:hAnsi="Times New Roman" w:cs="Times New Roman"/>
          <w:sz w:val="20"/>
          <w:szCs w:val="20"/>
        </w:rPr>
        <w:t>Sedlan-Kőnig, 2012)</w:t>
      </w:r>
    </w:p>
    <w:p w:rsidR="00583693" w:rsidRDefault="00583693" w:rsidP="00594A8D">
      <w:pPr>
        <w:spacing w:line="240" w:lineRule="auto"/>
        <w:jc w:val="both"/>
        <w:rPr>
          <w:rFonts w:ascii="Times New Roman" w:hAnsi="Times New Roman" w:cs="Times New Roman"/>
          <w:b/>
          <w:sz w:val="24"/>
          <w:szCs w:val="24"/>
        </w:rPr>
      </w:pPr>
    </w:p>
    <w:p w:rsidR="00A20DA2" w:rsidRDefault="00A20DA2" w:rsidP="00594A8D">
      <w:pPr>
        <w:spacing w:line="240" w:lineRule="auto"/>
        <w:jc w:val="both"/>
        <w:rPr>
          <w:rFonts w:ascii="Times New Roman" w:hAnsi="Times New Roman" w:cs="Times New Roman"/>
          <w:sz w:val="24"/>
          <w:szCs w:val="24"/>
        </w:rPr>
      </w:pPr>
      <w:r w:rsidRPr="00A20DA2">
        <w:rPr>
          <w:rFonts w:ascii="Times New Roman" w:hAnsi="Times New Roman" w:cs="Times New Roman"/>
          <w:sz w:val="24"/>
          <w:szCs w:val="24"/>
        </w:rPr>
        <w:lastRenderedPageBreak/>
        <w:t>It is evident that</w:t>
      </w:r>
      <w:r>
        <w:rPr>
          <w:rFonts w:ascii="Times New Roman" w:hAnsi="Times New Roman" w:cs="Times New Roman"/>
          <w:b/>
          <w:sz w:val="24"/>
          <w:szCs w:val="24"/>
        </w:rPr>
        <w:t xml:space="preserve"> </w:t>
      </w:r>
      <w:r w:rsidRPr="00A20DA2">
        <w:rPr>
          <w:rFonts w:ascii="Times New Roman" w:hAnsi="Times New Roman" w:cs="Times New Roman"/>
          <w:sz w:val="24"/>
          <w:szCs w:val="24"/>
        </w:rPr>
        <w:t>the correlation between</w:t>
      </w:r>
      <w:r>
        <w:rPr>
          <w:rFonts w:ascii="Times New Roman" w:hAnsi="Times New Roman" w:cs="Times New Roman"/>
          <w:sz w:val="24"/>
          <w:szCs w:val="24"/>
        </w:rPr>
        <w:t xml:space="preserve"> general impact of university with the general </w:t>
      </w:r>
      <w:r w:rsidR="00A51D13">
        <w:rPr>
          <w:rFonts w:ascii="Times New Roman" w:hAnsi="Times New Roman" w:cs="Times New Roman"/>
          <w:sz w:val="24"/>
          <w:szCs w:val="24"/>
        </w:rPr>
        <w:t>self-</w:t>
      </w:r>
      <w:r>
        <w:rPr>
          <w:rFonts w:ascii="Times New Roman" w:hAnsi="Times New Roman" w:cs="Times New Roman"/>
          <w:sz w:val="24"/>
          <w:szCs w:val="24"/>
        </w:rPr>
        <w:t>effic</w:t>
      </w:r>
      <w:r w:rsidR="00A51D13">
        <w:rPr>
          <w:rFonts w:ascii="Times New Roman" w:hAnsi="Times New Roman" w:cs="Times New Roman"/>
          <w:sz w:val="24"/>
          <w:szCs w:val="24"/>
        </w:rPr>
        <w:t>a</w:t>
      </w:r>
      <w:r>
        <w:rPr>
          <w:rFonts w:ascii="Times New Roman" w:hAnsi="Times New Roman" w:cs="Times New Roman"/>
          <w:sz w:val="24"/>
          <w:szCs w:val="24"/>
        </w:rPr>
        <w:t xml:space="preserve">cy is lower (0.347) than general impact of firsthand experience (0.603) and membership in </w:t>
      </w:r>
      <w:r w:rsidR="004F3B19">
        <w:rPr>
          <w:rFonts w:ascii="Times New Roman" w:hAnsi="Times New Roman" w:cs="Times New Roman"/>
          <w:sz w:val="24"/>
          <w:szCs w:val="24"/>
        </w:rPr>
        <w:t xml:space="preserve">students’ </w:t>
      </w:r>
      <w:r>
        <w:rPr>
          <w:rFonts w:ascii="Times New Roman" w:hAnsi="Times New Roman" w:cs="Times New Roman"/>
          <w:sz w:val="24"/>
          <w:szCs w:val="24"/>
        </w:rPr>
        <w:t>associations and sports clubs (0.398)</w:t>
      </w:r>
      <w:r w:rsidR="00A51D13">
        <w:rPr>
          <w:rFonts w:ascii="Times New Roman" w:hAnsi="Times New Roman" w:cs="Times New Roman"/>
          <w:sz w:val="24"/>
          <w:szCs w:val="24"/>
        </w:rPr>
        <w:t xml:space="preserve">. </w:t>
      </w:r>
      <w:r w:rsidR="004F3B19">
        <w:rPr>
          <w:rFonts w:ascii="Times New Roman" w:hAnsi="Times New Roman" w:cs="Times New Roman"/>
          <w:sz w:val="24"/>
          <w:szCs w:val="24"/>
        </w:rPr>
        <w:t>Hence, they</w:t>
      </w:r>
      <w:r>
        <w:rPr>
          <w:rFonts w:ascii="Times New Roman" w:hAnsi="Times New Roman" w:cs="Times New Roman"/>
          <w:sz w:val="24"/>
          <w:szCs w:val="24"/>
        </w:rPr>
        <w:t xml:space="preserve"> contribute stronger to </w:t>
      </w:r>
      <w:r w:rsidR="004F3B19">
        <w:rPr>
          <w:rFonts w:ascii="Times New Roman" w:hAnsi="Times New Roman" w:cs="Times New Roman"/>
          <w:sz w:val="24"/>
          <w:szCs w:val="24"/>
        </w:rPr>
        <w:t>self-</w:t>
      </w:r>
      <w:r>
        <w:rPr>
          <w:rFonts w:ascii="Times New Roman" w:hAnsi="Times New Roman" w:cs="Times New Roman"/>
          <w:sz w:val="24"/>
          <w:szCs w:val="24"/>
        </w:rPr>
        <w:t xml:space="preserve"> effic</w:t>
      </w:r>
      <w:r w:rsidR="004F3B19">
        <w:rPr>
          <w:rFonts w:ascii="Times New Roman" w:hAnsi="Times New Roman" w:cs="Times New Roman"/>
          <w:sz w:val="24"/>
          <w:szCs w:val="24"/>
        </w:rPr>
        <w:t>a</w:t>
      </w:r>
      <w:r>
        <w:rPr>
          <w:rFonts w:ascii="Times New Roman" w:hAnsi="Times New Roman" w:cs="Times New Roman"/>
          <w:sz w:val="24"/>
          <w:szCs w:val="24"/>
        </w:rPr>
        <w:t>cy. Therefore, the hypothesis 4 is also confirmed.</w:t>
      </w:r>
    </w:p>
    <w:p w:rsidR="00A20DA2" w:rsidRDefault="00A20DA2" w:rsidP="004F3B19">
      <w:pPr>
        <w:spacing w:line="240" w:lineRule="auto"/>
        <w:rPr>
          <w:rFonts w:ascii="Times New Roman" w:hAnsi="Times New Roman" w:cs="Times New Roman"/>
          <w:sz w:val="24"/>
          <w:szCs w:val="24"/>
        </w:rPr>
      </w:pPr>
      <w:r>
        <w:rPr>
          <w:rFonts w:ascii="Times New Roman" w:hAnsi="Times New Roman" w:cs="Times New Roman"/>
          <w:sz w:val="24"/>
          <w:szCs w:val="24"/>
        </w:rPr>
        <w:t xml:space="preserve">In order to discuss the </w:t>
      </w:r>
      <w:r w:rsidR="004F3B19" w:rsidRPr="00C537E0">
        <w:rPr>
          <w:rFonts w:ascii="Times New Roman" w:hAnsi="Times New Roman" w:cs="Times New Roman"/>
          <w:sz w:val="24"/>
          <w:szCs w:val="24"/>
        </w:rPr>
        <w:t>H1: Student</w:t>
      </w:r>
      <w:r w:rsidR="004F3B19">
        <w:rPr>
          <w:rFonts w:ascii="Times New Roman" w:hAnsi="Times New Roman" w:cs="Times New Roman"/>
          <w:sz w:val="24"/>
          <w:szCs w:val="24"/>
        </w:rPr>
        <w:t xml:space="preserve">s who </w:t>
      </w:r>
      <w:r w:rsidR="004F3B19" w:rsidRPr="00C537E0">
        <w:rPr>
          <w:rFonts w:ascii="Times New Roman" w:hAnsi="Times New Roman" w:cs="Times New Roman"/>
          <w:sz w:val="24"/>
          <w:szCs w:val="24"/>
        </w:rPr>
        <w:t>are members of students’ association</w:t>
      </w:r>
      <w:r w:rsidR="004F3B19">
        <w:rPr>
          <w:rFonts w:ascii="Times New Roman" w:hAnsi="Times New Roman" w:cs="Times New Roman"/>
          <w:sz w:val="24"/>
          <w:szCs w:val="24"/>
        </w:rPr>
        <w:t xml:space="preserve"> or do sports demonstrate strong</w:t>
      </w:r>
      <w:r w:rsidR="004F3B19" w:rsidRPr="00C537E0">
        <w:rPr>
          <w:rFonts w:ascii="Times New Roman" w:hAnsi="Times New Roman" w:cs="Times New Roman"/>
          <w:sz w:val="24"/>
          <w:szCs w:val="24"/>
        </w:rPr>
        <w:t xml:space="preserve">er </w:t>
      </w:r>
      <w:r w:rsidR="004F3B19">
        <w:rPr>
          <w:rFonts w:ascii="Times New Roman" w:hAnsi="Times New Roman" w:cs="Times New Roman"/>
          <w:sz w:val="24"/>
          <w:szCs w:val="24"/>
        </w:rPr>
        <w:t>propensity for</w:t>
      </w:r>
      <w:r w:rsidR="004F3B19" w:rsidRPr="00C537E0">
        <w:rPr>
          <w:rFonts w:ascii="Times New Roman" w:hAnsi="Times New Roman" w:cs="Times New Roman"/>
          <w:sz w:val="24"/>
          <w:szCs w:val="24"/>
        </w:rPr>
        <w:t xml:space="preserve"> entrepreneurial behavior tha</w:t>
      </w:r>
      <w:r w:rsidR="004F3B19">
        <w:rPr>
          <w:rFonts w:ascii="Times New Roman" w:hAnsi="Times New Roman" w:cs="Times New Roman"/>
          <w:sz w:val="24"/>
          <w:szCs w:val="24"/>
        </w:rPr>
        <w:t xml:space="preserve">n students who do not do sports and </w:t>
      </w:r>
      <w:r w:rsidR="004F3B19" w:rsidRPr="00C537E0">
        <w:rPr>
          <w:rFonts w:ascii="Times New Roman" w:hAnsi="Times New Roman" w:cs="Times New Roman"/>
          <w:sz w:val="24"/>
          <w:szCs w:val="24"/>
        </w:rPr>
        <w:t>H2: Students who are members of students’ association</w:t>
      </w:r>
      <w:r w:rsidR="004F3B19">
        <w:rPr>
          <w:rFonts w:ascii="Times New Roman" w:hAnsi="Times New Roman" w:cs="Times New Roman"/>
          <w:sz w:val="24"/>
          <w:szCs w:val="24"/>
        </w:rPr>
        <w:t xml:space="preserve"> or do sports</w:t>
      </w:r>
      <w:r w:rsidR="004F3B19" w:rsidRPr="00C537E0">
        <w:rPr>
          <w:rFonts w:ascii="Times New Roman" w:hAnsi="Times New Roman" w:cs="Times New Roman"/>
          <w:sz w:val="24"/>
          <w:szCs w:val="24"/>
        </w:rPr>
        <w:t xml:space="preserve"> demonstrate </w:t>
      </w:r>
      <w:r w:rsidR="004F3B19">
        <w:rPr>
          <w:rFonts w:ascii="Times New Roman" w:hAnsi="Times New Roman" w:cs="Times New Roman"/>
          <w:sz w:val="24"/>
          <w:szCs w:val="24"/>
        </w:rPr>
        <w:t>a higher probability of starting their own business</w:t>
      </w:r>
      <w:r w:rsidR="004F3B19" w:rsidRPr="00C537E0">
        <w:rPr>
          <w:rFonts w:ascii="Times New Roman" w:hAnsi="Times New Roman" w:cs="Times New Roman"/>
          <w:sz w:val="24"/>
          <w:szCs w:val="24"/>
        </w:rPr>
        <w:t xml:space="preserve"> than students who do n</w:t>
      </w:r>
      <w:r w:rsidR="004F3B19">
        <w:rPr>
          <w:rFonts w:ascii="Times New Roman" w:hAnsi="Times New Roman" w:cs="Times New Roman"/>
          <w:sz w:val="24"/>
          <w:szCs w:val="24"/>
        </w:rPr>
        <w:t>ot take part in such activities</w:t>
      </w:r>
      <w:r>
        <w:rPr>
          <w:rFonts w:ascii="Times New Roman" w:hAnsi="Times New Roman" w:cs="Times New Roman"/>
          <w:sz w:val="24"/>
          <w:szCs w:val="24"/>
        </w:rPr>
        <w:t xml:space="preserve"> in more detail, a further analysis of the results of GET test</w:t>
      </w:r>
      <w:r w:rsidR="008B6E07">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8B6E07">
        <w:rPr>
          <w:rFonts w:ascii="Times New Roman" w:hAnsi="Times New Roman" w:cs="Times New Roman"/>
          <w:sz w:val="24"/>
          <w:szCs w:val="24"/>
        </w:rPr>
        <w:t xml:space="preserve">performed (Table 5). </w:t>
      </w:r>
    </w:p>
    <w:p w:rsidR="00583693" w:rsidRPr="00C537E0" w:rsidRDefault="002C5B53" w:rsidP="008B6E07">
      <w:pPr>
        <w:spacing w:line="240" w:lineRule="auto"/>
        <w:jc w:val="both"/>
        <w:rPr>
          <w:rFonts w:ascii="Times New Roman" w:hAnsi="Times New Roman" w:cs="Times New Roman"/>
          <w:u w:val="single"/>
        </w:rPr>
      </w:pPr>
      <w:r>
        <w:rPr>
          <w:rFonts w:ascii="Times New Roman" w:hAnsi="Times New Roman" w:cs="Times New Roman"/>
          <w:u w:val="single"/>
        </w:rPr>
        <w:t>Table</w:t>
      </w:r>
      <w:r w:rsidR="008B6E07">
        <w:rPr>
          <w:rFonts w:ascii="Times New Roman" w:hAnsi="Times New Roman" w:cs="Times New Roman"/>
          <w:u w:val="single"/>
        </w:rPr>
        <w:t xml:space="preserve"> 5</w:t>
      </w:r>
      <w:r w:rsidR="00583693" w:rsidRPr="00C537E0">
        <w:rPr>
          <w:rFonts w:ascii="Times New Roman" w:hAnsi="Times New Roman" w:cs="Times New Roman"/>
          <w:u w:val="single"/>
        </w:rPr>
        <w:t>: Des</w:t>
      </w:r>
      <w:r w:rsidR="004F3B19">
        <w:rPr>
          <w:rFonts w:ascii="Times New Roman" w:hAnsi="Times New Roman" w:cs="Times New Roman"/>
          <w:u w:val="single"/>
        </w:rPr>
        <w:t>c</w:t>
      </w:r>
      <w:r w:rsidR="00583693" w:rsidRPr="00C537E0">
        <w:rPr>
          <w:rFonts w:ascii="Times New Roman" w:hAnsi="Times New Roman" w:cs="Times New Roman"/>
          <w:u w:val="single"/>
        </w:rPr>
        <w:t>riptiv</w:t>
      </w:r>
      <w:r w:rsidR="004F3B19">
        <w:rPr>
          <w:rFonts w:ascii="Times New Roman" w:hAnsi="Times New Roman" w:cs="Times New Roman"/>
          <w:u w:val="single"/>
        </w:rPr>
        <w:t xml:space="preserve">e statistics of the </w:t>
      </w:r>
      <w:r w:rsidR="00583693" w:rsidRPr="00C537E0">
        <w:rPr>
          <w:rFonts w:ascii="Times New Roman" w:hAnsi="Times New Roman" w:cs="Times New Roman"/>
          <w:u w:val="single"/>
        </w:rPr>
        <w:t>re</w:t>
      </w:r>
      <w:r w:rsidR="004F3B19">
        <w:rPr>
          <w:rFonts w:ascii="Times New Roman" w:hAnsi="Times New Roman" w:cs="Times New Roman"/>
          <w:u w:val="single"/>
        </w:rPr>
        <w:t>s</w:t>
      </w:r>
      <w:r w:rsidR="00583693" w:rsidRPr="00C537E0">
        <w:rPr>
          <w:rFonts w:ascii="Times New Roman" w:hAnsi="Times New Roman" w:cs="Times New Roman"/>
          <w:u w:val="single"/>
        </w:rPr>
        <w:t>ult</w:t>
      </w:r>
      <w:r w:rsidR="004F3B19">
        <w:rPr>
          <w:rFonts w:ascii="Times New Roman" w:hAnsi="Times New Roman" w:cs="Times New Roman"/>
          <w:u w:val="single"/>
        </w:rPr>
        <w:t xml:space="preserve">s of </w:t>
      </w:r>
      <w:r w:rsidR="00583693" w:rsidRPr="00C537E0">
        <w:rPr>
          <w:rFonts w:ascii="Times New Roman" w:hAnsi="Times New Roman" w:cs="Times New Roman"/>
          <w:u w:val="single"/>
        </w:rPr>
        <w:t xml:space="preserve"> </w:t>
      </w:r>
      <w:smartTag w:uri="urn:schemas-microsoft-com:office:smarttags" w:element="stockticker">
        <w:r w:rsidR="00583693" w:rsidRPr="00C537E0">
          <w:rPr>
            <w:rFonts w:ascii="Times New Roman" w:hAnsi="Times New Roman" w:cs="Times New Roman"/>
            <w:u w:val="single"/>
          </w:rPr>
          <w:t>GET</w:t>
        </w:r>
      </w:smartTag>
      <w:r w:rsidR="00583693" w:rsidRPr="00C537E0">
        <w:rPr>
          <w:rFonts w:ascii="Times New Roman" w:hAnsi="Times New Roman" w:cs="Times New Roman"/>
          <w:u w:val="single"/>
        </w:rPr>
        <w:t xml:space="preserve"> test </w:t>
      </w:r>
      <w:r w:rsidR="004F3B19">
        <w:rPr>
          <w:rFonts w:ascii="Times New Roman" w:hAnsi="Times New Roman" w:cs="Times New Roman"/>
          <w:u w:val="single"/>
        </w:rPr>
        <w:t>according to subsample</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281"/>
        <w:gridCol w:w="1036"/>
        <w:gridCol w:w="1112"/>
        <w:gridCol w:w="1495"/>
        <w:gridCol w:w="1401"/>
      </w:tblGrid>
      <w:tr w:rsidR="00583693" w:rsidRPr="00C537E0" w:rsidTr="00A8656D">
        <w:trPr>
          <w:trHeight w:val="645"/>
          <w:jc w:val="center"/>
        </w:trPr>
        <w:tc>
          <w:tcPr>
            <w:tcW w:w="3516" w:type="dxa"/>
            <w:gridSpan w:val="2"/>
            <w:shd w:val="clear" w:color="auto" w:fill="BFBFBF"/>
            <w:vAlign w:val="center"/>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p>
        </w:tc>
        <w:tc>
          <w:tcPr>
            <w:tcW w:w="1036" w:type="dxa"/>
            <w:shd w:val="clear" w:color="auto" w:fill="BFBFBF"/>
            <w:vAlign w:val="center"/>
          </w:tcPr>
          <w:p w:rsidR="00583693" w:rsidRPr="00C537E0" w:rsidRDefault="00583693" w:rsidP="00C537E0">
            <w:pPr>
              <w:widowControl w:val="0"/>
              <w:autoSpaceDE w:val="0"/>
              <w:autoSpaceDN w:val="0"/>
              <w:adjustRightInd w:val="0"/>
              <w:spacing w:after="0"/>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N</w:t>
            </w:r>
          </w:p>
        </w:tc>
        <w:tc>
          <w:tcPr>
            <w:tcW w:w="1112" w:type="dxa"/>
            <w:shd w:val="clear" w:color="auto" w:fill="BFBFBF"/>
            <w:vAlign w:val="center"/>
          </w:tcPr>
          <w:p w:rsidR="00583693" w:rsidRPr="00C537E0" w:rsidRDefault="00174060" w:rsidP="00C537E0">
            <w:pPr>
              <w:widowControl w:val="0"/>
              <w:autoSpaceDE w:val="0"/>
              <w:autoSpaceDN w:val="0"/>
              <w:adjustRightInd w:val="0"/>
              <w:spacing w:after="0"/>
              <w:rPr>
                <w:rFonts w:ascii="Times New Roman" w:eastAsia="MS Mincho" w:hAnsi="Times New Roman" w:cs="Times New Roman"/>
                <w:b/>
                <w:sz w:val="16"/>
                <w:szCs w:val="16"/>
              </w:rPr>
            </w:pPr>
            <w:r>
              <w:rPr>
                <w:rFonts w:ascii="Times New Roman" w:eastAsia="MS Mincho" w:hAnsi="Times New Roman" w:cs="Times New Roman"/>
                <w:b/>
                <w:sz w:val="16"/>
                <w:szCs w:val="16"/>
              </w:rPr>
              <w:t>Mean</w:t>
            </w:r>
          </w:p>
        </w:tc>
        <w:tc>
          <w:tcPr>
            <w:tcW w:w="1495" w:type="dxa"/>
            <w:shd w:val="clear" w:color="auto" w:fill="BFBFBF"/>
            <w:vAlign w:val="center"/>
          </w:tcPr>
          <w:p w:rsidR="00583693" w:rsidRPr="00C537E0" w:rsidRDefault="00583693" w:rsidP="00C537E0">
            <w:pPr>
              <w:widowControl w:val="0"/>
              <w:autoSpaceDE w:val="0"/>
              <w:autoSpaceDN w:val="0"/>
              <w:adjustRightInd w:val="0"/>
              <w:spacing w:after="0"/>
              <w:rPr>
                <w:rFonts w:ascii="Times New Roman" w:eastAsia="MS Mincho" w:hAnsi="Times New Roman" w:cs="Times New Roman"/>
                <w:b/>
                <w:sz w:val="16"/>
                <w:szCs w:val="16"/>
              </w:rPr>
            </w:pPr>
            <w:r w:rsidRPr="00C537E0">
              <w:rPr>
                <w:rFonts w:ascii="Times New Roman" w:eastAsia="MS Mincho" w:hAnsi="Times New Roman" w:cs="Times New Roman"/>
                <w:b/>
                <w:sz w:val="16"/>
                <w:szCs w:val="16"/>
              </w:rPr>
              <w:t>Std. devi</w:t>
            </w:r>
            <w:r w:rsidR="00174060">
              <w:rPr>
                <w:rFonts w:ascii="Times New Roman" w:eastAsia="MS Mincho" w:hAnsi="Times New Roman" w:cs="Times New Roman"/>
                <w:b/>
                <w:sz w:val="16"/>
                <w:szCs w:val="16"/>
              </w:rPr>
              <w:t>ation</w:t>
            </w:r>
          </w:p>
        </w:tc>
        <w:tc>
          <w:tcPr>
            <w:tcW w:w="1401" w:type="dxa"/>
            <w:shd w:val="clear" w:color="auto" w:fill="BFBFBF"/>
            <w:vAlign w:val="center"/>
          </w:tcPr>
          <w:p w:rsidR="00583693" w:rsidRPr="00C537E0" w:rsidRDefault="00174060" w:rsidP="00C537E0">
            <w:pPr>
              <w:widowControl w:val="0"/>
              <w:autoSpaceDE w:val="0"/>
              <w:autoSpaceDN w:val="0"/>
              <w:adjustRightInd w:val="0"/>
              <w:spacing w:after="0"/>
              <w:rPr>
                <w:rFonts w:ascii="Times New Roman" w:eastAsia="MS Mincho" w:hAnsi="Times New Roman" w:cs="Times New Roman"/>
                <w:b/>
                <w:sz w:val="16"/>
                <w:szCs w:val="16"/>
              </w:rPr>
            </w:pPr>
            <w:r>
              <w:rPr>
                <w:rFonts w:ascii="Times New Roman" w:eastAsia="MS Mincho" w:hAnsi="Times New Roman" w:cs="Times New Roman"/>
                <w:b/>
                <w:sz w:val="16"/>
                <w:szCs w:val="16"/>
              </w:rPr>
              <w:t>Max</w:t>
            </w:r>
            <w:r w:rsidR="00583693" w:rsidRPr="00C537E0">
              <w:rPr>
                <w:rFonts w:ascii="Times New Roman" w:eastAsia="MS Mincho" w:hAnsi="Times New Roman" w:cs="Times New Roman"/>
                <w:b/>
                <w:sz w:val="16"/>
                <w:szCs w:val="16"/>
              </w:rPr>
              <w:t>imum</w:t>
            </w:r>
          </w:p>
        </w:tc>
      </w:tr>
      <w:tr w:rsidR="00583693" w:rsidRPr="00C537E0" w:rsidTr="00A8656D">
        <w:trPr>
          <w:trHeight w:val="310"/>
          <w:jc w:val="center"/>
        </w:trPr>
        <w:tc>
          <w:tcPr>
            <w:tcW w:w="2235" w:type="dxa"/>
            <w:vMerge w:val="restart"/>
            <w:shd w:val="clear" w:color="auto" w:fill="BFBFBF"/>
            <w:vAlign w:val="center"/>
          </w:tcPr>
          <w:p w:rsidR="00583693" w:rsidRPr="00C537E0" w:rsidRDefault="00583693" w:rsidP="0029041D">
            <w:pPr>
              <w:widowControl w:val="0"/>
              <w:autoSpaceDE w:val="0"/>
              <w:autoSpaceDN w:val="0"/>
              <w:adjustRightInd w:val="0"/>
              <w:spacing w:after="0"/>
              <w:rPr>
                <w:rFonts w:ascii="Times New Roman" w:eastAsia="MS Mincho" w:hAnsi="Times New Roman" w:cs="Times New Roman"/>
                <w:b/>
                <w:sz w:val="16"/>
                <w:szCs w:val="16"/>
              </w:rPr>
            </w:pPr>
            <w:smartTag w:uri="urn:schemas-microsoft-com:office:smarttags" w:element="stockticker">
              <w:r w:rsidRPr="00C537E0">
                <w:rPr>
                  <w:rFonts w:ascii="Times New Roman" w:eastAsia="MS Mincho" w:hAnsi="Times New Roman" w:cs="Times New Roman"/>
                  <w:b/>
                  <w:sz w:val="16"/>
                  <w:szCs w:val="16"/>
                </w:rPr>
                <w:t>GET</w:t>
              </w:r>
            </w:smartTag>
            <w:r w:rsidR="0029041D">
              <w:rPr>
                <w:rFonts w:ascii="Times New Roman" w:eastAsia="MS Mincho" w:hAnsi="Times New Roman" w:cs="Times New Roman"/>
                <w:b/>
                <w:sz w:val="16"/>
                <w:szCs w:val="16"/>
              </w:rPr>
              <w:t xml:space="preserve"> t</w:t>
            </w:r>
            <w:r w:rsidR="0029041D" w:rsidRPr="00C537E0">
              <w:rPr>
                <w:rFonts w:ascii="Times New Roman" w:eastAsia="MS Mincho" w:hAnsi="Times New Roman" w:cs="Times New Roman"/>
                <w:b/>
                <w:color w:val="000000"/>
                <w:sz w:val="16"/>
                <w:szCs w:val="16"/>
              </w:rPr>
              <w:t>otal</w:t>
            </w:r>
          </w:p>
        </w:tc>
        <w:tc>
          <w:tcPr>
            <w:tcW w:w="1281" w:type="dxa"/>
            <w:shd w:val="clear" w:color="auto" w:fill="auto"/>
          </w:tcPr>
          <w:p w:rsidR="00583693" w:rsidRPr="00C537E0" w:rsidRDefault="0029041D"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control</w:t>
            </w:r>
          </w:p>
        </w:tc>
        <w:tc>
          <w:tcPr>
            <w:tcW w:w="1036"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129</w:t>
            </w:r>
          </w:p>
        </w:tc>
        <w:tc>
          <w:tcPr>
            <w:tcW w:w="1112"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28,8605</w:t>
            </w:r>
          </w:p>
        </w:tc>
        <w:tc>
          <w:tcPr>
            <w:tcW w:w="1495"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6,16789</w:t>
            </w:r>
          </w:p>
        </w:tc>
        <w:tc>
          <w:tcPr>
            <w:tcW w:w="1401"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43,00</w:t>
            </w:r>
          </w:p>
        </w:tc>
      </w:tr>
      <w:tr w:rsidR="00583693" w:rsidRPr="00C537E0" w:rsidTr="00A8656D">
        <w:trPr>
          <w:trHeight w:val="130"/>
          <w:jc w:val="center"/>
        </w:trPr>
        <w:tc>
          <w:tcPr>
            <w:tcW w:w="2235" w:type="dxa"/>
            <w:vMerge/>
            <w:shd w:val="clear" w:color="auto" w:fill="BFBFBF"/>
            <w:vAlign w:val="center"/>
          </w:tcPr>
          <w:p w:rsidR="00583693" w:rsidRPr="00C537E0" w:rsidRDefault="00583693" w:rsidP="00C537E0">
            <w:pPr>
              <w:widowControl w:val="0"/>
              <w:autoSpaceDE w:val="0"/>
              <w:autoSpaceDN w:val="0"/>
              <w:adjustRightInd w:val="0"/>
              <w:spacing w:after="0"/>
              <w:rPr>
                <w:rFonts w:ascii="Times New Roman" w:eastAsia="MS Mincho" w:hAnsi="Times New Roman" w:cs="Times New Roman"/>
                <w:b/>
                <w:sz w:val="16"/>
                <w:szCs w:val="16"/>
              </w:rPr>
            </w:pPr>
          </w:p>
        </w:tc>
        <w:tc>
          <w:tcPr>
            <w:tcW w:w="1281" w:type="dxa"/>
            <w:shd w:val="clear" w:color="auto" w:fill="auto"/>
          </w:tcPr>
          <w:p w:rsidR="00583693" w:rsidRPr="00C537E0" w:rsidRDefault="0029041D"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sportsmen</w:t>
            </w:r>
          </w:p>
        </w:tc>
        <w:tc>
          <w:tcPr>
            <w:tcW w:w="1036"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130</w:t>
            </w:r>
          </w:p>
        </w:tc>
        <w:tc>
          <w:tcPr>
            <w:tcW w:w="1112"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32,0000</w:t>
            </w:r>
          </w:p>
        </w:tc>
        <w:tc>
          <w:tcPr>
            <w:tcW w:w="1495"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5,49418</w:t>
            </w:r>
          </w:p>
        </w:tc>
        <w:tc>
          <w:tcPr>
            <w:tcW w:w="1401"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44,00</w:t>
            </w:r>
          </w:p>
        </w:tc>
      </w:tr>
      <w:tr w:rsidR="00583693" w:rsidRPr="00C537E0" w:rsidTr="00A8656D">
        <w:trPr>
          <w:trHeight w:val="130"/>
          <w:jc w:val="center"/>
        </w:trPr>
        <w:tc>
          <w:tcPr>
            <w:tcW w:w="2235" w:type="dxa"/>
            <w:vMerge/>
            <w:shd w:val="clear" w:color="auto" w:fill="BFBFBF"/>
            <w:vAlign w:val="center"/>
          </w:tcPr>
          <w:p w:rsidR="00583693" w:rsidRPr="00C537E0" w:rsidRDefault="00583693" w:rsidP="00C537E0">
            <w:pPr>
              <w:widowControl w:val="0"/>
              <w:autoSpaceDE w:val="0"/>
              <w:autoSpaceDN w:val="0"/>
              <w:adjustRightInd w:val="0"/>
              <w:spacing w:after="0"/>
              <w:rPr>
                <w:rFonts w:ascii="Times New Roman" w:eastAsia="MS Mincho" w:hAnsi="Times New Roman" w:cs="Times New Roman"/>
                <w:b/>
                <w:sz w:val="16"/>
                <w:szCs w:val="16"/>
              </w:rPr>
            </w:pPr>
          </w:p>
        </w:tc>
        <w:tc>
          <w:tcPr>
            <w:tcW w:w="1281" w:type="dxa"/>
            <w:shd w:val="clear" w:color="auto" w:fill="auto"/>
          </w:tcPr>
          <w:p w:rsidR="00583693" w:rsidRPr="00C537E0" w:rsidRDefault="0029041D"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color w:val="000000"/>
                <w:sz w:val="16"/>
                <w:szCs w:val="16"/>
              </w:rPr>
              <w:t>associations</w:t>
            </w:r>
          </w:p>
        </w:tc>
        <w:tc>
          <w:tcPr>
            <w:tcW w:w="1036"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65</w:t>
            </w:r>
          </w:p>
        </w:tc>
        <w:tc>
          <w:tcPr>
            <w:tcW w:w="1112"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34,2000</w:t>
            </w:r>
          </w:p>
        </w:tc>
        <w:tc>
          <w:tcPr>
            <w:tcW w:w="1495"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6,27047</w:t>
            </w:r>
          </w:p>
        </w:tc>
        <w:tc>
          <w:tcPr>
            <w:tcW w:w="1401"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50,00</w:t>
            </w:r>
          </w:p>
        </w:tc>
      </w:tr>
      <w:tr w:rsidR="00583693" w:rsidRPr="00C537E0" w:rsidTr="00A8656D">
        <w:trPr>
          <w:trHeight w:val="130"/>
          <w:jc w:val="center"/>
        </w:trPr>
        <w:tc>
          <w:tcPr>
            <w:tcW w:w="2235" w:type="dxa"/>
            <w:vMerge/>
            <w:shd w:val="clear" w:color="auto" w:fill="BFBFBF"/>
            <w:vAlign w:val="center"/>
          </w:tcPr>
          <w:p w:rsidR="00583693" w:rsidRPr="00C537E0" w:rsidRDefault="00583693" w:rsidP="00C537E0">
            <w:pPr>
              <w:widowControl w:val="0"/>
              <w:autoSpaceDE w:val="0"/>
              <w:autoSpaceDN w:val="0"/>
              <w:adjustRightInd w:val="0"/>
              <w:spacing w:after="0"/>
              <w:rPr>
                <w:rFonts w:ascii="Times New Roman" w:eastAsia="MS Mincho" w:hAnsi="Times New Roman" w:cs="Times New Roman"/>
                <w:b/>
                <w:sz w:val="16"/>
                <w:szCs w:val="16"/>
              </w:rPr>
            </w:pPr>
          </w:p>
        </w:tc>
        <w:tc>
          <w:tcPr>
            <w:tcW w:w="1281" w:type="dxa"/>
            <w:shd w:val="clear" w:color="auto" w:fill="auto"/>
          </w:tcPr>
          <w:p w:rsidR="00583693" w:rsidRPr="00C537E0" w:rsidRDefault="0029041D"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b/>
                <w:color w:val="000000"/>
                <w:sz w:val="16"/>
                <w:szCs w:val="16"/>
              </w:rPr>
              <w:t>Total</w:t>
            </w:r>
          </w:p>
        </w:tc>
        <w:tc>
          <w:tcPr>
            <w:tcW w:w="1036"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324</w:t>
            </w:r>
          </w:p>
        </w:tc>
        <w:tc>
          <w:tcPr>
            <w:tcW w:w="1112"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31,1914</w:t>
            </w:r>
          </w:p>
        </w:tc>
        <w:tc>
          <w:tcPr>
            <w:tcW w:w="1495"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6,25914</w:t>
            </w:r>
          </w:p>
        </w:tc>
        <w:tc>
          <w:tcPr>
            <w:tcW w:w="1401" w:type="dxa"/>
            <w:shd w:val="clear" w:color="auto" w:fill="auto"/>
          </w:tcPr>
          <w:p w:rsidR="00583693" w:rsidRPr="00C537E0" w:rsidRDefault="00583693" w:rsidP="00C537E0">
            <w:pPr>
              <w:widowControl w:val="0"/>
              <w:autoSpaceDE w:val="0"/>
              <w:autoSpaceDN w:val="0"/>
              <w:adjustRightInd w:val="0"/>
              <w:spacing w:after="0"/>
              <w:rPr>
                <w:rFonts w:ascii="Times New Roman" w:eastAsia="MS Mincho" w:hAnsi="Times New Roman" w:cs="Times New Roman"/>
                <w:sz w:val="16"/>
                <w:szCs w:val="16"/>
              </w:rPr>
            </w:pPr>
            <w:r w:rsidRPr="00C537E0">
              <w:rPr>
                <w:rFonts w:ascii="Times New Roman" w:eastAsia="MS Mincho" w:hAnsi="Times New Roman" w:cs="Times New Roman"/>
                <w:sz w:val="16"/>
                <w:szCs w:val="16"/>
              </w:rPr>
              <w:t>50,00</w:t>
            </w:r>
          </w:p>
        </w:tc>
      </w:tr>
    </w:tbl>
    <w:p w:rsidR="00917C0E" w:rsidRPr="00917C0E" w:rsidRDefault="00917C0E" w:rsidP="00917C0E">
      <w:pPr>
        <w:spacing w:line="240" w:lineRule="auto"/>
        <w:ind w:left="4944" w:firstLine="720"/>
        <w:jc w:val="both"/>
        <w:rPr>
          <w:rFonts w:ascii="Times New Roman" w:hAnsi="Times New Roman" w:cs="Times New Roman"/>
          <w:sz w:val="20"/>
          <w:szCs w:val="20"/>
        </w:rPr>
      </w:pPr>
      <w:r w:rsidRPr="00917C0E">
        <w:rPr>
          <w:rFonts w:ascii="Times New Roman" w:hAnsi="Times New Roman" w:cs="Times New Roman"/>
          <w:sz w:val="20"/>
          <w:szCs w:val="20"/>
        </w:rPr>
        <w:t>(</w:t>
      </w:r>
      <w:r>
        <w:rPr>
          <w:rFonts w:ascii="Times New Roman" w:hAnsi="Times New Roman" w:cs="Times New Roman"/>
          <w:sz w:val="20"/>
          <w:szCs w:val="20"/>
        </w:rPr>
        <w:t xml:space="preserve">Source: </w:t>
      </w:r>
      <w:r w:rsidRPr="00917C0E">
        <w:rPr>
          <w:rFonts w:ascii="Times New Roman" w:hAnsi="Times New Roman" w:cs="Times New Roman"/>
          <w:sz w:val="20"/>
          <w:szCs w:val="20"/>
        </w:rPr>
        <w:t>Sedlan-Kőnig, 2012)</w:t>
      </w:r>
    </w:p>
    <w:p w:rsidR="00583693" w:rsidRDefault="00583693" w:rsidP="00594A8D">
      <w:pPr>
        <w:spacing w:line="240" w:lineRule="auto"/>
        <w:jc w:val="both"/>
        <w:rPr>
          <w:rFonts w:ascii="Times New Roman" w:hAnsi="Times New Roman" w:cs="Times New Roman"/>
          <w:b/>
          <w:sz w:val="24"/>
          <w:szCs w:val="24"/>
        </w:rPr>
      </w:pPr>
    </w:p>
    <w:p w:rsidR="008B6E07" w:rsidRDefault="008B6E07" w:rsidP="00594A8D">
      <w:pPr>
        <w:spacing w:line="240" w:lineRule="auto"/>
        <w:jc w:val="both"/>
        <w:rPr>
          <w:rFonts w:ascii="Times New Roman" w:hAnsi="Times New Roman" w:cs="Times New Roman"/>
          <w:sz w:val="24"/>
          <w:szCs w:val="24"/>
        </w:rPr>
      </w:pPr>
      <w:r>
        <w:rPr>
          <w:rFonts w:ascii="Times New Roman" w:hAnsi="Times New Roman" w:cs="Times New Roman"/>
          <w:sz w:val="24"/>
          <w:szCs w:val="24"/>
        </w:rPr>
        <w:t>A detailed analysis confirms that both, students members of sports clubs, as well as members of stude</w:t>
      </w:r>
      <w:r w:rsidR="004F3B19">
        <w:rPr>
          <w:rFonts w:ascii="Times New Roman" w:hAnsi="Times New Roman" w:cs="Times New Roman"/>
          <w:sz w:val="24"/>
          <w:szCs w:val="24"/>
        </w:rPr>
        <w:t>nts’ associations display a strong</w:t>
      </w:r>
      <w:r>
        <w:rPr>
          <w:rFonts w:ascii="Times New Roman" w:hAnsi="Times New Roman" w:cs="Times New Roman"/>
          <w:sz w:val="24"/>
          <w:szCs w:val="24"/>
        </w:rPr>
        <w:t xml:space="preserve">er </w:t>
      </w:r>
      <w:r w:rsidR="00D03E11">
        <w:rPr>
          <w:rFonts w:ascii="Times New Roman" w:hAnsi="Times New Roman" w:cs="Times New Roman"/>
          <w:sz w:val="24"/>
          <w:szCs w:val="24"/>
        </w:rPr>
        <w:t>propensity for</w:t>
      </w:r>
      <w:r>
        <w:rPr>
          <w:rFonts w:ascii="Times New Roman" w:hAnsi="Times New Roman" w:cs="Times New Roman"/>
          <w:sz w:val="24"/>
          <w:szCs w:val="24"/>
        </w:rPr>
        <w:t xml:space="preserve"> entrepreneurial behavior than students non</w:t>
      </w:r>
      <w:r w:rsidR="004F3B19">
        <w:rPr>
          <w:rFonts w:ascii="Times New Roman" w:hAnsi="Times New Roman" w:cs="Times New Roman"/>
          <w:sz w:val="24"/>
          <w:szCs w:val="24"/>
        </w:rPr>
        <w:t>-</w:t>
      </w:r>
      <w:r>
        <w:rPr>
          <w:rFonts w:ascii="Times New Roman" w:hAnsi="Times New Roman" w:cs="Times New Roman"/>
          <w:sz w:val="24"/>
          <w:szCs w:val="24"/>
        </w:rPr>
        <w:t>members. Almost in all aspects, students who are members of students’ associations display the highest results of all. Therefore, both Hypothesis 1 and 2 are confirmed.</w:t>
      </w:r>
    </w:p>
    <w:p w:rsidR="002C5B53" w:rsidRPr="008B6E07" w:rsidRDefault="002C5B53" w:rsidP="00594A8D">
      <w:pPr>
        <w:spacing w:line="240" w:lineRule="auto"/>
        <w:jc w:val="both"/>
        <w:rPr>
          <w:rFonts w:ascii="Times New Roman" w:hAnsi="Times New Roman" w:cs="Times New Roman"/>
          <w:sz w:val="24"/>
          <w:szCs w:val="24"/>
        </w:rPr>
      </w:pPr>
    </w:p>
    <w:p w:rsidR="00824F63" w:rsidRDefault="00A14C28" w:rsidP="00594A8D">
      <w:pPr>
        <w:spacing w:line="240" w:lineRule="auto"/>
        <w:jc w:val="both"/>
        <w:rPr>
          <w:rFonts w:ascii="Times New Roman" w:hAnsi="Times New Roman" w:cs="Times New Roman"/>
          <w:b/>
          <w:sz w:val="24"/>
          <w:szCs w:val="24"/>
        </w:rPr>
      </w:pPr>
      <w:r w:rsidRPr="00C537E0">
        <w:rPr>
          <w:rFonts w:ascii="Times New Roman" w:hAnsi="Times New Roman" w:cs="Times New Roman"/>
          <w:b/>
          <w:sz w:val="24"/>
          <w:szCs w:val="24"/>
        </w:rPr>
        <w:t xml:space="preserve">5. </w:t>
      </w:r>
      <w:r w:rsidR="00824F63" w:rsidRPr="00C537E0">
        <w:rPr>
          <w:rFonts w:ascii="Times New Roman" w:hAnsi="Times New Roman" w:cs="Times New Roman"/>
          <w:b/>
          <w:sz w:val="24"/>
          <w:szCs w:val="24"/>
        </w:rPr>
        <w:t>Discussion</w:t>
      </w:r>
      <w:r w:rsidRPr="00C537E0">
        <w:rPr>
          <w:rFonts w:ascii="Times New Roman" w:hAnsi="Times New Roman" w:cs="Times New Roman"/>
          <w:b/>
          <w:sz w:val="24"/>
          <w:szCs w:val="24"/>
        </w:rPr>
        <w:t xml:space="preserve"> and implications</w:t>
      </w:r>
    </w:p>
    <w:p w:rsidR="008F6478" w:rsidRDefault="00C53601" w:rsidP="00594A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results prove that students who do sports as well as those who are members of students’ associations, in other words students who are active in communities of practice, demonstrate a stronger propensity for entrepreneurial behavior and a higher probability of starting their own business than students who lack the experience of participating in communities of practice. Hence, it can be </w:t>
      </w:r>
      <w:r w:rsidR="008F6478">
        <w:rPr>
          <w:rFonts w:ascii="Times New Roman" w:hAnsi="Times New Roman" w:cs="Times New Roman"/>
          <w:sz w:val="24"/>
          <w:szCs w:val="24"/>
        </w:rPr>
        <w:t>concluded that communities of practice have a positive influence on propensity for entrepreneurial behavior and probability of starting own busin</w:t>
      </w:r>
      <w:r w:rsidR="0036312B">
        <w:rPr>
          <w:rFonts w:ascii="Times New Roman" w:hAnsi="Times New Roman" w:cs="Times New Roman"/>
          <w:sz w:val="24"/>
          <w:szCs w:val="24"/>
        </w:rPr>
        <w:t>ess. In entrepreneurial education</w:t>
      </w:r>
      <w:r w:rsidR="008F6478">
        <w:rPr>
          <w:rFonts w:ascii="Times New Roman" w:hAnsi="Times New Roman" w:cs="Times New Roman"/>
          <w:sz w:val="24"/>
          <w:szCs w:val="24"/>
        </w:rPr>
        <w:t xml:space="preserve"> </w:t>
      </w:r>
      <w:r w:rsidR="0036312B">
        <w:rPr>
          <w:rFonts w:ascii="Times New Roman" w:hAnsi="Times New Roman" w:cs="Times New Roman"/>
          <w:sz w:val="24"/>
          <w:szCs w:val="24"/>
        </w:rPr>
        <w:t>w</w:t>
      </w:r>
      <w:r w:rsidR="008F6478">
        <w:rPr>
          <w:rFonts w:ascii="Times New Roman" w:hAnsi="Times New Roman" w:cs="Times New Roman"/>
          <w:sz w:val="24"/>
          <w:szCs w:val="24"/>
        </w:rPr>
        <w:t>h</w:t>
      </w:r>
      <w:r w:rsidR="0036312B">
        <w:rPr>
          <w:rFonts w:ascii="Times New Roman" w:hAnsi="Times New Roman" w:cs="Times New Roman"/>
          <w:sz w:val="24"/>
          <w:szCs w:val="24"/>
        </w:rPr>
        <w:t>ere</w:t>
      </w:r>
      <w:r w:rsidR="008F6478">
        <w:rPr>
          <w:rFonts w:ascii="Times New Roman" w:hAnsi="Times New Roman" w:cs="Times New Roman"/>
          <w:sz w:val="24"/>
          <w:szCs w:val="24"/>
        </w:rPr>
        <w:t xml:space="preserve"> the expected outcome is the development of entrepreneurial competences and consequently behavior, it is essential to encourage students to participate in some sort of communities of practice. </w:t>
      </w:r>
    </w:p>
    <w:p w:rsidR="006B13E7" w:rsidRDefault="008F6478" w:rsidP="003631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university </w:t>
      </w:r>
      <w:r w:rsidR="0036312B">
        <w:rPr>
          <w:rFonts w:ascii="Times New Roman" w:hAnsi="Times New Roman" w:cs="Times New Roman"/>
          <w:sz w:val="24"/>
          <w:szCs w:val="24"/>
        </w:rPr>
        <w:t xml:space="preserve">teaching </w:t>
      </w:r>
      <w:r w:rsidR="001322DC">
        <w:rPr>
          <w:rFonts w:ascii="Times New Roman" w:hAnsi="Times New Roman" w:cs="Times New Roman"/>
          <w:sz w:val="24"/>
          <w:szCs w:val="24"/>
        </w:rPr>
        <w:t>contributes only slightly to the development of entrepreneurial competences. According to the results of this research, communities of practice have a more significant function in that. As it was elaborated e</w:t>
      </w:r>
      <w:r w:rsidR="0036312B">
        <w:rPr>
          <w:rFonts w:ascii="Times New Roman" w:hAnsi="Times New Roman" w:cs="Times New Roman"/>
          <w:sz w:val="24"/>
          <w:szCs w:val="24"/>
        </w:rPr>
        <w:t>arlier, firsthand experience has</w:t>
      </w:r>
      <w:r w:rsidR="001322DC">
        <w:rPr>
          <w:rFonts w:ascii="Times New Roman" w:hAnsi="Times New Roman" w:cs="Times New Roman"/>
          <w:sz w:val="24"/>
          <w:szCs w:val="24"/>
        </w:rPr>
        <w:t xml:space="preserve"> the most powerful influence on the development of entrepreneurial behavior. Therefore it is desirable to initiate more practical activities into the formal education at the university with the aim of </w:t>
      </w:r>
      <w:r w:rsidR="006B13E7">
        <w:rPr>
          <w:rFonts w:ascii="Times New Roman" w:hAnsi="Times New Roman" w:cs="Times New Roman"/>
          <w:sz w:val="24"/>
          <w:szCs w:val="24"/>
        </w:rPr>
        <w:t>exercis</w:t>
      </w:r>
      <w:r w:rsidR="001322DC">
        <w:rPr>
          <w:rFonts w:ascii="Times New Roman" w:hAnsi="Times New Roman" w:cs="Times New Roman"/>
          <w:sz w:val="24"/>
          <w:szCs w:val="24"/>
        </w:rPr>
        <w:t xml:space="preserve">ing a </w:t>
      </w:r>
      <w:r w:rsidR="006B13E7">
        <w:rPr>
          <w:rFonts w:ascii="Times New Roman" w:hAnsi="Times New Roman" w:cs="Times New Roman"/>
          <w:sz w:val="24"/>
          <w:szCs w:val="24"/>
        </w:rPr>
        <w:t>stronger influence on the development of entrepreneurial behavior</w:t>
      </w:r>
      <w:r w:rsidR="001322DC">
        <w:rPr>
          <w:rFonts w:ascii="Times New Roman" w:hAnsi="Times New Roman" w:cs="Times New Roman"/>
          <w:sz w:val="24"/>
          <w:szCs w:val="24"/>
        </w:rPr>
        <w:t xml:space="preserve">. </w:t>
      </w:r>
      <w:r w:rsidR="006B13E7" w:rsidRPr="00C537E0">
        <w:rPr>
          <w:rFonts w:ascii="Times New Roman" w:hAnsi="Times New Roman" w:cs="Times New Roman"/>
          <w:sz w:val="24"/>
          <w:szCs w:val="24"/>
        </w:rPr>
        <w:t>It i</w:t>
      </w:r>
      <w:r w:rsidR="002C5B53">
        <w:rPr>
          <w:rFonts w:ascii="Times New Roman" w:hAnsi="Times New Roman" w:cs="Times New Roman"/>
          <w:sz w:val="24"/>
          <w:szCs w:val="24"/>
        </w:rPr>
        <w:t>s also necessary to consider</w:t>
      </w:r>
      <w:r w:rsidR="006B13E7" w:rsidRPr="00C537E0">
        <w:rPr>
          <w:rFonts w:ascii="Times New Roman" w:hAnsi="Times New Roman" w:cs="Times New Roman"/>
          <w:sz w:val="24"/>
          <w:szCs w:val="24"/>
        </w:rPr>
        <w:t xml:space="preserve"> ways of using the potential of firsthand experience for the development of </w:t>
      </w:r>
      <w:r w:rsidR="006B13E7" w:rsidRPr="00C537E0">
        <w:rPr>
          <w:rFonts w:ascii="Times New Roman" w:hAnsi="Times New Roman" w:cs="Times New Roman"/>
          <w:sz w:val="24"/>
          <w:szCs w:val="24"/>
        </w:rPr>
        <w:lastRenderedPageBreak/>
        <w:t xml:space="preserve">entrepreneurial behavior through supplementing university courses with some forms of communities of practice. </w:t>
      </w:r>
    </w:p>
    <w:p w:rsidR="002C5B53" w:rsidRPr="00C537E0" w:rsidRDefault="002C5B53" w:rsidP="0036312B">
      <w:pPr>
        <w:spacing w:line="240" w:lineRule="auto"/>
        <w:jc w:val="both"/>
        <w:rPr>
          <w:rFonts w:ascii="Times New Roman" w:hAnsi="Times New Roman" w:cs="Times New Roman"/>
          <w:sz w:val="24"/>
          <w:szCs w:val="24"/>
        </w:rPr>
      </w:pPr>
    </w:p>
    <w:p w:rsidR="00A14C28" w:rsidRPr="00C537E0" w:rsidRDefault="00A14C28" w:rsidP="00594A8D">
      <w:pPr>
        <w:spacing w:line="240" w:lineRule="auto"/>
        <w:jc w:val="both"/>
        <w:rPr>
          <w:rFonts w:ascii="Times New Roman" w:hAnsi="Times New Roman" w:cs="Times New Roman"/>
          <w:b/>
          <w:sz w:val="24"/>
          <w:szCs w:val="24"/>
        </w:rPr>
      </w:pPr>
      <w:r w:rsidRPr="00C537E0">
        <w:rPr>
          <w:rFonts w:ascii="Times New Roman" w:hAnsi="Times New Roman" w:cs="Times New Roman"/>
          <w:b/>
          <w:sz w:val="24"/>
          <w:szCs w:val="24"/>
        </w:rPr>
        <w:t>6. Conclusion</w:t>
      </w:r>
    </w:p>
    <w:p w:rsidR="006B13E7" w:rsidRDefault="006B13E7" w:rsidP="006B13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Universities are </w:t>
      </w:r>
      <w:r w:rsidR="00824F63" w:rsidRPr="00C537E0">
        <w:rPr>
          <w:rFonts w:ascii="Times New Roman" w:hAnsi="Times New Roman" w:cs="Times New Roman"/>
          <w:sz w:val="24"/>
          <w:szCs w:val="24"/>
        </w:rPr>
        <w:t xml:space="preserve">very traditional and change-resistant  institutions that have to realize the opportunities of influencing </w:t>
      </w:r>
      <w:r>
        <w:rPr>
          <w:rFonts w:ascii="Times New Roman" w:hAnsi="Times New Roman" w:cs="Times New Roman"/>
          <w:sz w:val="24"/>
          <w:szCs w:val="24"/>
        </w:rPr>
        <w:t>and developing entrepreneurial competencies and behavior</w:t>
      </w:r>
      <w:r w:rsidR="00824F63" w:rsidRPr="00C537E0">
        <w:rPr>
          <w:rFonts w:ascii="Times New Roman" w:hAnsi="Times New Roman" w:cs="Times New Roman"/>
          <w:sz w:val="24"/>
          <w:szCs w:val="24"/>
        </w:rPr>
        <w:t>. The findings of the study provide evidence that the university environment gives weak encouragement and support</w:t>
      </w:r>
      <w:r>
        <w:rPr>
          <w:rFonts w:ascii="Times New Roman" w:hAnsi="Times New Roman" w:cs="Times New Roman"/>
          <w:sz w:val="24"/>
          <w:szCs w:val="24"/>
        </w:rPr>
        <w:t xml:space="preserve"> to that goal</w:t>
      </w:r>
      <w:r w:rsidR="00824F63" w:rsidRPr="00C537E0">
        <w:rPr>
          <w:rFonts w:ascii="Times New Roman" w:hAnsi="Times New Roman" w:cs="Times New Roman"/>
          <w:sz w:val="24"/>
          <w:szCs w:val="24"/>
        </w:rPr>
        <w:t xml:space="preserve">. University programs in general are traditionally un-entrepreneurial, and oriented toward supplying knowledge </w:t>
      </w:r>
      <w:r w:rsidR="00824F63" w:rsidRPr="002C5B53">
        <w:rPr>
          <w:rFonts w:ascii="Times New Roman" w:hAnsi="Times New Roman" w:cs="Times New Roman"/>
          <w:sz w:val="24"/>
          <w:szCs w:val="24"/>
          <w:u w:val="single"/>
        </w:rPr>
        <w:t xml:space="preserve">about </w:t>
      </w:r>
      <w:r w:rsidR="00824F63" w:rsidRPr="00C537E0">
        <w:rPr>
          <w:rFonts w:ascii="Times New Roman" w:hAnsi="Times New Roman" w:cs="Times New Roman"/>
          <w:sz w:val="24"/>
          <w:szCs w:val="24"/>
        </w:rPr>
        <w:t>entrepreneurship</w:t>
      </w:r>
      <w:r w:rsidR="002C5B53">
        <w:rPr>
          <w:rFonts w:ascii="Times New Roman" w:hAnsi="Times New Roman" w:cs="Times New Roman"/>
          <w:sz w:val="24"/>
          <w:szCs w:val="24"/>
        </w:rPr>
        <w:t>,</w:t>
      </w:r>
      <w:r w:rsidR="00824F63" w:rsidRPr="00C537E0">
        <w:rPr>
          <w:rFonts w:ascii="Times New Roman" w:hAnsi="Times New Roman" w:cs="Times New Roman"/>
          <w:sz w:val="24"/>
          <w:szCs w:val="24"/>
        </w:rPr>
        <w:t xml:space="preserve"> not </w:t>
      </w:r>
      <w:r w:rsidR="00824F63" w:rsidRPr="002C5B53">
        <w:rPr>
          <w:rFonts w:ascii="Times New Roman" w:hAnsi="Times New Roman" w:cs="Times New Roman"/>
          <w:sz w:val="24"/>
          <w:szCs w:val="24"/>
          <w:u w:val="single"/>
        </w:rPr>
        <w:t xml:space="preserve">for </w:t>
      </w:r>
      <w:r w:rsidR="00824F63" w:rsidRPr="00C537E0">
        <w:rPr>
          <w:rFonts w:ascii="Times New Roman" w:hAnsi="Times New Roman" w:cs="Times New Roman"/>
          <w:sz w:val="24"/>
          <w:szCs w:val="24"/>
        </w:rPr>
        <w:t>entrepreneurship.</w:t>
      </w:r>
      <w:r>
        <w:rPr>
          <w:rFonts w:ascii="Times New Roman" w:hAnsi="Times New Roman" w:cs="Times New Roman"/>
          <w:sz w:val="24"/>
          <w:szCs w:val="24"/>
        </w:rPr>
        <w:t xml:space="preserve"> </w:t>
      </w:r>
      <w:r w:rsidR="00824F63" w:rsidRPr="006B13E7">
        <w:rPr>
          <w:rFonts w:ascii="Times New Roman" w:hAnsi="Times New Roman" w:cs="Times New Roman"/>
          <w:sz w:val="24"/>
          <w:szCs w:val="24"/>
        </w:rPr>
        <w:t xml:space="preserve">Therefore, it is important that universities  apply a number of different strategies to stimulate  </w:t>
      </w:r>
      <w:r>
        <w:rPr>
          <w:rFonts w:ascii="Times New Roman" w:hAnsi="Times New Roman" w:cs="Times New Roman"/>
          <w:sz w:val="24"/>
          <w:szCs w:val="24"/>
        </w:rPr>
        <w:t xml:space="preserve">the development of entrepreneurial potential. One of the ways is by employing communities of practice as a supplement to traditional teaching practices. </w:t>
      </w:r>
    </w:p>
    <w:p w:rsidR="00824F63" w:rsidRPr="00C537E0" w:rsidRDefault="00824F63" w:rsidP="00594A8D">
      <w:pPr>
        <w:spacing w:line="240" w:lineRule="auto"/>
        <w:jc w:val="both"/>
        <w:rPr>
          <w:rFonts w:ascii="Times New Roman" w:hAnsi="Times New Roman" w:cs="Times New Roman"/>
          <w:sz w:val="24"/>
          <w:szCs w:val="24"/>
        </w:rPr>
      </w:pPr>
    </w:p>
    <w:p w:rsidR="00824F63" w:rsidRPr="00C537E0" w:rsidRDefault="000A20C8" w:rsidP="00EE3C99">
      <w:pPr>
        <w:spacing w:line="240" w:lineRule="auto"/>
        <w:jc w:val="center"/>
        <w:rPr>
          <w:rFonts w:ascii="Times New Roman" w:hAnsi="Times New Roman" w:cs="Times New Roman"/>
          <w:b/>
          <w:sz w:val="24"/>
          <w:szCs w:val="24"/>
        </w:rPr>
      </w:pPr>
      <w:r w:rsidRPr="00C537E0">
        <w:rPr>
          <w:rFonts w:ascii="Times New Roman" w:hAnsi="Times New Roman" w:cs="Times New Roman"/>
          <w:b/>
          <w:sz w:val="24"/>
          <w:szCs w:val="24"/>
        </w:rPr>
        <w:t>REFERENCES</w:t>
      </w:r>
    </w:p>
    <w:p w:rsidR="00B82AB6" w:rsidRPr="00B82AB6" w:rsidRDefault="00B82AB6" w:rsidP="009169C1">
      <w:pPr>
        <w:jc w:val="both"/>
        <w:rPr>
          <w:rFonts w:ascii="Times New Roman" w:hAnsi="Times New Roman" w:cs="Times New Roman"/>
          <w:sz w:val="24"/>
          <w:szCs w:val="24"/>
        </w:rPr>
      </w:pPr>
      <w:r w:rsidRPr="00B82AB6">
        <w:rPr>
          <w:rFonts w:ascii="Times New Roman" w:hAnsi="Times New Roman" w:cs="Times New Roman"/>
          <w:sz w:val="24"/>
          <w:szCs w:val="24"/>
        </w:rPr>
        <w:t xml:space="preserve">Bird, B.J. (1988): </w:t>
      </w:r>
      <w:r w:rsidRPr="00B82AB6">
        <w:rPr>
          <w:rFonts w:ascii="Times New Roman" w:hAnsi="Times New Roman" w:cs="Times New Roman"/>
          <w:b/>
          <w:i/>
          <w:sz w:val="24"/>
          <w:szCs w:val="24"/>
        </w:rPr>
        <w:t>Implementing entrepreneurial ideas: The case for intention</w:t>
      </w:r>
      <w:r>
        <w:rPr>
          <w:rFonts w:ascii="Times New Roman" w:hAnsi="Times New Roman" w:cs="Times New Roman"/>
          <w:b/>
          <w:i/>
          <w:sz w:val="24"/>
          <w:szCs w:val="24"/>
        </w:rPr>
        <w:t xml:space="preserve">, </w:t>
      </w:r>
      <w:r w:rsidRPr="00B82AB6">
        <w:rPr>
          <w:rFonts w:ascii="Times New Roman" w:hAnsi="Times New Roman" w:cs="Times New Roman"/>
          <w:sz w:val="24"/>
          <w:szCs w:val="24"/>
        </w:rPr>
        <w:t>Academy of Management Review</w:t>
      </w:r>
      <w:r>
        <w:rPr>
          <w:rFonts w:ascii="Times New Roman" w:hAnsi="Times New Roman" w:cs="Times New Roman"/>
          <w:sz w:val="24"/>
          <w:szCs w:val="24"/>
        </w:rPr>
        <w:t>.</w:t>
      </w:r>
      <w:r w:rsidR="00180FFA">
        <w:rPr>
          <w:rFonts w:ascii="Times New Roman" w:hAnsi="Times New Roman" w:cs="Times New Roman"/>
          <w:sz w:val="24"/>
          <w:szCs w:val="24"/>
        </w:rPr>
        <w:t>Vol.</w:t>
      </w:r>
      <w:r w:rsidRPr="00B82AB6">
        <w:rPr>
          <w:rFonts w:ascii="Times New Roman" w:hAnsi="Times New Roman" w:cs="Times New Roman"/>
          <w:sz w:val="24"/>
          <w:szCs w:val="24"/>
        </w:rPr>
        <w:t xml:space="preserve">13, </w:t>
      </w:r>
      <w:r w:rsidR="00180FFA">
        <w:rPr>
          <w:rFonts w:ascii="Times New Roman" w:hAnsi="Times New Roman" w:cs="Times New Roman"/>
          <w:sz w:val="24"/>
          <w:szCs w:val="24"/>
        </w:rPr>
        <w:t xml:space="preserve">No.2 </w:t>
      </w:r>
      <w:r>
        <w:rPr>
          <w:rFonts w:ascii="Times New Roman" w:hAnsi="Times New Roman" w:cs="Times New Roman"/>
          <w:sz w:val="24"/>
          <w:szCs w:val="24"/>
        </w:rPr>
        <w:t>pp</w:t>
      </w:r>
      <w:r w:rsidRPr="00B82AB6">
        <w:rPr>
          <w:rFonts w:ascii="Times New Roman" w:hAnsi="Times New Roman" w:cs="Times New Roman"/>
          <w:sz w:val="24"/>
          <w:szCs w:val="24"/>
        </w:rPr>
        <w:t>. 442-453.</w:t>
      </w:r>
    </w:p>
    <w:p w:rsidR="00823269" w:rsidRPr="00C537E0" w:rsidRDefault="00823269" w:rsidP="009169C1">
      <w:pPr>
        <w:jc w:val="both"/>
        <w:rPr>
          <w:rFonts w:ascii="Times New Roman" w:hAnsi="Times New Roman" w:cs="Times New Roman"/>
          <w:sz w:val="24"/>
          <w:szCs w:val="24"/>
        </w:rPr>
      </w:pPr>
      <w:r w:rsidRPr="00C537E0">
        <w:rPr>
          <w:rFonts w:ascii="Times New Roman" w:hAnsi="Times New Roman" w:cs="Times New Roman"/>
          <w:sz w:val="24"/>
          <w:szCs w:val="24"/>
        </w:rPr>
        <w:t xml:space="preserve">Bygrave, H. (1991): </w:t>
      </w:r>
      <w:r w:rsidRPr="00C537E0">
        <w:rPr>
          <w:rFonts w:ascii="Times New Roman" w:hAnsi="Times New Roman" w:cs="Times New Roman"/>
          <w:b/>
          <w:i/>
          <w:sz w:val="24"/>
          <w:szCs w:val="24"/>
        </w:rPr>
        <w:t xml:space="preserve">Theorizing About Entrepreneurship, </w:t>
      </w:r>
      <w:r w:rsidRPr="00C537E0">
        <w:rPr>
          <w:rFonts w:ascii="Times New Roman" w:hAnsi="Times New Roman" w:cs="Times New Roman"/>
          <w:sz w:val="24"/>
          <w:szCs w:val="24"/>
        </w:rPr>
        <w:t>Entrepreneu</w:t>
      </w:r>
      <w:r w:rsidR="00180FFA">
        <w:rPr>
          <w:rFonts w:ascii="Times New Roman" w:hAnsi="Times New Roman" w:cs="Times New Roman"/>
          <w:sz w:val="24"/>
          <w:szCs w:val="24"/>
        </w:rPr>
        <w:t>rship Theory and Practice Vol. 15</w:t>
      </w:r>
      <w:r w:rsidRPr="00C537E0">
        <w:rPr>
          <w:rFonts w:ascii="Times New Roman" w:hAnsi="Times New Roman" w:cs="Times New Roman"/>
          <w:sz w:val="24"/>
          <w:szCs w:val="24"/>
        </w:rPr>
        <w:t>, No. 3. pp. 27-32.</w:t>
      </w:r>
    </w:p>
    <w:p w:rsidR="00312B8F" w:rsidRPr="00C537E0" w:rsidRDefault="00312B8F" w:rsidP="009169C1">
      <w:pPr>
        <w:jc w:val="both"/>
        <w:rPr>
          <w:rFonts w:ascii="Times New Roman" w:hAnsi="Times New Roman" w:cs="Times New Roman"/>
          <w:sz w:val="24"/>
          <w:szCs w:val="24"/>
        </w:rPr>
      </w:pPr>
      <w:r w:rsidRPr="00C537E0">
        <w:rPr>
          <w:rFonts w:ascii="Times New Roman" w:hAnsi="Times New Roman" w:cs="Times New Roman"/>
          <w:sz w:val="24"/>
          <w:szCs w:val="24"/>
        </w:rPr>
        <w:t xml:space="preserve">Caird, S. (1991): </w:t>
      </w:r>
      <w:r w:rsidRPr="00C537E0">
        <w:rPr>
          <w:rFonts w:ascii="Times New Roman" w:hAnsi="Times New Roman" w:cs="Times New Roman"/>
          <w:b/>
          <w:i/>
          <w:sz w:val="24"/>
          <w:szCs w:val="24"/>
        </w:rPr>
        <w:t xml:space="preserve">Testing Enterprising Tendency in Occupational Groups, </w:t>
      </w:r>
      <w:r w:rsidRPr="00C537E0">
        <w:rPr>
          <w:rFonts w:ascii="Times New Roman" w:hAnsi="Times New Roman" w:cs="Times New Roman"/>
          <w:sz w:val="24"/>
          <w:szCs w:val="24"/>
        </w:rPr>
        <w:t xml:space="preserve">British Journal of Management </w:t>
      </w:r>
      <w:r w:rsidR="00180FFA">
        <w:rPr>
          <w:rFonts w:ascii="Times New Roman" w:hAnsi="Times New Roman" w:cs="Times New Roman"/>
          <w:sz w:val="24"/>
          <w:szCs w:val="24"/>
        </w:rPr>
        <w:t xml:space="preserve">Vol. 2, </w:t>
      </w:r>
      <w:r w:rsidRPr="00C537E0">
        <w:rPr>
          <w:rFonts w:ascii="Times New Roman" w:hAnsi="Times New Roman" w:cs="Times New Roman"/>
          <w:sz w:val="24"/>
          <w:szCs w:val="24"/>
        </w:rPr>
        <w:t>No.2, pp. 177-186.</w:t>
      </w:r>
    </w:p>
    <w:p w:rsidR="00F70585" w:rsidRPr="00C537E0" w:rsidRDefault="00F70585" w:rsidP="009169C1">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t xml:space="preserve">Drucker, P. (1985): </w:t>
      </w:r>
      <w:r w:rsidRPr="00C537E0">
        <w:rPr>
          <w:rFonts w:ascii="Times New Roman" w:hAnsi="Times New Roman" w:cs="Times New Roman"/>
          <w:b/>
          <w:i/>
          <w:iCs/>
          <w:sz w:val="24"/>
          <w:szCs w:val="24"/>
        </w:rPr>
        <w:t>Innovation and Entrepreneurship</w:t>
      </w:r>
      <w:r w:rsidRPr="00C537E0">
        <w:rPr>
          <w:rFonts w:ascii="Times New Roman" w:hAnsi="Times New Roman" w:cs="Times New Roman"/>
          <w:sz w:val="24"/>
          <w:szCs w:val="24"/>
        </w:rPr>
        <w:t xml:space="preserve">, Harper and Row Publishers, Inc. </w:t>
      </w:r>
      <w:r w:rsidR="001020C3">
        <w:rPr>
          <w:rFonts w:ascii="Times New Roman" w:hAnsi="Times New Roman" w:cs="Times New Roman"/>
          <w:sz w:val="24"/>
          <w:szCs w:val="24"/>
        </w:rPr>
        <w:t>New York</w:t>
      </w:r>
    </w:p>
    <w:p w:rsidR="00D97DC5" w:rsidRPr="00C537E0" w:rsidRDefault="00D97DC5" w:rsidP="009169C1">
      <w:pPr>
        <w:jc w:val="both"/>
        <w:rPr>
          <w:rFonts w:ascii="Times New Roman" w:hAnsi="Times New Roman" w:cs="Times New Roman"/>
          <w:b/>
          <w:i/>
          <w:sz w:val="24"/>
          <w:szCs w:val="24"/>
        </w:rPr>
      </w:pPr>
      <w:r w:rsidRPr="00C537E0">
        <w:rPr>
          <w:rFonts w:ascii="Times New Roman" w:hAnsi="Times New Roman" w:cs="Times New Roman"/>
          <w:sz w:val="24"/>
          <w:szCs w:val="24"/>
        </w:rPr>
        <w:t>Gibb. A.A. (1993)</w:t>
      </w:r>
      <w:r w:rsidR="00823269" w:rsidRPr="00C537E0">
        <w:rPr>
          <w:rFonts w:ascii="Times New Roman" w:hAnsi="Times New Roman" w:cs="Times New Roman"/>
          <w:sz w:val="24"/>
          <w:szCs w:val="24"/>
        </w:rPr>
        <w:t>:</w:t>
      </w:r>
      <w:r w:rsidRPr="00C537E0">
        <w:rPr>
          <w:rFonts w:ascii="Times New Roman" w:hAnsi="Times New Roman" w:cs="Times New Roman"/>
          <w:sz w:val="24"/>
          <w:szCs w:val="24"/>
        </w:rPr>
        <w:t xml:space="preserve"> </w:t>
      </w:r>
      <w:r w:rsidRPr="00C537E0">
        <w:rPr>
          <w:rFonts w:ascii="Times New Roman" w:hAnsi="Times New Roman" w:cs="Times New Roman"/>
          <w:b/>
          <w:i/>
          <w:sz w:val="24"/>
          <w:szCs w:val="24"/>
        </w:rPr>
        <w:t>The enterprise culture and education: Understanding education and its links with small business, entrepreneurship and wider education goals</w:t>
      </w:r>
      <w:r w:rsidRPr="00C537E0">
        <w:rPr>
          <w:rFonts w:ascii="Times New Roman" w:hAnsi="Times New Roman" w:cs="Times New Roman"/>
          <w:sz w:val="24"/>
          <w:szCs w:val="24"/>
        </w:rPr>
        <w:t xml:space="preserve">, International Small Business Journal, Vol.11, No. 3, pp. </w:t>
      </w:r>
      <w:r w:rsidRPr="00C537E0">
        <w:rPr>
          <w:rFonts w:ascii="Times New Roman" w:hAnsi="Times New Roman" w:cs="Times New Roman"/>
          <w:b/>
          <w:i/>
          <w:sz w:val="24"/>
          <w:szCs w:val="24"/>
        </w:rPr>
        <w:t>11-34.</w:t>
      </w:r>
    </w:p>
    <w:p w:rsidR="00D97DC5" w:rsidRPr="00C537E0" w:rsidRDefault="00D97DC5" w:rsidP="009169C1">
      <w:pPr>
        <w:jc w:val="both"/>
        <w:rPr>
          <w:rFonts w:ascii="Times New Roman" w:hAnsi="Times New Roman" w:cs="Times New Roman"/>
          <w:sz w:val="24"/>
          <w:szCs w:val="24"/>
        </w:rPr>
      </w:pPr>
      <w:r w:rsidRPr="00C537E0">
        <w:rPr>
          <w:rFonts w:ascii="Times New Roman" w:hAnsi="Times New Roman" w:cs="Times New Roman"/>
          <w:sz w:val="24"/>
          <w:szCs w:val="24"/>
        </w:rPr>
        <w:t>Gibb, A.A. (1996)</w:t>
      </w:r>
      <w:r w:rsidR="00823269" w:rsidRPr="00C537E0">
        <w:rPr>
          <w:rFonts w:ascii="Times New Roman" w:hAnsi="Times New Roman" w:cs="Times New Roman"/>
          <w:sz w:val="24"/>
          <w:szCs w:val="24"/>
        </w:rPr>
        <w:t>:</w:t>
      </w:r>
      <w:r w:rsidRPr="00C537E0">
        <w:rPr>
          <w:rFonts w:ascii="Times New Roman" w:hAnsi="Times New Roman" w:cs="Times New Roman"/>
          <w:b/>
          <w:i/>
          <w:sz w:val="24"/>
          <w:szCs w:val="24"/>
        </w:rPr>
        <w:t xml:space="preserve"> Entrepreneurship and small business management: Can we afford to neglect them in the 21st century business school?</w:t>
      </w:r>
      <w:r w:rsidRPr="00C537E0">
        <w:rPr>
          <w:rFonts w:ascii="Times New Roman" w:hAnsi="Times New Roman" w:cs="Times New Roman"/>
          <w:sz w:val="24"/>
          <w:szCs w:val="24"/>
        </w:rPr>
        <w:t xml:space="preserve"> British Journal of Management, Vol. 7, </w:t>
      </w:r>
      <w:r w:rsidR="00AB009E" w:rsidRPr="00C537E0">
        <w:rPr>
          <w:rFonts w:ascii="Times New Roman" w:hAnsi="Times New Roman" w:cs="Times New Roman"/>
          <w:sz w:val="24"/>
          <w:szCs w:val="24"/>
        </w:rPr>
        <w:t xml:space="preserve">No 4. </w:t>
      </w:r>
      <w:r w:rsidRPr="00C537E0">
        <w:rPr>
          <w:rFonts w:ascii="Times New Roman" w:hAnsi="Times New Roman" w:cs="Times New Roman"/>
          <w:sz w:val="24"/>
          <w:szCs w:val="24"/>
        </w:rPr>
        <w:t xml:space="preserve">pp. 309-321. </w:t>
      </w:r>
    </w:p>
    <w:p w:rsidR="00517583" w:rsidRPr="00C537E0" w:rsidRDefault="00517583" w:rsidP="009169C1">
      <w:pPr>
        <w:jc w:val="both"/>
        <w:rPr>
          <w:rFonts w:ascii="Times New Roman" w:hAnsi="Times New Roman" w:cs="Times New Roman"/>
          <w:sz w:val="24"/>
          <w:szCs w:val="24"/>
        </w:rPr>
      </w:pPr>
      <w:r w:rsidRPr="00C537E0">
        <w:rPr>
          <w:rFonts w:ascii="Times New Roman" w:hAnsi="Times New Roman" w:cs="Times New Roman"/>
          <w:sz w:val="24"/>
          <w:szCs w:val="24"/>
        </w:rPr>
        <w:t xml:space="preserve">Gibb, A.A.; Cotton, J. (1998): </w:t>
      </w:r>
      <w:r w:rsidRPr="00C537E0">
        <w:rPr>
          <w:rFonts w:ascii="Times New Roman" w:hAnsi="Times New Roman" w:cs="Times New Roman"/>
          <w:b/>
          <w:i/>
          <w:sz w:val="24"/>
          <w:szCs w:val="24"/>
        </w:rPr>
        <w:t xml:space="preserve">Entrepreneurship in Schools and College Education: Creating the Leading Edge, </w:t>
      </w:r>
      <w:r w:rsidRPr="00C537E0">
        <w:rPr>
          <w:rFonts w:ascii="Times New Roman" w:hAnsi="Times New Roman" w:cs="Times New Roman"/>
          <w:sz w:val="24"/>
          <w:szCs w:val="24"/>
        </w:rPr>
        <w:t>in:</w:t>
      </w:r>
      <w:r w:rsidRPr="00C537E0">
        <w:rPr>
          <w:rFonts w:ascii="Times New Roman" w:hAnsi="Times New Roman" w:cs="Times New Roman"/>
          <w:b/>
          <w:i/>
          <w:sz w:val="24"/>
          <w:szCs w:val="24"/>
        </w:rPr>
        <w:t xml:space="preserve"> </w:t>
      </w:r>
      <w:r w:rsidRPr="00C537E0">
        <w:rPr>
          <w:rFonts w:ascii="Times New Roman" w:hAnsi="Times New Roman" w:cs="Times New Roman"/>
          <w:sz w:val="24"/>
          <w:szCs w:val="24"/>
        </w:rPr>
        <w:t>Background paper to the conference on Work Futures and the Role of Entrepreneurship and Enterprise in Schools and Further Education, pp. 67-84.</w:t>
      </w:r>
    </w:p>
    <w:p w:rsidR="00517583" w:rsidRPr="00C537E0" w:rsidRDefault="00517583" w:rsidP="009169C1">
      <w:pPr>
        <w:jc w:val="both"/>
        <w:rPr>
          <w:rFonts w:ascii="Times New Roman" w:hAnsi="Times New Roman" w:cs="Times New Roman"/>
          <w:sz w:val="24"/>
          <w:szCs w:val="24"/>
        </w:rPr>
      </w:pPr>
      <w:r w:rsidRPr="00C537E0">
        <w:rPr>
          <w:rFonts w:ascii="Times New Roman" w:hAnsi="Times New Roman" w:cs="Times New Roman"/>
          <w:sz w:val="24"/>
          <w:szCs w:val="24"/>
        </w:rPr>
        <w:t xml:space="preserve">Herron, L.; Robinson Jr., R.B. (1993):  </w:t>
      </w:r>
      <w:r w:rsidRPr="00C537E0">
        <w:rPr>
          <w:rFonts w:ascii="Times New Roman" w:hAnsi="Times New Roman" w:cs="Times New Roman"/>
          <w:b/>
          <w:i/>
          <w:sz w:val="24"/>
          <w:szCs w:val="24"/>
        </w:rPr>
        <w:t xml:space="preserve">A Structural Model of the Effects of Entrepreneurial Characteristics on Venture Performance, </w:t>
      </w:r>
      <w:r w:rsidRPr="00C537E0">
        <w:rPr>
          <w:rFonts w:ascii="Times New Roman" w:hAnsi="Times New Roman" w:cs="Times New Roman"/>
          <w:sz w:val="24"/>
          <w:szCs w:val="24"/>
        </w:rPr>
        <w:t xml:space="preserve">Journal of Business Venturing Vol. </w:t>
      </w:r>
      <w:r w:rsidR="00180FFA">
        <w:rPr>
          <w:rFonts w:ascii="Times New Roman" w:hAnsi="Times New Roman" w:cs="Times New Roman"/>
          <w:sz w:val="24"/>
          <w:szCs w:val="24"/>
        </w:rPr>
        <w:t>8</w:t>
      </w:r>
      <w:r w:rsidRPr="00C537E0">
        <w:rPr>
          <w:rFonts w:ascii="Times New Roman" w:hAnsi="Times New Roman" w:cs="Times New Roman"/>
          <w:sz w:val="24"/>
          <w:szCs w:val="24"/>
        </w:rPr>
        <w:t>, No.3. pp.12-15.</w:t>
      </w:r>
    </w:p>
    <w:p w:rsidR="00F70585" w:rsidRPr="00C537E0" w:rsidRDefault="00F70585" w:rsidP="009169C1">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lastRenderedPageBreak/>
        <w:t>Hytti, U. and O'Gorman C. (2004)</w:t>
      </w:r>
      <w:r w:rsidR="00823269" w:rsidRPr="00C537E0">
        <w:rPr>
          <w:rFonts w:ascii="Times New Roman" w:hAnsi="Times New Roman" w:cs="Times New Roman"/>
          <w:sz w:val="24"/>
          <w:szCs w:val="24"/>
        </w:rPr>
        <w:t>:</w:t>
      </w:r>
      <w:r w:rsidRPr="00C537E0">
        <w:rPr>
          <w:rFonts w:ascii="Times New Roman" w:hAnsi="Times New Roman" w:cs="Times New Roman"/>
          <w:sz w:val="24"/>
          <w:szCs w:val="24"/>
        </w:rPr>
        <w:t xml:space="preserve"> </w:t>
      </w:r>
      <w:r w:rsidRPr="00C537E0">
        <w:rPr>
          <w:rFonts w:ascii="Times New Roman" w:hAnsi="Times New Roman" w:cs="Times New Roman"/>
          <w:b/>
          <w:i/>
          <w:sz w:val="24"/>
          <w:szCs w:val="24"/>
        </w:rPr>
        <w:t>What is „enterprise education“? An analysis of the objectives and methods of enterprise education programmes in four European countries,</w:t>
      </w:r>
      <w:r w:rsidRPr="00C537E0">
        <w:rPr>
          <w:rFonts w:ascii="Times New Roman" w:hAnsi="Times New Roman" w:cs="Times New Roman"/>
          <w:sz w:val="24"/>
          <w:szCs w:val="24"/>
        </w:rPr>
        <w:t xml:space="preserve"> Education and Training, Vol. 46, No. 1; pp. 11-23. </w:t>
      </w:r>
    </w:p>
    <w:p w:rsidR="00F70585" w:rsidRPr="00C537E0" w:rsidRDefault="00F70585" w:rsidP="009169C1">
      <w:pPr>
        <w:pStyle w:val="NoSpacing"/>
        <w:jc w:val="both"/>
        <w:rPr>
          <w:rFonts w:ascii="Times New Roman" w:hAnsi="Times New Roman" w:cs="Times New Roman"/>
          <w:sz w:val="24"/>
          <w:szCs w:val="24"/>
        </w:rPr>
      </w:pPr>
      <w:r w:rsidRPr="00C537E0">
        <w:rPr>
          <w:rFonts w:ascii="Times New Roman" w:hAnsi="Times New Roman" w:cs="Times New Roman"/>
          <w:sz w:val="24"/>
          <w:szCs w:val="24"/>
        </w:rPr>
        <w:t>Jones, C. and English, J.(2004)</w:t>
      </w:r>
      <w:r w:rsidR="00823269" w:rsidRPr="00C537E0">
        <w:rPr>
          <w:rFonts w:ascii="Times New Roman" w:hAnsi="Times New Roman" w:cs="Times New Roman"/>
          <w:sz w:val="24"/>
          <w:szCs w:val="24"/>
        </w:rPr>
        <w:t>:</w:t>
      </w:r>
      <w:r w:rsidRPr="00C537E0">
        <w:rPr>
          <w:rFonts w:ascii="Times New Roman" w:hAnsi="Times New Roman" w:cs="Times New Roman"/>
          <w:sz w:val="24"/>
          <w:szCs w:val="24"/>
        </w:rPr>
        <w:t xml:space="preserve"> </w:t>
      </w:r>
      <w:r w:rsidRPr="00C537E0">
        <w:rPr>
          <w:rFonts w:ascii="Times New Roman" w:hAnsi="Times New Roman" w:cs="Times New Roman"/>
          <w:b/>
          <w:i/>
          <w:sz w:val="24"/>
          <w:szCs w:val="24"/>
        </w:rPr>
        <w:t>A contemporary approach to entrepreneurship education</w:t>
      </w:r>
      <w:r w:rsidRPr="00C537E0">
        <w:rPr>
          <w:rFonts w:ascii="Times New Roman" w:hAnsi="Times New Roman" w:cs="Times New Roman"/>
          <w:sz w:val="24"/>
          <w:szCs w:val="24"/>
        </w:rPr>
        <w:t>, Education and  Training, Vol. 46 No.8/9, pp. 416-423.</w:t>
      </w:r>
    </w:p>
    <w:p w:rsidR="00F70585" w:rsidRPr="00C537E0" w:rsidRDefault="00F70585" w:rsidP="009169C1">
      <w:pPr>
        <w:pStyle w:val="NoSpacing"/>
        <w:jc w:val="both"/>
        <w:rPr>
          <w:rFonts w:ascii="Times New Roman" w:hAnsi="Times New Roman" w:cs="Times New Roman"/>
          <w:sz w:val="24"/>
          <w:szCs w:val="24"/>
        </w:rPr>
      </w:pPr>
    </w:p>
    <w:p w:rsidR="00F70585" w:rsidRPr="00C537E0" w:rsidRDefault="00F70585" w:rsidP="009169C1">
      <w:pPr>
        <w:spacing w:line="240" w:lineRule="auto"/>
        <w:jc w:val="both"/>
        <w:rPr>
          <w:rFonts w:ascii="Times New Roman" w:hAnsi="Times New Roman" w:cs="Times New Roman"/>
          <w:sz w:val="24"/>
          <w:szCs w:val="24"/>
        </w:rPr>
      </w:pPr>
      <w:r w:rsidRPr="00C537E0">
        <w:rPr>
          <w:rFonts w:ascii="Times New Roman" w:hAnsi="Times New Roman" w:cs="Times New Roman"/>
          <w:sz w:val="24"/>
          <w:szCs w:val="24"/>
        </w:rPr>
        <w:t>Katz, J. A. et al. (2003)</w:t>
      </w:r>
      <w:r w:rsidR="00823269" w:rsidRPr="00C537E0">
        <w:rPr>
          <w:rFonts w:ascii="Times New Roman" w:hAnsi="Times New Roman" w:cs="Times New Roman"/>
          <w:sz w:val="24"/>
          <w:szCs w:val="24"/>
        </w:rPr>
        <w:t xml:space="preserve">: </w:t>
      </w:r>
      <w:r w:rsidRPr="00C537E0">
        <w:rPr>
          <w:rFonts w:ascii="Times New Roman" w:hAnsi="Times New Roman" w:cs="Times New Roman"/>
          <w:b/>
          <w:i/>
          <w:sz w:val="24"/>
          <w:szCs w:val="24"/>
        </w:rPr>
        <w:t>Doctoral Education in the Field of Entrepreneurship</w:t>
      </w:r>
      <w:r w:rsidRPr="00C537E0">
        <w:rPr>
          <w:rFonts w:ascii="Times New Roman" w:hAnsi="Times New Roman" w:cs="Times New Roman"/>
          <w:sz w:val="24"/>
          <w:szCs w:val="24"/>
        </w:rPr>
        <w:t xml:space="preserve">, </w:t>
      </w:r>
      <w:r w:rsidRPr="00C537E0">
        <w:rPr>
          <w:rFonts w:ascii="Times New Roman" w:hAnsi="Times New Roman" w:cs="Times New Roman"/>
          <w:iCs/>
          <w:sz w:val="24"/>
          <w:szCs w:val="24"/>
        </w:rPr>
        <w:t>Journal of Management</w:t>
      </w:r>
      <w:r w:rsidRPr="00C537E0">
        <w:rPr>
          <w:rFonts w:ascii="Times New Roman" w:hAnsi="Times New Roman" w:cs="Times New Roman"/>
          <w:sz w:val="24"/>
          <w:szCs w:val="24"/>
        </w:rPr>
        <w:t>, Vol. 29. No.3, pp.</w:t>
      </w:r>
      <w:r w:rsidR="00517583" w:rsidRPr="00C537E0">
        <w:rPr>
          <w:rFonts w:ascii="Times New Roman" w:hAnsi="Times New Roman" w:cs="Times New Roman"/>
          <w:sz w:val="24"/>
          <w:szCs w:val="24"/>
        </w:rPr>
        <w:t xml:space="preserve"> </w:t>
      </w:r>
      <w:r w:rsidRPr="00C537E0">
        <w:rPr>
          <w:rFonts w:ascii="Times New Roman" w:hAnsi="Times New Roman" w:cs="Times New Roman"/>
          <w:sz w:val="24"/>
          <w:szCs w:val="24"/>
        </w:rPr>
        <w:t>309-331.</w:t>
      </w:r>
    </w:p>
    <w:p w:rsidR="00B82AB6" w:rsidRPr="00B82AB6" w:rsidRDefault="00B82AB6" w:rsidP="00B82AB6">
      <w:pPr>
        <w:jc w:val="both"/>
        <w:rPr>
          <w:rFonts w:ascii="Times New Roman" w:hAnsi="Times New Roman" w:cs="Times New Roman"/>
          <w:sz w:val="24"/>
          <w:szCs w:val="24"/>
        </w:rPr>
      </w:pPr>
      <w:r w:rsidRPr="00B82AB6">
        <w:rPr>
          <w:rFonts w:ascii="Times New Roman" w:hAnsi="Times New Roman" w:cs="Times New Roman"/>
          <w:sz w:val="24"/>
          <w:szCs w:val="24"/>
        </w:rPr>
        <w:t>Krueger, N.F.Jr. (2003)</w:t>
      </w:r>
      <w:r>
        <w:rPr>
          <w:rFonts w:ascii="Times New Roman" w:hAnsi="Times New Roman" w:cs="Times New Roman"/>
          <w:sz w:val="24"/>
          <w:szCs w:val="24"/>
        </w:rPr>
        <w:t xml:space="preserve">: </w:t>
      </w:r>
      <w:r w:rsidRPr="00B82AB6">
        <w:rPr>
          <w:rFonts w:ascii="Times New Roman" w:hAnsi="Times New Roman" w:cs="Times New Roman"/>
          <w:b/>
          <w:i/>
          <w:sz w:val="24"/>
          <w:szCs w:val="24"/>
        </w:rPr>
        <w:t>The cognitive Psychology of Entrepreneurship</w:t>
      </w:r>
      <w:r>
        <w:rPr>
          <w:rFonts w:ascii="Times New Roman" w:hAnsi="Times New Roman" w:cs="Times New Roman"/>
          <w:b/>
          <w:i/>
          <w:sz w:val="24"/>
          <w:szCs w:val="24"/>
        </w:rPr>
        <w:t>, in</w:t>
      </w:r>
      <w:r w:rsidRPr="00B82AB6">
        <w:rPr>
          <w:rFonts w:ascii="Times New Roman" w:hAnsi="Times New Roman" w:cs="Times New Roman"/>
          <w:sz w:val="24"/>
          <w:szCs w:val="24"/>
        </w:rPr>
        <w:t xml:space="preserve"> Acs, Z.J.; Audretsch, D.B. Handbook of Entrepreneurship Research. Kluwer Law International, Great Britain. </w:t>
      </w:r>
      <w:r>
        <w:rPr>
          <w:rFonts w:ascii="Times New Roman" w:hAnsi="Times New Roman" w:cs="Times New Roman"/>
          <w:sz w:val="24"/>
          <w:szCs w:val="24"/>
        </w:rPr>
        <w:t>pp</w:t>
      </w:r>
      <w:r w:rsidRPr="00B82AB6">
        <w:rPr>
          <w:rFonts w:ascii="Times New Roman" w:hAnsi="Times New Roman" w:cs="Times New Roman"/>
          <w:sz w:val="24"/>
          <w:szCs w:val="24"/>
        </w:rPr>
        <w:t>. 105-140.</w:t>
      </w:r>
    </w:p>
    <w:p w:rsidR="006B13E7" w:rsidRDefault="00D97DC5" w:rsidP="006B13E7">
      <w:pPr>
        <w:jc w:val="both"/>
        <w:rPr>
          <w:rFonts w:ascii="Times New Roman" w:hAnsi="Times New Roman" w:cs="Times New Roman"/>
          <w:sz w:val="24"/>
          <w:szCs w:val="24"/>
        </w:rPr>
      </w:pPr>
      <w:r w:rsidRPr="00C537E0">
        <w:rPr>
          <w:rFonts w:ascii="Times New Roman" w:hAnsi="Times New Roman" w:cs="Times New Roman"/>
          <w:sz w:val="24"/>
          <w:szCs w:val="24"/>
        </w:rPr>
        <w:t>Rae, D. and Carswell, M. (2000)</w:t>
      </w:r>
      <w:r w:rsidR="00823269" w:rsidRPr="00C537E0">
        <w:rPr>
          <w:rFonts w:ascii="Times New Roman" w:hAnsi="Times New Roman" w:cs="Times New Roman"/>
          <w:sz w:val="24"/>
          <w:szCs w:val="24"/>
        </w:rPr>
        <w:t>:</w:t>
      </w:r>
      <w:r w:rsidRPr="00C537E0">
        <w:rPr>
          <w:rFonts w:ascii="Times New Roman" w:hAnsi="Times New Roman" w:cs="Times New Roman"/>
          <w:sz w:val="24"/>
          <w:szCs w:val="24"/>
        </w:rPr>
        <w:t xml:space="preserve"> </w:t>
      </w:r>
      <w:r w:rsidRPr="00C537E0">
        <w:rPr>
          <w:rFonts w:ascii="Times New Roman" w:hAnsi="Times New Roman" w:cs="Times New Roman"/>
          <w:b/>
          <w:i/>
          <w:sz w:val="24"/>
          <w:szCs w:val="24"/>
        </w:rPr>
        <w:t>Using a life story approach in researching entrepreneurial learning: The development of conceptual model  and its implications in the design of learning experiences,</w:t>
      </w:r>
      <w:r w:rsidRPr="00C537E0">
        <w:rPr>
          <w:rFonts w:ascii="Times New Roman" w:hAnsi="Times New Roman" w:cs="Times New Roman"/>
          <w:sz w:val="24"/>
          <w:szCs w:val="24"/>
        </w:rPr>
        <w:t xml:space="preserve"> Education and Training, Vol. 42, No. 4/5, pp. 200-7. </w:t>
      </w:r>
    </w:p>
    <w:p w:rsidR="009F3EC1" w:rsidRPr="00C537E0" w:rsidRDefault="000E04B2" w:rsidP="006B13E7">
      <w:pPr>
        <w:jc w:val="both"/>
        <w:rPr>
          <w:rFonts w:ascii="Times New Roman" w:hAnsi="Times New Roman" w:cs="Times New Roman"/>
          <w:sz w:val="24"/>
          <w:szCs w:val="24"/>
        </w:rPr>
      </w:pPr>
      <w:r w:rsidRPr="00C537E0">
        <w:rPr>
          <w:rFonts w:ascii="Times New Roman" w:hAnsi="Times New Roman" w:cs="Times New Roman"/>
          <w:sz w:val="24"/>
          <w:szCs w:val="24"/>
        </w:rPr>
        <w:t xml:space="preserve">Sedlan-Kőnig, Lj. (2012): </w:t>
      </w:r>
      <w:r w:rsidR="00967806" w:rsidRPr="00C537E0">
        <w:rPr>
          <w:rFonts w:ascii="Times New Roman" w:hAnsi="Times New Roman" w:cs="Times New Roman"/>
          <w:b/>
          <w:i/>
          <w:sz w:val="24"/>
          <w:szCs w:val="24"/>
        </w:rPr>
        <w:t>Higher education pedago</w:t>
      </w:r>
      <w:r w:rsidRPr="00C537E0">
        <w:rPr>
          <w:rFonts w:ascii="Times New Roman" w:hAnsi="Times New Roman" w:cs="Times New Roman"/>
          <w:b/>
          <w:i/>
          <w:sz w:val="24"/>
          <w:szCs w:val="24"/>
        </w:rPr>
        <w:t>gy in the development of entrepreneurial behavior</w:t>
      </w:r>
      <w:r w:rsidRPr="00C537E0">
        <w:rPr>
          <w:rFonts w:ascii="Times New Roman" w:hAnsi="Times New Roman" w:cs="Times New Roman"/>
          <w:sz w:val="24"/>
          <w:szCs w:val="24"/>
        </w:rPr>
        <w:t xml:space="preserve">, doctoral thesis, January 2012, p. 146. </w:t>
      </w:r>
    </w:p>
    <w:p w:rsidR="009F3EC1" w:rsidRPr="00C537E0" w:rsidRDefault="009F3EC1" w:rsidP="009169C1">
      <w:pPr>
        <w:spacing w:line="240" w:lineRule="auto"/>
        <w:jc w:val="both"/>
        <w:rPr>
          <w:rFonts w:ascii="Times New Roman" w:hAnsi="Times New Roman" w:cs="Times New Roman"/>
          <w:sz w:val="24"/>
          <w:szCs w:val="24"/>
        </w:rPr>
      </w:pPr>
    </w:p>
    <w:sectPr w:rsidR="009F3EC1" w:rsidRPr="00C537E0" w:rsidSect="00C537E0">
      <w:footerReference w:type="default" r:id="rId10"/>
      <w:pgSz w:w="11907" w:h="16839" w:code="9"/>
      <w:pgMar w:top="1440" w:right="1797" w:bottom="1440"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1D" w:rsidRPr="00E81FF6" w:rsidRDefault="007F1F1D" w:rsidP="00E81FF6">
      <w:pPr>
        <w:spacing w:after="0" w:line="240" w:lineRule="auto"/>
      </w:pPr>
      <w:r>
        <w:separator/>
      </w:r>
    </w:p>
  </w:endnote>
  <w:endnote w:type="continuationSeparator" w:id="0">
    <w:p w:rsidR="007F1F1D" w:rsidRPr="00E81FF6" w:rsidRDefault="007F1F1D" w:rsidP="00E8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0469"/>
      <w:docPartObj>
        <w:docPartGallery w:val="Page Numbers (Bottom of Page)"/>
        <w:docPartUnique/>
      </w:docPartObj>
    </w:sdtPr>
    <w:sdtContent>
      <w:p w:rsidR="003B1063" w:rsidRDefault="005D21E6">
        <w:pPr>
          <w:pStyle w:val="Footer"/>
          <w:jc w:val="center"/>
        </w:pPr>
        <w:fldSimple w:instr=" PAGE   \* MERGEFORMAT ">
          <w:r w:rsidR="00AF3C92">
            <w:rPr>
              <w:noProof/>
            </w:rPr>
            <w:t>1</w:t>
          </w:r>
        </w:fldSimple>
      </w:p>
    </w:sdtContent>
  </w:sdt>
  <w:p w:rsidR="003B1063" w:rsidRDefault="003B1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1D" w:rsidRPr="00E81FF6" w:rsidRDefault="007F1F1D" w:rsidP="00E81FF6">
      <w:pPr>
        <w:spacing w:after="0" w:line="240" w:lineRule="auto"/>
      </w:pPr>
      <w:r>
        <w:separator/>
      </w:r>
    </w:p>
  </w:footnote>
  <w:footnote w:type="continuationSeparator" w:id="0">
    <w:p w:rsidR="007F1F1D" w:rsidRPr="00E81FF6" w:rsidRDefault="007F1F1D" w:rsidP="00E81FF6">
      <w:pPr>
        <w:spacing w:after="0" w:line="240" w:lineRule="auto"/>
      </w:pPr>
      <w:r>
        <w:continuationSeparator/>
      </w:r>
    </w:p>
  </w:footnote>
  <w:footnote w:id="1">
    <w:p w:rsidR="00474A65" w:rsidRPr="00E81FF6" w:rsidRDefault="00474A65" w:rsidP="00E81FF6">
      <w:pPr>
        <w:spacing w:line="240" w:lineRule="auto"/>
        <w:rPr>
          <w:rFonts w:ascii="Times New Roman" w:hAnsi="Times New Roman" w:cs="Times New Roman"/>
          <w:sz w:val="20"/>
          <w:szCs w:val="20"/>
        </w:rPr>
      </w:pPr>
      <w:r>
        <w:rPr>
          <w:rStyle w:val="FootnoteReference"/>
        </w:rPr>
        <w:footnoteRef/>
      </w:r>
      <w:r>
        <w:t xml:space="preserve"> </w:t>
      </w:r>
      <w:r w:rsidRPr="00E81FF6">
        <w:rPr>
          <w:rFonts w:ascii="Times New Roman" w:hAnsi="Times New Roman" w:cs="Times New Roman"/>
          <w:sz w:val="20"/>
          <w:szCs w:val="20"/>
        </w:rPr>
        <w:t>Sports clubs and students</w:t>
      </w:r>
      <w:r>
        <w:rPr>
          <w:rFonts w:ascii="Times New Roman" w:hAnsi="Times New Roman" w:cs="Times New Roman"/>
          <w:sz w:val="20"/>
          <w:szCs w:val="20"/>
        </w:rPr>
        <w:t>’</w:t>
      </w:r>
      <w:r w:rsidRPr="00E81FF6">
        <w:rPr>
          <w:rFonts w:ascii="Times New Roman" w:hAnsi="Times New Roman" w:cs="Times New Roman"/>
          <w:sz w:val="20"/>
          <w:szCs w:val="20"/>
        </w:rPr>
        <w:t xml:space="preserve"> associations were taken as suitable examples </w:t>
      </w:r>
      <w:r>
        <w:rPr>
          <w:rFonts w:ascii="Times New Roman" w:hAnsi="Times New Roman" w:cs="Times New Roman"/>
          <w:sz w:val="20"/>
          <w:szCs w:val="20"/>
        </w:rPr>
        <w:t>of</w:t>
      </w:r>
      <w:r w:rsidRPr="00E81FF6">
        <w:rPr>
          <w:rFonts w:ascii="Times New Roman" w:hAnsi="Times New Roman" w:cs="Times New Roman"/>
          <w:sz w:val="20"/>
          <w:szCs w:val="20"/>
        </w:rPr>
        <w:t xml:space="preserve"> communities of practice because they satisfy all three criteria: domain, community and practice. </w:t>
      </w:r>
    </w:p>
    <w:p w:rsidR="00474A65" w:rsidRPr="00E81FF6" w:rsidRDefault="00474A65">
      <w:pPr>
        <w:pStyle w:val="FootnoteText"/>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A4DD4"/>
    <w:multiLevelType w:val="hybridMultilevel"/>
    <w:tmpl w:val="A9DCF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8E26260"/>
    <w:multiLevelType w:val="hybridMultilevel"/>
    <w:tmpl w:val="95545B1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07076"/>
    <w:rsid w:val="00025383"/>
    <w:rsid w:val="00025D2C"/>
    <w:rsid w:val="00060CD0"/>
    <w:rsid w:val="000653BF"/>
    <w:rsid w:val="000A20C8"/>
    <w:rsid w:val="000D456D"/>
    <w:rsid w:val="000E04B2"/>
    <w:rsid w:val="001020C3"/>
    <w:rsid w:val="001129C9"/>
    <w:rsid w:val="001322DC"/>
    <w:rsid w:val="00136A4C"/>
    <w:rsid w:val="00140055"/>
    <w:rsid w:val="00174060"/>
    <w:rsid w:val="00180FFA"/>
    <w:rsid w:val="001E2EC0"/>
    <w:rsid w:val="00227067"/>
    <w:rsid w:val="00237664"/>
    <w:rsid w:val="002601CB"/>
    <w:rsid w:val="002724B9"/>
    <w:rsid w:val="00287168"/>
    <w:rsid w:val="0029041D"/>
    <w:rsid w:val="002C5B53"/>
    <w:rsid w:val="002F19D4"/>
    <w:rsid w:val="0030229E"/>
    <w:rsid w:val="00312B8F"/>
    <w:rsid w:val="0036312B"/>
    <w:rsid w:val="00364249"/>
    <w:rsid w:val="003741C4"/>
    <w:rsid w:val="0039376D"/>
    <w:rsid w:val="003B1063"/>
    <w:rsid w:val="003B24E3"/>
    <w:rsid w:val="003C4EE6"/>
    <w:rsid w:val="00474A65"/>
    <w:rsid w:val="004F3B19"/>
    <w:rsid w:val="00517583"/>
    <w:rsid w:val="00536BA3"/>
    <w:rsid w:val="00562209"/>
    <w:rsid w:val="00576C3B"/>
    <w:rsid w:val="00583693"/>
    <w:rsid w:val="00594A8D"/>
    <w:rsid w:val="005A0EC4"/>
    <w:rsid w:val="005A24DB"/>
    <w:rsid w:val="005B2477"/>
    <w:rsid w:val="005D21E6"/>
    <w:rsid w:val="00600DF5"/>
    <w:rsid w:val="006015CB"/>
    <w:rsid w:val="00613434"/>
    <w:rsid w:val="006326F6"/>
    <w:rsid w:val="0065606C"/>
    <w:rsid w:val="006968AB"/>
    <w:rsid w:val="006B13E7"/>
    <w:rsid w:val="006C32A1"/>
    <w:rsid w:val="006D4DD3"/>
    <w:rsid w:val="006F55F8"/>
    <w:rsid w:val="00700B3B"/>
    <w:rsid w:val="00714846"/>
    <w:rsid w:val="007226AC"/>
    <w:rsid w:val="007F1F1D"/>
    <w:rsid w:val="00823269"/>
    <w:rsid w:val="00824F63"/>
    <w:rsid w:val="00847A62"/>
    <w:rsid w:val="00891FE7"/>
    <w:rsid w:val="008B6E07"/>
    <w:rsid w:val="008F29B3"/>
    <w:rsid w:val="008F6478"/>
    <w:rsid w:val="009124C3"/>
    <w:rsid w:val="009169C1"/>
    <w:rsid w:val="00917C0E"/>
    <w:rsid w:val="00966894"/>
    <w:rsid w:val="00967806"/>
    <w:rsid w:val="009C62DB"/>
    <w:rsid w:val="009F3EC1"/>
    <w:rsid w:val="00A07076"/>
    <w:rsid w:val="00A13342"/>
    <w:rsid w:val="00A14C28"/>
    <w:rsid w:val="00A20DA2"/>
    <w:rsid w:val="00A51D13"/>
    <w:rsid w:val="00A51DBA"/>
    <w:rsid w:val="00A8656D"/>
    <w:rsid w:val="00AB009E"/>
    <w:rsid w:val="00AC2BD3"/>
    <w:rsid w:val="00AD1D57"/>
    <w:rsid w:val="00AF3C92"/>
    <w:rsid w:val="00B6402C"/>
    <w:rsid w:val="00B725EC"/>
    <w:rsid w:val="00B812E1"/>
    <w:rsid w:val="00B82AB6"/>
    <w:rsid w:val="00BA3AEC"/>
    <w:rsid w:val="00BD069A"/>
    <w:rsid w:val="00C53601"/>
    <w:rsid w:val="00C537E0"/>
    <w:rsid w:val="00C85680"/>
    <w:rsid w:val="00CB1676"/>
    <w:rsid w:val="00CF1E46"/>
    <w:rsid w:val="00D03E11"/>
    <w:rsid w:val="00D4247C"/>
    <w:rsid w:val="00D73666"/>
    <w:rsid w:val="00D9313F"/>
    <w:rsid w:val="00D97DC5"/>
    <w:rsid w:val="00DA022B"/>
    <w:rsid w:val="00DF432F"/>
    <w:rsid w:val="00E179F9"/>
    <w:rsid w:val="00E423EA"/>
    <w:rsid w:val="00E6662A"/>
    <w:rsid w:val="00E81FF6"/>
    <w:rsid w:val="00E9100B"/>
    <w:rsid w:val="00EC6DED"/>
    <w:rsid w:val="00EE3C99"/>
    <w:rsid w:val="00EE6766"/>
    <w:rsid w:val="00F02DF2"/>
    <w:rsid w:val="00F23F6C"/>
    <w:rsid w:val="00F52F53"/>
    <w:rsid w:val="00F70585"/>
    <w:rsid w:val="00F9052C"/>
    <w:rsid w:val="00F9132A"/>
    <w:rsid w:val="00FB25FC"/>
    <w:rsid w:val="00FD1537"/>
    <w:rsid w:val="00FD382D"/>
    <w:rsid w:val="00FF36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076"/>
    <w:rPr>
      <w:color w:val="0000FF" w:themeColor="hyperlink"/>
      <w:u w:val="single"/>
    </w:rPr>
  </w:style>
  <w:style w:type="paragraph" w:styleId="ListParagraph">
    <w:name w:val="List Paragraph"/>
    <w:basedOn w:val="Normal"/>
    <w:uiPriority w:val="34"/>
    <w:qFormat/>
    <w:rsid w:val="00824F63"/>
    <w:pPr>
      <w:ind w:left="720"/>
      <w:contextualSpacing/>
    </w:pPr>
  </w:style>
  <w:style w:type="paragraph" w:styleId="NoSpacing">
    <w:name w:val="No Spacing"/>
    <w:uiPriority w:val="1"/>
    <w:qFormat/>
    <w:rsid w:val="00F70585"/>
    <w:pPr>
      <w:spacing w:after="0" w:line="240" w:lineRule="auto"/>
    </w:pPr>
    <w:rPr>
      <w:rFonts w:ascii="Calibri" w:eastAsia="Calibri" w:hAnsi="Calibri" w:cs="Calibri"/>
    </w:rPr>
  </w:style>
  <w:style w:type="paragraph" w:styleId="NormalWeb">
    <w:name w:val="Normal (Web)"/>
    <w:basedOn w:val="Normal"/>
    <w:rsid w:val="00594A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94A8D"/>
    <w:rPr>
      <w:i/>
      <w:iCs/>
    </w:rPr>
  </w:style>
  <w:style w:type="table" w:styleId="TableGrid">
    <w:name w:val="Table Grid"/>
    <w:basedOn w:val="TableNormal"/>
    <w:uiPriority w:val="59"/>
    <w:rsid w:val="0059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81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FF6"/>
    <w:rPr>
      <w:sz w:val="20"/>
      <w:szCs w:val="20"/>
      <w:lang w:val="en-US"/>
    </w:rPr>
  </w:style>
  <w:style w:type="character" w:styleId="FootnoteReference">
    <w:name w:val="footnote reference"/>
    <w:basedOn w:val="DefaultParagraphFont"/>
    <w:uiPriority w:val="99"/>
    <w:semiHidden/>
    <w:unhideWhenUsed/>
    <w:rsid w:val="00E81FF6"/>
    <w:rPr>
      <w:vertAlign w:val="superscript"/>
    </w:rPr>
  </w:style>
  <w:style w:type="paragraph" w:styleId="BalloonText">
    <w:name w:val="Balloon Text"/>
    <w:basedOn w:val="Normal"/>
    <w:link w:val="BalloonTextChar"/>
    <w:uiPriority w:val="99"/>
    <w:semiHidden/>
    <w:unhideWhenUsed/>
    <w:rsid w:val="0058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93"/>
    <w:rPr>
      <w:rFonts w:ascii="Tahoma" w:hAnsi="Tahoma" w:cs="Tahoma"/>
      <w:sz w:val="16"/>
      <w:szCs w:val="16"/>
      <w:lang w:val="en-US"/>
    </w:rPr>
  </w:style>
  <w:style w:type="paragraph" w:styleId="Header">
    <w:name w:val="header"/>
    <w:basedOn w:val="Normal"/>
    <w:link w:val="HeaderChar"/>
    <w:uiPriority w:val="99"/>
    <w:semiHidden/>
    <w:unhideWhenUsed/>
    <w:rsid w:val="003B106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B1063"/>
    <w:rPr>
      <w:lang w:val="en-US"/>
    </w:rPr>
  </w:style>
  <w:style w:type="paragraph" w:styleId="Footer">
    <w:name w:val="footer"/>
    <w:basedOn w:val="Normal"/>
    <w:link w:val="FooterChar"/>
    <w:uiPriority w:val="99"/>
    <w:unhideWhenUsed/>
    <w:rsid w:val="003B1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106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lan@efo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mikrut\Desktop\New%20Microsoft%20Excel%20Workshe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plotArea>
      <c:layout>
        <c:manualLayout>
          <c:layoutTarget val="inner"/>
          <c:xMode val="edge"/>
          <c:yMode val="edge"/>
          <c:x val="9.3002405949256781E-2"/>
          <c:y val="5.1400554097404488E-2"/>
          <c:w val="0.88132961504812124"/>
          <c:h val="0.78849640936726106"/>
        </c:manualLayout>
      </c:layout>
      <c:lineChart>
        <c:grouping val="standard"/>
        <c:ser>
          <c:idx val="0"/>
          <c:order val="0"/>
          <c:tx>
            <c:strRef>
              <c:f>Sheet2!$B$1</c:f>
              <c:strCache>
                <c:ptCount val="1"/>
                <c:pt idx="0">
                  <c:v>Sportaši</c:v>
                </c:pt>
              </c:strCache>
            </c:strRef>
          </c:tx>
          <c:spPr>
            <a:ln>
              <a:solidFill>
                <a:schemeClr val="tx1">
                  <a:lumMod val="95000"/>
                  <a:lumOff val="5000"/>
                </a:schemeClr>
              </a:solidFill>
            </a:ln>
          </c:spPr>
          <c:marker>
            <c:symbol val="none"/>
          </c:marker>
          <c:cat>
            <c:strRef>
              <c:f>Sheet2!$A$2:$A$4</c:f>
              <c:strCache>
                <c:ptCount val="2"/>
                <c:pt idx="0">
                  <c:v>Zainteresiranost  za poduzetničko ponašanje</c:v>
                </c:pt>
                <c:pt idx="1">
                  <c:v>Vjerojatnost pokretanja vlastitog posla</c:v>
                </c:pt>
              </c:strCache>
            </c:strRef>
          </c:cat>
          <c:val>
            <c:numRef>
              <c:f>Sheet2!$B$2:$B$4</c:f>
              <c:numCache>
                <c:formatCode>General</c:formatCode>
                <c:ptCount val="2"/>
                <c:pt idx="0" formatCode="0.00">
                  <c:v>3.74</c:v>
                </c:pt>
                <c:pt idx="1">
                  <c:v>3.22</c:v>
                </c:pt>
              </c:numCache>
            </c:numRef>
          </c:val>
        </c:ser>
        <c:ser>
          <c:idx val="1"/>
          <c:order val="1"/>
          <c:tx>
            <c:strRef>
              <c:f>Sheet2!$C$1</c:f>
              <c:strCache>
                <c:ptCount val="1"/>
                <c:pt idx="0">
                  <c:v>Članovi udruga</c:v>
                </c:pt>
              </c:strCache>
            </c:strRef>
          </c:tx>
          <c:spPr>
            <a:ln cmpd="sng">
              <a:solidFill>
                <a:schemeClr val="tx1"/>
              </a:solidFill>
              <a:prstDash val="sysDot"/>
            </a:ln>
          </c:spPr>
          <c:marker>
            <c:symbol val="none"/>
          </c:marker>
          <c:cat>
            <c:strRef>
              <c:f>Sheet2!$A$2:$A$4</c:f>
              <c:strCache>
                <c:ptCount val="2"/>
                <c:pt idx="0">
                  <c:v>Zainteresiranost  za poduzetničko ponašanje</c:v>
                </c:pt>
                <c:pt idx="1">
                  <c:v>Vjerojatnost pokretanja vlastitog posla</c:v>
                </c:pt>
              </c:strCache>
            </c:strRef>
          </c:cat>
          <c:val>
            <c:numRef>
              <c:f>Sheet2!$C$2:$C$4</c:f>
              <c:numCache>
                <c:formatCode>General</c:formatCode>
                <c:ptCount val="2"/>
                <c:pt idx="0" formatCode="0.00">
                  <c:v>4.0199999999999996</c:v>
                </c:pt>
                <c:pt idx="1">
                  <c:v>3.4899999999999998</c:v>
                </c:pt>
              </c:numCache>
            </c:numRef>
          </c:val>
        </c:ser>
        <c:ser>
          <c:idx val="2"/>
          <c:order val="2"/>
          <c:tx>
            <c:strRef>
              <c:f>Sheet2!$D$1</c:f>
              <c:strCache>
                <c:ptCount val="1"/>
                <c:pt idx="0">
                  <c:v>Kontrolna skupina</c:v>
                </c:pt>
              </c:strCache>
            </c:strRef>
          </c:tx>
          <c:spPr>
            <a:ln>
              <a:solidFill>
                <a:schemeClr val="tx1"/>
              </a:solidFill>
              <a:prstDash val="dash"/>
            </a:ln>
          </c:spPr>
          <c:marker>
            <c:symbol val="none"/>
          </c:marker>
          <c:cat>
            <c:strRef>
              <c:f>Sheet2!$A$2:$A$4</c:f>
              <c:strCache>
                <c:ptCount val="2"/>
                <c:pt idx="0">
                  <c:v>Zainteresiranost  za poduzetničko ponašanje</c:v>
                </c:pt>
                <c:pt idx="1">
                  <c:v>Vjerojatnost pokretanja vlastitog posla</c:v>
                </c:pt>
              </c:strCache>
            </c:strRef>
          </c:cat>
          <c:val>
            <c:numRef>
              <c:f>Sheet2!$D$2:$D$4</c:f>
              <c:numCache>
                <c:formatCode>General</c:formatCode>
                <c:ptCount val="2"/>
                <c:pt idx="0" formatCode="0.00">
                  <c:v>3.69</c:v>
                </c:pt>
                <c:pt idx="1">
                  <c:v>3</c:v>
                </c:pt>
              </c:numCache>
            </c:numRef>
          </c:val>
        </c:ser>
        <c:marker val="1"/>
        <c:axId val="146500608"/>
        <c:axId val="66982656"/>
      </c:lineChart>
      <c:catAx>
        <c:axId val="146500608"/>
        <c:scaling>
          <c:orientation val="minMax"/>
        </c:scaling>
        <c:delete val="1"/>
        <c:axPos val="b"/>
        <c:numFmt formatCode="General" sourceLinked="1"/>
        <c:tickLblPos val="none"/>
        <c:crossAx val="66982656"/>
        <c:crosses val="autoZero"/>
        <c:auto val="1"/>
        <c:lblAlgn val="ctr"/>
        <c:lblOffset val="100"/>
      </c:catAx>
      <c:valAx>
        <c:axId val="66982656"/>
        <c:scaling>
          <c:orientation val="minMax"/>
          <c:max val="4.5"/>
          <c:min val="3"/>
        </c:scaling>
        <c:axPos val="l"/>
        <c:majorGridlines/>
        <c:numFmt formatCode="0.00" sourceLinked="1"/>
        <c:tickLblPos val="nextTo"/>
        <c:crossAx val="146500608"/>
        <c:crosses val="autoZero"/>
        <c:crossBetween val="between"/>
      </c:valAx>
      <c:spPr>
        <a:ln>
          <a:noFill/>
        </a:ln>
      </c:spPr>
    </c:plotArea>
    <c:legend>
      <c:legendPos val="r"/>
      <c:layout>
        <c:manualLayout>
          <c:xMode val="edge"/>
          <c:yMode val="edge"/>
          <c:x val="8.0346368040640118E-2"/>
          <c:y val="3.0169205899155402E-3"/>
          <c:w val="0.8789693846850718"/>
          <c:h val="9.8029308836395754E-2"/>
        </c:manualLayout>
      </c:layout>
    </c:legend>
    <c:plotVisOnly val="1"/>
    <c:dispBlanksAs val="gap"/>
  </c:chart>
  <c:spPr>
    <a:ln>
      <a:noFill/>
    </a:ln>
  </c:spPr>
  <c:txPr>
    <a:bodyPr/>
    <a:lstStyle/>
    <a:p>
      <a:pPr>
        <a:defRPr sz="900">
          <a:latin typeface="Times New Roman" pitchFamily="18" charset="0"/>
          <a:cs typeface="Times New Roman" pitchFamily="18" charset="0"/>
        </a:defRPr>
      </a:pPr>
      <a:endParaRPr lang="sr-Latn-CS"/>
    </a:p>
  </c:txPr>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0.71303</cdr:x>
      <cdr:y>0</cdr:y>
    </cdr:from>
    <cdr:to>
      <cdr:x>0.87373</cdr:x>
      <cdr:y>0.17838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00375" y="-95250"/>
          <a:ext cx="676191" cy="35238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E102-5144-48A7-8CF0-C0B41B8D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2012-05-06T10:23:00Z</cp:lastPrinted>
  <dcterms:created xsi:type="dcterms:W3CDTF">2012-08-28T11:16:00Z</dcterms:created>
  <dcterms:modified xsi:type="dcterms:W3CDTF">2012-08-28T11:16:00Z</dcterms:modified>
</cp:coreProperties>
</file>