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647F0" w14:textId="56AD79DA" w:rsidR="005D3402" w:rsidRPr="00F6590B" w:rsidRDefault="00947058" w:rsidP="00483743">
      <w:pPr>
        <w:spacing w:line="480" w:lineRule="auto"/>
        <w:ind w:firstLine="720"/>
        <w:jc w:val="center"/>
        <w:rPr>
          <w:rFonts w:cs="Times New Roman"/>
          <w:b/>
          <w:szCs w:val="24"/>
          <w:lang w:val="hr-HR"/>
        </w:rPr>
      </w:pPr>
      <w:r w:rsidRPr="00F6590B">
        <w:rPr>
          <w:rFonts w:cs="Times New Roman"/>
          <w:b/>
          <w:szCs w:val="24"/>
          <w:lang w:val="hr-HR"/>
        </w:rPr>
        <w:t xml:space="preserve">Efikasnost </w:t>
      </w:r>
      <w:r w:rsidR="00BA164E" w:rsidRPr="00F6590B">
        <w:rPr>
          <w:rFonts w:cs="Times New Roman"/>
          <w:b/>
          <w:szCs w:val="24"/>
          <w:lang w:val="hr-HR"/>
        </w:rPr>
        <w:t xml:space="preserve">hrvatskih </w:t>
      </w:r>
      <w:r w:rsidRPr="00F6590B">
        <w:rPr>
          <w:rFonts w:cs="Times New Roman"/>
          <w:b/>
          <w:szCs w:val="24"/>
          <w:lang w:val="hr-HR"/>
        </w:rPr>
        <w:t>trgovačkih sudova u procesuiranju stečajnih predmeta</w:t>
      </w:r>
    </w:p>
    <w:p w14:paraId="438C671F" w14:textId="12266949" w:rsidR="00947058" w:rsidRPr="00F6590B" w:rsidRDefault="00947058" w:rsidP="00483743">
      <w:pPr>
        <w:spacing w:line="480" w:lineRule="auto"/>
        <w:ind w:firstLine="0"/>
        <w:jc w:val="center"/>
        <w:rPr>
          <w:szCs w:val="24"/>
          <w:lang w:val="hr-HR"/>
        </w:rPr>
      </w:pPr>
      <w:r w:rsidRPr="00F6590B">
        <w:rPr>
          <w:szCs w:val="24"/>
          <w:lang w:val="hr-HR"/>
        </w:rPr>
        <w:t>doc. dr. sc. Domagoj Sajter</w:t>
      </w:r>
    </w:p>
    <w:p w14:paraId="37D61A5E" w14:textId="77777777" w:rsidR="00947058" w:rsidRPr="00F6590B" w:rsidRDefault="00947058" w:rsidP="00483743">
      <w:pPr>
        <w:spacing w:line="480" w:lineRule="auto"/>
        <w:ind w:firstLine="0"/>
        <w:jc w:val="center"/>
        <w:rPr>
          <w:szCs w:val="24"/>
          <w:lang w:val="hr-HR"/>
        </w:rPr>
      </w:pPr>
      <w:r w:rsidRPr="00F6590B">
        <w:rPr>
          <w:szCs w:val="24"/>
          <w:lang w:val="hr-HR"/>
        </w:rPr>
        <w:t>docent, Ekonomski fakultet u Osijeku</w:t>
      </w:r>
    </w:p>
    <w:p w14:paraId="2BBE6224" w14:textId="77777777" w:rsidR="00947058" w:rsidRPr="00F6590B" w:rsidRDefault="00947058" w:rsidP="00483743">
      <w:pPr>
        <w:spacing w:line="480" w:lineRule="auto"/>
        <w:ind w:firstLine="0"/>
        <w:jc w:val="center"/>
        <w:rPr>
          <w:szCs w:val="24"/>
          <w:lang w:val="hr-HR"/>
        </w:rPr>
      </w:pPr>
      <w:r w:rsidRPr="00F6590B">
        <w:rPr>
          <w:szCs w:val="24"/>
          <w:lang w:val="hr-HR"/>
        </w:rPr>
        <w:t>Gajev trg 7, 31000 Osijek</w:t>
      </w:r>
    </w:p>
    <w:p w14:paraId="0705CA12" w14:textId="41C7B853" w:rsidR="00947058" w:rsidRPr="00F6590B" w:rsidRDefault="00947058" w:rsidP="00483743">
      <w:pPr>
        <w:spacing w:line="480" w:lineRule="auto"/>
        <w:ind w:firstLine="0"/>
        <w:jc w:val="center"/>
        <w:rPr>
          <w:szCs w:val="24"/>
          <w:lang w:val="hr-HR"/>
        </w:rPr>
      </w:pPr>
      <w:r w:rsidRPr="00F6590B">
        <w:rPr>
          <w:szCs w:val="24"/>
          <w:lang w:val="hr-HR"/>
        </w:rPr>
        <w:t>sajter@</w:t>
      </w:r>
      <w:proofErr w:type="spellStart"/>
      <w:r w:rsidRPr="00F6590B">
        <w:rPr>
          <w:szCs w:val="24"/>
          <w:lang w:val="hr-HR"/>
        </w:rPr>
        <w:t>efos.hr</w:t>
      </w:r>
      <w:proofErr w:type="spellEnd"/>
      <w:r w:rsidRPr="00F6590B">
        <w:rPr>
          <w:szCs w:val="24"/>
          <w:lang w:val="hr-HR"/>
        </w:rPr>
        <w:t>; 031 / 224 458</w:t>
      </w:r>
    </w:p>
    <w:p w14:paraId="25F7194D" w14:textId="77777777" w:rsidR="00947058" w:rsidRPr="00F6590B" w:rsidRDefault="00947058" w:rsidP="00483743">
      <w:pPr>
        <w:spacing w:line="480" w:lineRule="auto"/>
        <w:rPr>
          <w:szCs w:val="24"/>
          <w:lang w:val="hr-HR"/>
        </w:rPr>
      </w:pPr>
    </w:p>
    <w:p w14:paraId="13926DF3" w14:textId="1454FE0B" w:rsidR="00947058" w:rsidRPr="00F6590B" w:rsidRDefault="00947058" w:rsidP="00483743">
      <w:pPr>
        <w:spacing w:line="480" w:lineRule="auto"/>
        <w:rPr>
          <w:b/>
          <w:szCs w:val="24"/>
          <w:lang w:val="hr-HR"/>
        </w:rPr>
      </w:pPr>
      <w:r w:rsidRPr="00F6590B">
        <w:rPr>
          <w:b/>
          <w:szCs w:val="24"/>
          <w:lang w:val="hr-HR"/>
        </w:rPr>
        <w:t>Sažetak:</w:t>
      </w:r>
    </w:p>
    <w:p w14:paraId="09F095F5" w14:textId="01942940" w:rsidR="002275AB" w:rsidRPr="00F6590B" w:rsidRDefault="002275AB" w:rsidP="00483743">
      <w:pPr>
        <w:spacing w:line="480" w:lineRule="auto"/>
        <w:rPr>
          <w:szCs w:val="24"/>
          <w:lang w:val="hr-HR"/>
        </w:rPr>
      </w:pPr>
      <w:r w:rsidRPr="00F6590B">
        <w:rPr>
          <w:szCs w:val="24"/>
          <w:lang w:val="hr-HR"/>
        </w:rPr>
        <w:t xml:space="preserve">Općenito se smatra kako stečajni postupci u Hrvatskoj dugo traju, odnosno kako su trgovački sudovi tromi u </w:t>
      </w:r>
      <w:r w:rsidR="00E974FD" w:rsidRPr="00F6590B">
        <w:rPr>
          <w:szCs w:val="24"/>
          <w:lang w:val="hr-HR"/>
        </w:rPr>
        <w:t xml:space="preserve">njihovom </w:t>
      </w:r>
      <w:r w:rsidRPr="00F6590B">
        <w:rPr>
          <w:szCs w:val="24"/>
          <w:lang w:val="hr-HR"/>
        </w:rPr>
        <w:t xml:space="preserve">rješavanju. Budući da efikasan stečajni sustav sprječava rasipanje kolektivnog bogatstva stvaranog generacijama, važno je imati dobar uvid u njegovo funkcioniranje. </w:t>
      </w:r>
      <w:r w:rsidR="00D6356D" w:rsidRPr="00F6590B">
        <w:rPr>
          <w:szCs w:val="24"/>
          <w:lang w:val="hr-HR"/>
        </w:rPr>
        <w:t xml:space="preserve">Cilj ovoga rada je </w:t>
      </w:r>
      <w:r w:rsidR="00C533BD" w:rsidRPr="00F6590B">
        <w:rPr>
          <w:szCs w:val="24"/>
          <w:lang w:val="hr-HR"/>
        </w:rPr>
        <w:t>stjecanje šireg statističkog</w:t>
      </w:r>
      <w:r w:rsidR="00D6356D" w:rsidRPr="00F6590B">
        <w:rPr>
          <w:szCs w:val="24"/>
          <w:lang w:val="hr-HR"/>
        </w:rPr>
        <w:t xml:space="preserve"> opis</w:t>
      </w:r>
      <w:r w:rsidR="00C533BD" w:rsidRPr="00F6590B">
        <w:rPr>
          <w:szCs w:val="24"/>
          <w:lang w:val="hr-HR"/>
        </w:rPr>
        <w:t>a</w:t>
      </w:r>
      <w:r w:rsidR="00D6356D" w:rsidRPr="00F6590B">
        <w:rPr>
          <w:szCs w:val="24"/>
          <w:lang w:val="hr-HR"/>
        </w:rPr>
        <w:t xml:space="preserve"> trajanja</w:t>
      </w:r>
      <w:r w:rsidRPr="00F6590B">
        <w:rPr>
          <w:szCs w:val="24"/>
          <w:lang w:val="hr-HR"/>
        </w:rPr>
        <w:t xml:space="preserve"> stečajnih postupaka, te </w:t>
      </w:r>
      <w:r w:rsidR="00D6356D" w:rsidRPr="00F6590B">
        <w:rPr>
          <w:szCs w:val="24"/>
          <w:lang w:val="hr-HR"/>
        </w:rPr>
        <w:t xml:space="preserve">učiniti distinkciju </w:t>
      </w:r>
      <w:r w:rsidRPr="00F6590B">
        <w:rPr>
          <w:szCs w:val="24"/>
          <w:lang w:val="hr-HR"/>
        </w:rPr>
        <w:t xml:space="preserve">trgovačkih sudova </w:t>
      </w:r>
      <w:r w:rsidR="00D6356D" w:rsidRPr="00F6590B">
        <w:rPr>
          <w:szCs w:val="24"/>
          <w:lang w:val="hr-HR"/>
        </w:rPr>
        <w:t xml:space="preserve">s obzirom na njihovu efikasnost </w:t>
      </w:r>
      <w:r w:rsidRPr="00F6590B">
        <w:rPr>
          <w:szCs w:val="24"/>
          <w:lang w:val="hr-HR"/>
        </w:rPr>
        <w:t>u obradi stečajnih predmeta</w:t>
      </w:r>
      <w:r w:rsidR="00D6356D" w:rsidRPr="00F6590B">
        <w:rPr>
          <w:szCs w:val="24"/>
          <w:lang w:val="hr-HR"/>
        </w:rPr>
        <w:t>, pri čemu su korištene metode deskriptivne statistike, analiz</w:t>
      </w:r>
      <w:r w:rsidR="005A2E89" w:rsidRPr="00F6590B">
        <w:rPr>
          <w:szCs w:val="24"/>
          <w:lang w:val="hr-HR"/>
        </w:rPr>
        <w:t>a</w:t>
      </w:r>
      <w:r w:rsidR="00D6356D" w:rsidRPr="00F6590B">
        <w:rPr>
          <w:szCs w:val="24"/>
          <w:lang w:val="hr-HR"/>
        </w:rPr>
        <w:t xml:space="preserve"> varijance i analiz</w:t>
      </w:r>
      <w:r w:rsidR="005A2E89" w:rsidRPr="00F6590B">
        <w:rPr>
          <w:szCs w:val="24"/>
          <w:lang w:val="hr-HR"/>
        </w:rPr>
        <w:t>a</w:t>
      </w:r>
      <w:r w:rsidR="00D6356D" w:rsidRPr="00F6590B">
        <w:rPr>
          <w:szCs w:val="24"/>
          <w:lang w:val="hr-HR"/>
        </w:rPr>
        <w:t xml:space="preserve"> panel podataka. Rezultati pokazuju kako su i</w:t>
      </w:r>
      <w:r w:rsidRPr="00F6590B">
        <w:rPr>
          <w:szCs w:val="24"/>
          <w:lang w:val="hr-HR"/>
        </w:rPr>
        <w:t>spodprosječno efikasni trgovački sudovi u Zagrebu</w:t>
      </w:r>
      <w:r w:rsidR="00D6356D" w:rsidRPr="00F6590B">
        <w:rPr>
          <w:szCs w:val="24"/>
          <w:lang w:val="hr-HR"/>
        </w:rPr>
        <w:t xml:space="preserve"> i </w:t>
      </w:r>
      <w:r w:rsidRPr="00F6590B">
        <w:rPr>
          <w:szCs w:val="24"/>
          <w:lang w:val="hr-HR"/>
        </w:rPr>
        <w:t>Splitu, a nadprosječno u Bjelovaru</w:t>
      </w:r>
      <w:r w:rsidR="00D6356D" w:rsidRPr="00F6590B">
        <w:rPr>
          <w:szCs w:val="24"/>
          <w:lang w:val="hr-HR"/>
        </w:rPr>
        <w:t xml:space="preserve"> i </w:t>
      </w:r>
      <w:r w:rsidRPr="00F6590B">
        <w:rPr>
          <w:szCs w:val="24"/>
          <w:lang w:val="hr-HR"/>
        </w:rPr>
        <w:t>Zadru</w:t>
      </w:r>
      <w:r w:rsidR="00D6356D" w:rsidRPr="00F6590B">
        <w:rPr>
          <w:szCs w:val="24"/>
          <w:lang w:val="hr-HR"/>
        </w:rPr>
        <w:t>.</w:t>
      </w:r>
      <w:r w:rsidRPr="00F6590B">
        <w:rPr>
          <w:szCs w:val="24"/>
          <w:lang w:val="hr-HR"/>
        </w:rPr>
        <w:t xml:space="preserve"> </w:t>
      </w:r>
      <w:r w:rsidR="00D6356D" w:rsidRPr="00F6590B">
        <w:rPr>
          <w:szCs w:val="24"/>
          <w:lang w:val="hr-HR"/>
        </w:rPr>
        <w:t>N</w:t>
      </w:r>
      <w:r w:rsidRPr="00F6590B">
        <w:rPr>
          <w:szCs w:val="24"/>
          <w:lang w:val="hr-HR"/>
        </w:rPr>
        <w:t xml:space="preserve">ajveći dio </w:t>
      </w:r>
      <w:r w:rsidR="00D6356D" w:rsidRPr="00F6590B">
        <w:rPr>
          <w:szCs w:val="24"/>
          <w:lang w:val="hr-HR"/>
        </w:rPr>
        <w:t xml:space="preserve">stečajnih </w:t>
      </w:r>
      <w:r w:rsidRPr="00F6590B">
        <w:rPr>
          <w:szCs w:val="24"/>
          <w:lang w:val="hr-HR"/>
        </w:rPr>
        <w:t xml:space="preserve">postupaka otvoren je prije </w:t>
      </w:r>
      <w:r w:rsidR="00D6356D" w:rsidRPr="00F6590B">
        <w:rPr>
          <w:szCs w:val="24"/>
          <w:lang w:val="hr-HR"/>
        </w:rPr>
        <w:t xml:space="preserve">jedne ili </w:t>
      </w:r>
      <w:r w:rsidRPr="00F6590B">
        <w:rPr>
          <w:szCs w:val="24"/>
          <w:lang w:val="hr-HR"/>
        </w:rPr>
        <w:t xml:space="preserve">dvije godine, ali </w:t>
      </w:r>
      <w:r w:rsidR="00D6356D" w:rsidRPr="00F6590B">
        <w:rPr>
          <w:szCs w:val="24"/>
          <w:lang w:val="hr-HR"/>
        </w:rPr>
        <w:t>također postoji i</w:t>
      </w:r>
      <w:r w:rsidRPr="00F6590B">
        <w:rPr>
          <w:szCs w:val="24"/>
          <w:lang w:val="hr-HR"/>
        </w:rPr>
        <w:t xml:space="preserve"> velik broj dugotrajnih stečajeva</w:t>
      </w:r>
      <w:r w:rsidR="00C533BD" w:rsidRPr="00F6590B">
        <w:rPr>
          <w:szCs w:val="24"/>
          <w:lang w:val="hr-HR"/>
        </w:rPr>
        <w:t>;</w:t>
      </w:r>
      <w:r w:rsidRPr="00F6590B">
        <w:rPr>
          <w:szCs w:val="24"/>
          <w:lang w:val="hr-HR"/>
        </w:rPr>
        <w:t xml:space="preserve"> gotovo svaki peti stečaj traje dulje od šest godina. </w:t>
      </w:r>
    </w:p>
    <w:p w14:paraId="351FD887" w14:textId="77777777" w:rsidR="00947058" w:rsidRPr="00F6590B" w:rsidRDefault="00947058" w:rsidP="00483743">
      <w:pPr>
        <w:spacing w:line="480" w:lineRule="auto"/>
        <w:rPr>
          <w:szCs w:val="24"/>
          <w:lang w:val="hr-HR"/>
        </w:rPr>
      </w:pPr>
    </w:p>
    <w:p w14:paraId="1BA2AA44" w14:textId="7822A821" w:rsidR="00947058" w:rsidRPr="00F6590B" w:rsidRDefault="00947058" w:rsidP="00483743">
      <w:pPr>
        <w:spacing w:line="480" w:lineRule="auto"/>
        <w:rPr>
          <w:szCs w:val="24"/>
          <w:lang w:val="hr-HR"/>
        </w:rPr>
      </w:pPr>
      <w:r w:rsidRPr="00F6590B">
        <w:rPr>
          <w:szCs w:val="24"/>
          <w:lang w:val="hr-HR"/>
        </w:rPr>
        <w:t>Ključne riječi:</w:t>
      </w:r>
    </w:p>
    <w:p w14:paraId="4A6AA401" w14:textId="2F409D4D" w:rsidR="00947058" w:rsidRPr="00F6590B" w:rsidRDefault="00BA164E" w:rsidP="00483743">
      <w:pPr>
        <w:spacing w:line="480" w:lineRule="auto"/>
        <w:rPr>
          <w:szCs w:val="24"/>
          <w:lang w:val="hr-HR"/>
        </w:rPr>
      </w:pPr>
      <w:r w:rsidRPr="00F6590B">
        <w:rPr>
          <w:szCs w:val="24"/>
          <w:lang w:val="hr-HR"/>
        </w:rPr>
        <w:t>statistika</w:t>
      </w:r>
      <w:r w:rsidR="00D6356D" w:rsidRPr="00F6590B">
        <w:rPr>
          <w:szCs w:val="24"/>
          <w:lang w:val="hr-HR"/>
        </w:rPr>
        <w:t xml:space="preserve"> stečajeva</w:t>
      </w:r>
      <w:r w:rsidRPr="00F6590B">
        <w:rPr>
          <w:szCs w:val="24"/>
          <w:lang w:val="hr-HR"/>
        </w:rPr>
        <w:t xml:space="preserve">, efikasnost, trgovački sudovi, </w:t>
      </w:r>
      <w:r w:rsidR="002D2369" w:rsidRPr="00F6590B">
        <w:rPr>
          <w:szCs w:val="24"/>
          <w:lang w:val="hr-HR"/>
        </w:rPr>
        <w:t xml:space="preserve">forum </w:t>
      </w:r>
      <w:proofErr w:type="spellStart"/>
      <w:r w:rsidR="002D2369" w:rsidRPr="00F6590B">
        <w:rPr>
          <w:szCs w:val="24"/>
          <w:lang w:val="hr-HR"/>
        </w:rPr>
        <w:t>shopping</w:t>
      </w:r>
      <w:proofErr w:type="spellEnd"/>
      <w:r w:rsidR="002D2369" w:rsidRPr="00F6590B">
        <w:rPr>
          <w:szCs w:val="24"/>
          <w:lang w:val="hr-HR"/>
        </w:rPr>
        <w:t xml:space="preserve">, </w:t>
      </w:r>
      <w:r w:rsidR="00FE18EB" w:rsidRPr="00F6590B">
        <w:rPr>
          <w:szCs w:val="24"/>
          <w:lang w:val="hr-HR"/>
        </w:rPr>
        <w:t xml:space="preserve">analiza </w:t>
      </w:r>
      <w:r w:rsidRPr="00F6590B">
        <w:rPr>
          <w:szCs w:val="24"/>
          <w:lang w:val="hr-HR"/>
        </w:rPr>
        <w:t xml:space="preserve">panel </w:t>
      </w:r>
      <w:r w:rsidR="00FE18EB" w:rsidRPr="00F6590B">
        <w:rPr>
          <w:szCs w:val="24"/>
          <w:lang w:val="hr-HR"/>
        </w:rPr>
        <w:t>podataka</w:t>
      </w:r>
    </w:p>
    <w:p w14:paraId="21C2932E" w14:textId="77777777" w:rsidR="00947058" w:rsidRPr="00F6590B" w:rsidRDefault="00947058" w:rsidP="00483743">
      <w:pPr>
        <w:spacing w:line="480" w:lineRule="auto"/>
        <w:rPr>
          <w:szCs w:val="24"/>
          <w:lang w:val="hr-HR"/>
        </w:rPr>
      </w:pPr>
    </w:p>
    <w:p w14:paraId="01D0014F" w14:textId="55223A9B" w:rsidR="00947058" w:rsidRPr="00F6590B" w:rsidRDefault="00947058" w:rsidP="00483743">
      <w:pPr>
        <w:spacing w:line="480" w:lineRule="auto"/>
        <w:rPr>
          <w:szCs w:val="24"/>
          <w:lang w:val="hr-HR"/>
        </w:rPr>
      </w:pPr>
      <w:r w:rsidRPr="00F6590B">
        <w:rPr>
          <w:szCs w:val="24"/>
          <w:lang w:val="hr-HR"/>
        </w:rPr>
        <w:t>JEL klasifikacija:</w:t>
      </w:r>
    </w:p>
    <w:p w14:paraId="1D2F4253" w14:textId="2AB79919" w:rsidR="00947058" w:rsidRPr="00F6590B" w:rsidRDefault="00E87879" w:rsidP="00483743">
      <w:pPr>
        <w:spacing w:line="480" w:lineRule="auto"/>
        <w:rPr>
          <w:szCs w:val="24"/>
          <w:lang w:val="hr-HR"/>
        </w:rPr>
      </w:pPr>
      <w:r w:rsidRPr="00F6590B">
        <w:rPr>
          <w:szCs w:val="24"/>
          <w:lang w:val="hr-HR"/>
        </w:rPr>
        <w:t>G33, G38, H83, K41</w:t>
      </w:r>
    </w:p>
    <w:p w14:paraId="409500E9" w14:textId="77777777" w:rsidR="00947058" w:rsidRPr="00F6590B" w:rsidRDefault="00947058" w:rsidP="00483743">
      <w:pPr>
        <w:spacing w:line="480" w:lineRule="auto"/>
        <w:rPr>
          <w:szCs w:val="24"/>
          <w:lang w:val="hr-HR"/>
        </w:rPr>
      </w:pPr>
    </w:p>
    <w:p w14:paraId="6F626C74" w14:textId="02C077AF" w:rsidR="003E4C3D" w:rsidRPr="00F6590B" w:rsidRDefault="00A5721A" w:rsidP="00483743">
      <w:pPr>
        <w:spacing w:line="480" w:lineRule="auto"/>
        <w:ind w:firstLine="720"/>
        <w:jc w:val="center"/>
        <w:rPr>
          <w:rFonts w:cs="Times New Roman"/>
          <w:b/>
          <w:szCs w:val="24"/>
          <w:lang w:val="hr-HR"/>
        </w:rPr>
      </w:pPr>
      <w:proofErr w:type="spellStart"/>
      <w:r w:rsidRPr="00F6590B">
        <w:rPr>
          <w:rFonts w:cs="Times New Roman"/>
          <w:b/>
          <w:szCs w:val="24"/>
          <w:lang w:val="hr-HR"/>
        </w:rPr>
        <w:lastRenderedPageBreak/>
        <w:t>Efficiency</w:t>
      </w:r>
      <w:proofErr w:type="spellEnd"/>
      <w:r w:rsidRPr="00F6590B">
        <w:rPr>
          <w:rFonts w:cs="Times New Roman"/>
          <w:b/>
          <w:szCs w:val="24"/>
          <w:lang w:val="hr-HR"/>
        </w:rPr>
        <w:t xml:space="preserve"> </w:t>
      </w:r>
      <w:proofErr w:type="spellStart"/>
      <w:r w:rsidRPr="00F6590B">
        <w:rPr>
          <w:rFonts w:cs="Times New Roman"/>
          <w:b/>
          <w:szCs w:val="24"/>
          <w:lang w:val="hr-HR"/>
        </w:rPr>
        <w:t>of</w:t>
      </w:r>
      <w:proofErr w:type="spellEnd"/>
      <w:r w:rsidRPr="00F6590B">
        <w:rPr>
          <w:rFonts w:cs="Times New Roman"/>
          <w:b/>
          <w:szCs w:val="24"/>
          <w:lang w:val="hr-HR"/>
        </w:rPr>
        <w:t xml:space="preserve"> </w:t>
      </w:r>
      <w:proofErr w:type="spellStart"/>
      <w:r w:rsidRPr="00F6590B">
        <w:rPr>
          <w:rFonts w:cs="Times New Roman"/>
          <w:b/>
          <w:szCs w:val="24"/>
          <w:lang w:val="hr-HR"/>
        </w:rPr>
        <w:t>Croatian</w:t>
      </w:r>
      <w:proofErr w:type="spellEnd"/>
      <w:r w:rsidRPr="00F6590B">
        <w:rPr>
          <w:rFonts w:cs="Times New Roman"/>
          <w:b/>
          <w:szCs w:val="24"/>
          <w:lang w:val="hr-HR"/>
        </w:rPr>
        <w:t xml:space="preserve"> </w:t>
      </w:r>
      <w:proofErr w:type="spellStart"/>
      <w:r w:rsidRPr="00F6590B">
        <w:rPr>
          <w:rFonts w:cs="Times New Roman"/>
          <w:b/>
          <w:szCs w:val="24"/>
          <w:lang w:val="hr-HR"/>
        </w:rPr>
        <w:t>Commercial</w:t>
      </w:r>
      <w:proofErr w:type="spellEnd"/>
      <w:r w:rsidRPr="00F6590B">
        <w:rPr>
          <w:rFonts w:cs="Times New Roman"/>
          <w:b/>
          <w:szCs w:val="24"/>
          <w:lang w:val="hr-HR"/>
        </w:rPr>
        <w:t xml:space="preserve"> </w:t>
      </w:r>
      <w:proofErr w:type="spellStart"/>
      <w:r w:rsidRPr="00F6590B">
        <w:rPr>
          <w:rFonts w:cs="Times New Roman"/>
          <w:b/>
          <w:szCs w:val="24"/>
          <w:lang w:val="hr-HR"/>
        </w:rPr>
        <w:t>Courts</w:t>
      </w:r>
      <w:proofErr w:type="spellEnd"/>
      <w:r w:rsidRPr="00F6590B">
        <w:rPr>
          <w:rFonts w:cs="Times New Roman"/>
          <w:b/>
          <w:szCs w:val="24"/>
          <w:lang w:val="hr-HR"/>
        </w:rPr>
        <w:t xml:space="preserve"> </w:t>
      </w:r>
      <w:proofErr w:type="spellStart"/>
      <w:r w:rsidRPr="00F6590B">
        <w:rPr>
          <w:rFonts w:cs="Times New Roman"/>
          <w:b/>
          <w:szCs w:val="24"/>
          <w:lang w:val="hr-HR"/>
        </w:rPr>
        <w:t>in</w:t>
      </w:r>
      <w:proofErr w:type="spellEnd"/>
      <w:r w:rsidRPr="00F6590B">
        <w:rPr>
          <w:rFonts w:cs="Times New Roman"/>
          <w:b/>
          <w:szCs w:val="24"/>
          <w:lang w:val="hr-HR"/>
        </w:rPr>
        <w:t xml:space="preserve"> </w:t>
      </w:r>
      <w:proofErr w:type="spellStart"/>
      <w:r w:rsidRPr="00F6590B">
        <w:rPr>
          <w:rFonts w:cs="Times New Roman"/>
          <w:b/>
          <w:szCs w:val="24"/>
          <w:lang w:val="hr-HR"/>
        </w:rPr>
        <w:t>Processing</w:t>
      </w:r>
      <w:proofErr w:type="spellEnd"/>
      <w:r w:rsidRPr="00F6590B">
        <w:rPr>
          <w:rFonts w:cs="Times New Roman"/>
          <w:b/>
          <w:szCs w:val="24"/>
          <w:lang w:val="hr-HR"/>
        </w:rPr>
        <w:t xml:space="preserve"> </w:t>
      </w:r>
      <w:proofErr w:type="spellStart"/>
      <w:r w:rsidRPr="00F6590B">
        <w:rPr>
          <w:rFonts w:cs="Times New Roman"/>
          <w:b/>
          <w:szCs w:val="24"/>
          <w:lang w:val="hr-HR"/>
        </w:rPr>
        <w:t>Bankruptcy</w:t>
      </w:r>
      <w:proofErr w:type="spellEnd"/>
      <w:r w:rsidRPr="00F6590B">
        <w:rPr>
          <w:rFonts w:cs="Times New Roman"/>
          <w:b/>
          <w:szCs w:val="24"/>
          <w:lang w:val="hr-HR"/>
        </w:rPr>
        <w:t xml:space="preserve"> </w:t>
      </w:r>
      <w:proofErr w:type="spellStart"/>
      <w:r w:rsidRPr="00F6590B">
        <w:rPr>
          <w:rFonts w:cs="Times New Roman"/>
          <w:b/>
          <w:szCs w:val="24"/>
          <w:lang w:val="hr-HR"/>
        </w:rPr>
        <w:t>Cases</w:t>
      </w:r>
      <w:proofErr w:type="spellEnd"/>
    </w:p>
    <w:p w14:paraId="2DE7A05E" w14:textId="4B059920" w:rsidR="003E4C3D" w:rsidRPr="00F6590B" w:rsidRDefault="003E4C3D" w:rsidP="00483743">
      <w:pPr>
        <w:spacing w:line="480" w:lineRule="auto"/>
        <w:ind w:firstLine="0"/>
        <w:jc w:val="center"/>
        <w:rPr>
          <w:szCs w:val="24"/>
          <w:lang w:val="hr-HR"/>
        </w:rPr>
      </w:pPr>
      <w:r w:rsidRPr="00F6590B">
        <w:rPr>
          <w:szCs w:val="24"/>
          <w:lang w:val="hr-HR"/>
        </w:rPr>
        <w:t>Domagoj Sajter</w:t>
      </w:r>
      <w:r w:rsidR="00A5721A" w:rsidRPr="00F6590B">
        <w:rPr>
          <w:szCs w:val="24"/>
          <w:lang w:val="hr-HR"/>
        </w:rPr>
        <w:t xml:space="preserve">, </w:t>
      </w:r>
      <w:proofErr w:type="spellStart"/>
      <w:r w:rsidR="00A5721A" w:rsidRPr="00F6590B">
        <w:rPr>
          <w:szCs w:val="24"/>
          <w:lang w:val="hr-HR"/>
        </w:rPr>
        <w:t>PhD</w:t>
      </w:r>
      <w:proofErr w:type="spellEnd"/>
    </w:p>
    <w:p w14:paraId="5DB1C2C1" w14:textId="3FBA8E74" w:rsidR="003E4C3D" w:rsidRPr="00F6590B" w:rsidRDefault="00A5721A" w:rsidP="00483743">
      <w:pPr>
        <w:spacing w:line="480" w:lineRule="auto"/>
        <w:ind w:firstLine="0"/>
        <w:jc w:val="center"/>
        <w:rPr>
          <w:szCs w:val="24"/>
          <w:lang w:val="hr-HR"/>
        </w:rPr>
      </w:pPr>
      <w:proofErr w:type="spellStart"/>
      <w:r w:rsidRPr="00F6590B">
        <w:rPr>
          <w:szCs w:val="24"/>
          <w:lang w:val="hr-HR"/>
        </w:rPr>
        <w:t>Assistant</w:t>
      </w:r>
      <w:proofErr w:type="spellEnd"/>
      <w:r w:rsidRPr="00F6590B">
        <w:rPr>
          <w:szCs w:val="24"/>
          <w:lang w:val="hr-HR"/>
        </w:rPr>
        <w:t xml:space="preserve"> </w:t>
      </w:r>
      <w:proofErr w:type="spellStart"/>
      <w:r w:rsidRPr="00F6590B">
        <w:rPr>
          <w:szCs w:val="24"/>
          <w:lang w:val="hr-HR"/>
        </w:rPr>
        <w:t>Professor</w:t>
      </w:r>
      <w:proofErr w:type="spellEnd"/>
      <w:r w:rsidRPr="00F6590B">
        <w:rPr>
          <w:szCs w:val="24"/>
          <w:lang w:val="hr-HR"/>
        </w:rPr>
        <w:t xml:space="preserve"> at </w:t>
      </w:r>
      <w:proofErr w:type="spellStart"/>
      <w:r w:rsidRPr="00F6590B">
        <w:rPr>
          <w:szCs w:val="24"/>
          <w:lang w:val="hr-HR"/>
        </w:rPr>
        <w:t>Faculty</w:t>
      </w:r>
      <w:proofErr w:type="spellEnd"/>
      <w:r w:rsidRPr="00F6590B">
        <w:rPr>
          <w:szCs w:val="24"/>
          <w:lang w:val="hr-HR"/>
        </w:rPr>
        <w:t xml:space="preserve"> </w:t>
      </w:r>
      <w:proofErr w:type="spellStart"/>
      <w:r w:rsidRPr="00F6590B">
        <w:rPr>
          <w:szCs w:val="24"/>
          <w:lang w:val="hr-HR"/>
        </w:rPr>
        <w:t>of</w:t>
      </w:r>
      <w:proofErr w:type="spellEnd"/>
      <w:r w:rsidRPr="00F6590B">
        <w:rPr>
          <w:szCs w:val="24"/>
          <w:lang w:val="hr-HR"/>
        </w:rPr>
        <w:t xml:space="preserve"> </w:t>
      </w:r>
      <w:proofErr w:type="spellStart"/>
      <w:r w:rsidRPr="00F6590B">
        <w:rPr>
          <w:szCs w:val="24"/>
          <w:lang w:val="hr-HR"/>
        </w:rPr>
        <w:t>Economics</w:t>
      </w:r>
      <w:proofErr w:type="spellEnd"/>
      <w:r w:rsidRPr="00F6590B">
        <w:rPr>
          <w:szCs w:val="24"/>
          <w:lang w:val="hr-HR"/>
        </w:rPr>
        <w:t xml:space="preserve"> </w:t>
      </w:r>
      <w:proofErr w:type="spellStart"/>
      <w:r w:rsidRPr="00F6590B">
        <w:rPr>
          <w:szCs w:val="24"/>
          <w:lang w:val="hr-HR"/>
        </w:rPr>
        <w:t>in</w:t>
      </w:r>
      <w:proofErr w:type="spellEnd"/>
      <w:r w:rsidRPr="00F6590B">
        <w:rPr>
          <w:szCs w:val="24"/>
          <w:lang w:val="hr-HR"/>
        </w:rPr>
        <w:t xml:space="preserve"> Osijek, Croatia</w:t>
      </w:r>
    </w:p>
    <w:p w14:paraId="07895C94" w14:textId="28EBD419" w:rsidR="003E4C3D" w:rsidRPr="00F6590B" w:rsidRDefault="003E4C3D" w:rsidP="00483743">
      <w:pPr>
        <w:spacing w:line="480" w:lineRule="auto"/>
        <w:ind w:firstLine="0"/>
        <w:jc w:val="center"/>
        <w:rPr>
          <w:szCs w:val="24"/>
          <w:lang w:val="hr-HR"/>
        </w:rPr>
      </w:pPr>
      <w:r w:rsidRPr="00F6590B">
        <w:rPr>
          <w:szCs w:val="24"/>
          <w:lang w:val="hr-HR"/>
        </w:rPr>
        <w:t xml:space="preserve">Gajev trg 7, </w:t>
      </w:r>
      <w:r w:rsidR="00A5721A" w:rsidRPr="00F6590B">
        <w:rPr>
          <w:szCs w:val="24"/>
          <w:lang w:val="hr-HR"/>
        </w:rPr>
        <w:t>HR-</w:t>
      </w:r>
      <w:r w:rsidRPr="00F6590B">
        <w:rPr>
          <w:szCs w:val="24"/>
          <w:lang w:val="hr-HR"/>
        </w:rPr>
        <w:t>31000 Osijek</w:t>
      </w:r>
      <w:r w:rsidR="00A5721A" w:rsidRPr="00F6590B">
        <w:rPr>
          <w:szCs w:val="24"/>
          <w:lang w:val="hr-HR"/>
        </w:rPr>
        <w:t>, Croatia</w:t>
      </w:r>
    </w:p>
    <w:p w14:paraId="3BB153E9" w14:textId="3D2DBCE9" w:rsidR="003E4C3D" w:rsidRPr="00F6590B" w:rsidRDefault="003E4C3D" w:rsidP="00483743">
      <w:pPr>
        <w:spacing w:line="480" w:lineRule="auto"/>
        <w:ind w:firstLine="0"/>
        <w:jc w:val="center"/>
        <w:rPr>
          <w:szCs w:val="24"/>
          <w:lang w:val="hr-HR"/>
        </w:rPr>
      </w:pPr>
      <w:r w:rsidRPr="00F6590B">
        <w:rPr>
          <w:szCs w:val="24"/>
          <w:lang w:val="hr-HR"/>
        </w:rPr>
        <w:t>sajter@</w:t>
      </w:r>
      <w:proofErr w:type="spellStart"/>
      <w:r w:rsidRPr="00F6590B">
        <w:rPr>
          <w:szCs w:val="24"/>
          <w:lang w:val="hr-HR"/>
        </w:rPr>
        <w:t>efos.hr</w:t>
      </w:r>
      <w:proofErr w:type="spellEnd"/>
      <w:r w:rsidRPr="00F6590B">
        <w:rPr>
          <w:szCs w:val="24"/>
          <w:lang w:val="hr-HR"/>
        </w:rPr>
        <w:t xml:space="preserve">; </w:t>
      </w:r>
      <w:r w:rsidR="00A5721A" w:rsidRPr="00F6590B">
        <w:rPr>
          <w:szCs w:val="24"/>
          <w:lang w:val="hr-HR"/>
        </w:rPr>
        <w:t xml:space="preserve">+385 </w:t>
      </w:r>
      <w:r w:rsidRPr="00F6590B">
        <w:rPr>
          <w:szCs w:val="24"/>
          <w:lang w:val="hr-HR"/>
        </w:rPr>
        <w:t>31 224 458</w:t>
      </w:r>
    </w:p>
    <w:p w14:paraId="1CECE9B0" w14:textId="77777777" w:rsidR="003E4C3D" w:rsidRPr="00F6590B" w:rsidRDefault="003E4C3D" w:rsidP="00483743">
      <w:pPr>
        <w:spacing w:line="480" w:lineRule="auto"/>
        <w:rPr>
          <w:szCs w:val="24"/>
          <w:lang w:val="hr-HR"/>
        </w:rPr>
      </w:pPr>
    </w:p>
    <w:p w14:paraId="47CDC8D3" w14:textId="21A2899A" w:rsidR="003E4C3D" w:rsidRPr="00F6590B" w:rsidRDefault="00A5721A" w:rsidP="00483743">
      <w:pPr>
        <w:spacing w:line="480" w:lineRule="auto"/>
        <w:rPr>
          <w:szCs w:val="24"/>
          <w:lang w:val="hr-HR"/>
        </w:rPr>
      </w:pPr>
      <w:proofErr w:type="spellStart"/>
      <w:r w:rsidRPr="00F6590B">
        <w:rPr>
          <w:szCs w:val="24"/>
          <w:lang w:val="hr-HR"/>
        </w:rPr>
        <w:t>Abstract</w:t>
      </w:r>
      <w:proofErr w:type="spellEnd"/>
      <w:r w:rsidR="003E4C3D" w:rsidRPr="00F6590B">
        <w:rPr>
          <w:szCs w:val="24"/>
          <w:lang w:val="hr-HR"/>
        </w:rPr>
        <w:t>:</w:t>
      </w:r>
    </w:p>
    <w:p w14:paraId="3C9E0FDC" w14:textId="274B399A" w:rsidR="003E4C3D" w:rsidRPr="00F6590B" w:rsidRDefault="00197846" w:rsidP="00483743">
      <w:pPr>
        <w:spacing w:line="480" w:lineRule="auto"/>
        <w:rPr>
          <w:szCs w:val="24"/>
          <w:lang w:val="hr-HR"/>
        </w:rPr>
      </w:pPr>
      <w:proofErr w:type="spellStart"/>
      <w:r w:rsidRPr="00F6590B">
        <w:rPr>
          <w:szCs w:val="24"/>
          <w:lang w:val="hr-HR"/>
        </w:rPr>
        <w:t>It</w:t>
      </w:r>
      <w:proofErr w:type="spellEnd"/>
      <w:r w:rsidRPr="00F6590B">
        <w:rPr>
          <w:szCs w:val="24"/>
          <w:lang w:val="hr-HR"/>
        </w:rPr>
        <w:t xml:space="preserve"> is </w:t>
      </w:r>
      <w:proofErr w:type="spellStart"/>
      <w:r w:rsidRPr="00F6590B">
        <w:rPr>
          <w:szCs w:val="24"/>
          <w:lang w:val="hr-HR"/>
        </w:rPr>
        <w:t>generally</w:t>
      </w:r>
      <w:proofErr w:type="spellEnd"/>
      <w:r w:rsidRPr="00F6590B">
        <w:rPr>
          <w:szCs w:val="24"/>
          <w:lang w:val="hr-HR"/>
        </w:rPr>
        <w:t xml:space="preserve"> </w:t>
      </w:r>
      <w:proofErr w:type="spellStart"/>
      <w:r w:rsidRPr="00F6590B">
        <w:rPr>
          <w:szCs w:val="24"/>
          <w:lang w:val="hr-HR"/>
        </w:rPr>
        <w:t>considered</w:t>
      </w:r>
      <w:proofErr w:type="spellEnd"/>
      <w:r w:rsidRPr="00F6590B">
        <w:rPr>
          <w:szCs w:val="24"/>
          <w:lang w:val="hr-HR"/>
        </w:rPr>
        <w:t xml:space="preserve"> </w:t>
      </w:r>
      <w:proofErr w:type="spellStart"/>
      <w:r w:rsidRPr="00F6590B">
        <w:rPr>
          <w:szCs w:val="24"/>
          <w:lang w:val="hr-HR"/>
        </w:rPr>
        <w:t>that</w:t>
      </w:r>
      <w:proofErr w:type="spellEnd"/>
      <w:r w:rsidRPr="00F6590B">
        <w:rPr>
          <w:szCs w:val="24"/>
          <w:lang w:val="hr-HR"/>
        </w:rPr>
        <w:t xml:space="preserve"> </w:t>
      </w:r>
      <w:proofErr w:type="spellStart"/>
      <w:r w:rsidRPr="00F6590B">
        <w:rPr>
          <w:szCs w:val="24"/>
          <w:lang w:val="hr-HR"/>
        </w:rPr>
        <w:t>bankruptcy</w:t>
      </w:r>
      <w:proofErr w:type="spellEnd"/>
      <w:r w:rsidRPr="00F6590B">
        <w:rPr>
          <w:szCs w:val="24"/>
          <w:lang w:val="hr-HR"/>
        </w:rPr>
        <w:t xml:space="preserve"> </w:t>
      </w:r>
      <w:proofErr w:type="spellStart"/>
      <w:r w:rsidRPr="00F6590B">
        <w:rPr>
          <w:szCs w:val="24"/>
          <w:lang w:val="hr-HR"/>
        </w:rPr>
        <w:t>procedures</w:t>
      </w:r>
      <w:proofErr w:type="spellEnd"/>
      <w:r w:rsidRPr="00F6590B">
        <w:rPr>
          <w:szCs w:val="24"/>
          <w:lang w:val="hr-HR"/>
        </w:rPr>
        <w:t xml:space="preserve"> </w:t>
      </w:r>
      <w:proofErr w:type="spellStart"/>
      <w:r w:rsidRPr="00F6590B">
        <w:rPr>
          <w:szCs w:val="24"/>
          <w:lang w:val="hr-HR"/>
        </w:rPr>
        <w:t>in</w:t>
      </w:r>
      <w:proofErr w:type="spellEnd"/>
      <w:r w:rsidRPr="00F6590B">
        <w:rPr>
          <w:szCs w:val="24"/>
          <w:lang w:val="hr-HR"/>
        </w:rPr>
        <w:t xml:space="preserve"> Croatia are </w:t>
      </w:r>
      <w:proofErr w:type="spellStart"/>
      <w:r w:rsidRPr="00F6590B">
        <w:rPr>
          <w:szCs w:val="24"/>
          <w:lang w:val="hr-HR"/>
        </w:rPr>
        <w:t>long</w:t>
      </w:r>
      <w:proofErr w:type="spellEnd"/>
      <w:r w:rsidRPr="00F6590B">
        <w:rPr>
          <w:szCs w:val="24"/>
          <w:lang w:val="hr-HR"/>
        </w:rPr>
        <w:t>-</w:t>
      </w:r>
      <w:proofErr w:type="spellStart"/>
      <w:r w:rsidRPr="00F6590B">
        <w:rPr>
          <w:szCs w:val="24"/>
          <w:lang w:val="hr-HR"/>
        </w:rPr>
        <w:t>lasting</w:t>
      </w:r>
      <w:proofErr w:type="spellEnd"/>
      <w:r w:rsidRPr="00F6590B">
        <w:rPr>
          <w:szCs w:val="24"/>
          <w:lang w:val="hr-HR"/>
        </w:rPr>
        <w:t xml:space="preserve">, </w:t>
      </w:r>
      <w:proofErr w:type="spellStart"/>
      <w:r w:rsidRPr="00F6590B">
        <w:rPr>
          <w:szCs w:val="24"/>
          <w:lang w:val="hr-HR"/>
        </w:rPr>
        <w:t>and</w:t>
      </w:r>
      <w:proofErr w:type="spellEnd"/>
      <w:r w:rsidRPr="00F6590B">
        <w:rPr>
          <w:szCs w:val="24"/>
          <w:lang w:val="hr-HR"/>
        </w:rPr>
        <w:t xml:space="preserve"> </w:t>
      </w:r>
      <w:proofErr w:type="spellStart"/>
      <w:r w:rsidRPr="00F6590B">
        <w:rPr>
          <w:szCs w:val="24"/>
          <w:lang w:val="hr-HR"/>
        </w:rPr>
        <w:t>that</w:t>
      </w:r>
      <w:proofErr w:type="spellEnd"/>
      <w:r w:rsidRPr="00F6590B">
        <w:rPr>
          <w:szCs w:val="24"/>
          <w:lang w:val="hr-HR"/>
        </w:rPr>
        <w:t xml:space="preserve"> </w:t>
      </w:r>
      <w:proofErr w:type="spellStart"/>
      <w:r w:rsidRPr="00F6590B">
        <w:rPr>
          <w:szCs w:val="24"/>
          <w:lang w:val="hr-HR"/>
        </w:rPr>
        <w:t>Commercial</w:t>
      </w:r>
      <w:proofErr w:type="spellEnd"/>
      <w:r w:rsidRPr="00F6590B">
        <w:rPr>
          <w:szCs w:val="24"/>
          <w:lang w:val="hr-HR"/>
        </w:rPr>
        <w:t xml:space="preserve"> </w:t>
      </w:r>
      <w:proofErr w:type="spellStart"/>
      <w:r w:rsidRPr="00F6590B">
        <w:rPr>
          <w:szCs w:val="24"/>
          <w:lang w:val="hr-HR"/>
        </w:rPr>
        <w:t>courts</w:t>
      </w:r>
      <w:proofErr w:type="spellEnd"/>
      <w:r w:rsidRPr="00F6590B">
        <w:rPr>
          <w:szCs w:val="24"/>
          <w:lang w:val="hr-HR"/>
        </w:rPr>
        <w:t xml:space="preserve"> are </w:t>
      </w:r>
      <w:proofErr w:type="spellStart"/>
      <w:r w:rsidRPr="00F6590B">
        <w:rPr>
          <w:szCs w:val="24"/>
          <w:lang w:val="hr-HR"/>
        </w:rPr>
        <w:t>sluggish</w:t>
      </w:r>
      <w:proofErr w:type="spellEnd"/>
      <w:r w:rsidRPr="00F6590B">
        <w:rPr>
          <w:szCs w:val="24"/>
          <w:lang w:val="hr-HR"/>
        </w:rPr>
        <w:t xml:space="preserve"> </w:t>
      </w:r>
      <w:proofErr w:type="spellStart"/>
      <w:r w:rsidR="00E974FD" w:rsidRPr="00F6590B">
        <w:rPr>
          <w:szCs w:val="24"/>
          <w:lang w:val="hr-HR"/>
        </w:rPr>
        <w:t>in</w:t>
      </w:r>
      <w:proofErr w:type="spellEnd"/>
      <w:r w:rsidR="00E974FD" w:rsidRPr="00F6590B">
        <w:rPr>
          <w:szCs w:val="24"/>
          <w:lang w:val="hr-HR"/>
        </w:rPr>
        <w:t xml:space="preserve"> </w:t>
      </w:r>
      <w:proofErr w:type="spellStart"/>
      <w:r w:rsidR="00E974FD" w:rsidRPr="00F6590B">
        <w:rPr>
          <w:szCs w:val="24"/>
          <w:lang w:val="hr-HR"/>
        </w:rPr>
        <w:t>processing</w:t>
      </w:r>
      <w:proofErr w:type="spellEnd"/>
      <w:r w:rsidR="00E974FD" w:rsidRPr="00F6590B">
        <w:rPr>
          <w:szCs w:val="24"/>
          <w:lang w:val="hr-HR"/>
        </w:rPr>
        <w:t xml:space="preserve"> </w:t>
      </w:r>
      <w:proofErr w:type="spellStart"/>
      <w:r w:rsidR="00E974FD" w:rsidRPr="00F6590B">
        <w:rPr>
          <w:szCs w:val="24"/>
          <w:lang w:val="hr-HR"/>
        </w:rPr>
        <w:t>them</w:t>
      </w:r>
      <w:proofErr w:type="spellEnd"/>
      <w:r w:rsidR="00E974FD" w:rsidRPr="00F6590B">
        <w:rPr>
          <w:szCs w:val="24"/>
          <w:lang w:val="hr-HR"/>
        </w:rPr>
        <w:t xml:space="preserve">. </w:t>
      </w:r>
      <w:proofErr w:type="spellStart"/>
      <w:r w:rsidR="00E974FD" w:rsidRPr="00F6590B">
        <w:rPr>
          <w:szCs w:val="24"/>
          <w:lang w:val="hr-HR"/>
        </w:rPr>
        <w:t>Having</w:t>
      </w:r>
      <w:proofErr w:type="spellEnd"/>
      <w:r w:rsidR="00E974FD" w:rsidRPr="00F6590B">
        <w:rPr>
          <w:szCs w:val="24"/>
          <w:lang w:val="hr-HR"/>
        </w:rPr>
        <w:t xml:space="preserve"> </w:t>
      </w:r>
      <w:proofErr w:type="spellStart"/>
      <w:r w:rsidR="00E974FD" w:rsidRPr="00F6590B">
        <w:rPr>
          <w:szCs w:val="24"/>
          <w:lang w:val="hr-HR"/>
        </w:rPr>
        <w:t>in</w:t>
      </w:r>
      <w:proofErr w:type="spellEnd"/>
      <w:r w:rsidR="00E974FD" w:rsidRPr="00F6590B">
        <w:rPr>
          <w:szCs w:val="24"/>
          <w:lang w:val="hr-HR"/>
        </w:rPr>
        <w:t xml:space="preserve"> </w:t>
      </w:r>
      <w:proofErr w:type="spellStart"/>
      <w:r w:rsidR="00E974FD" w:rsidRPr="00F6590B">
        <w:rPr>
          <w:szCs w:val="24"/>
          <w:lang w:val="hr-HR"/>
        </w:rPr>
        <w:t>mind</w:t>
      </w:r>
      <w:proofErr w:type="spellEnd"/>
      <w:r w:rsidR="00E974FD" w:rsidRPr="00F6590B">
        <w:rPr>
          <w:szCs w:val="24"/>
          <w:lang w:val="hr-HR"/>
        </w:rPr>
        <w:t xml:space="preserve"> </w:t>
      </w:r>
      <w:proofErr w:type="spellStart"/>
      <w:r w:rsidR="00E974FD" w:rsidRPr="00F6590B">
        <w:rPr>
          <w:szCs w:val="24"/>
          <w:lang w:val="hr-HR"/>
        </w:rPr>
        <w:t>that</w:t>
      </w:r>
      <w:proofErr w:type="spellEnd"/>
      <w:r w:rsidR="00E974FD" w:rsidRPr="00F6590B">
        <w:rPr>
          <w:szCs w:val="24"/>
          <w:lang w:val="hr-HR"/>
        </w:rPr>
        <w:t xml:space="preserve"> </w:t>
      </w:r>
      <w:proofErr w:type="spellStart"/>
      <w:r w:rsidR="00E974FD" w:rsidRPr="00F6590B">
        <w:rPr>
          <w:szCs w:val="24"/>
          <w:lang w:val="hr-HR"/>
        </w:rPr>
        <w:t>efficient</w:t>
      </w:r>
      <w:proofErr w:type="spellEnd"/>
      <w:r w:rsidR="00E974FD" w:rsidRPr="00F6590B">
        <w:rPr>
          <w:szCs w:val="24"/>
          <w:lang w:val="hr-HR"/>
        </w:rPr>
        <w:t xml:space="preserve"> </w:t>
      </w:r>
      <w:proofErr w:type="spellStart"/>
      <w:r w:rsidR="00E974FD" w:rsidRPr="00F6590B">
        <w:rPr>
          <w:szCs w:val="24"/>
          <w:lang w:val="hr-HR"/>
        </w:rPr>
        <w:t>bankruptcy</w:t>
      </w:r>
      <w:proofErr w:type="spellEnd"/>
      <w:r w:rsidR="00E974FD" w:rsidRPr="00F6590B">
        <w:rPr>
          <w:szCs w:val="24"/>
          <w:lang w:val="hr-HR"/>
        </w:rPr>
        <w:t xml:space="preserve"> </w:t>
      </w:r>
      <w:proofErr w:type="spellStart"/>
      <w:r w:rsidR="00E974FD" w:rsidRPr="00F6590B">
        <w:rPr>
          <w:szCs w:val="24"/>
          <w:lang w:val="hr-HR"/>
        </w:rPr>
        <w:t>system</w:t>
      </w:r>
      <w:proofErr w:type="spellEnd"/>
      <w:r w:rsidR="00E974FD" w:rsidRPr="00F6590B">
        <w:rPr>
          <w:szCs w:val="24"/>
          <w:lang w:val="hr-HR"/>
        </w:rPr>
        <w:t xml:space="preserve"> </w:t>
      </w:r>
      <w:proofErr w:type="spellStart"/>
      <w:r w:rsidR="00E974FD" w:rsidRPr="00F6590B">
        <w:rPr>
          <w:szCs w:val="24"/>
          <w:lang w:val="hr-HR"/>
        </w:rPr>
        <w:t>prevents</w:t>
      </w:r>
      <w:proofErr w:type="spellEnd"/>
      <w:r w:rsidR="00E974FD" w:rsidRPr="00F6590B">
        <w:rPr>
          <w:szCs w:val="24"/>
          <w:lang w:val="hr-HR"/>
        </w:rPr>
        <w:t xml:space="preserve"> </w:t>
      </w:r>
      <w:proofErr w:type="spellStart"/>
      <w:r w:rsidR="00E974FD" w:rsidRPr="00F6590B">
        <w:rPr>
          <w:szCs w:val="24"/>
          <w:lang w:val="hr-HR"/>
        </w:rPr>
        <w:t>dissipating</w:t>
      </w:r>
      <w:proofErr w:type="spellEnd"/>
      <w:r w:rsidR="00E974FD" w:rsidRPr="00F6590B">
        <w:rPr>
          <w:szCs w:val="24"/>
          <w:lang w:val="hr-HR"/>
        </w:rPr>
        <w:t xml:space="preserve"> </w:t>
      </w:r>
      <w:proofErr w:type="spellStart"/>
      <w:r w:rsidR="00E974FD" w:rsidRPr="00F6590B">
        <w:rPr>
          <w:szCs w:val="24"/>
          <w:lang w:val="hr-HR"/>
        </w:rPr>
        <w:t>of</w:t>
      </w:r>
      <w:proofErr w:type="spellEnd"/>
      <w:r w:rsidR="00E974FD" w:rsidRPr="00F6590B">
        <w:rPr>
          <w:szCs w:val="24"/>
          <w:lang w:val="hr-HR"/>
        </w:rPr>
        <w:t xml:space="preserve"> </w:t>
      </w:r>
      <w:proofErr w:type="spellStart"/>
      <w:r w:rsidR="00E974FD" w:rsidRPr="00F6590B">
        <w:rPr>
          <w:szCs w:val="24"/>
          <w:lang w:val="hr-HR"/>
        </w:rPr>
        <w:t>collective</w:t>
      </w:r>
      <w:proofErr w:type="spellEnd"/>
      <w:r w:rsidR="00E974FD" w:rsidRPr="00F6590B">
        <w:rPr>
          <w:szCs w:val="24"/>
          <w:lang w:val="hr-HR"/>
        </w:rPr>
        <w:t xml:space="preserve"> </w:t>
      </w:r>
      <w:proofErr w:type="spellStart"/>
      <w:r w:rsidR="00E974FD" w:rsidRPr="00F6590B">
        <w:rPr>
          <w:szCs w:val="24"/>
          <w:lang w:val="hr-HR"/>
        </w:rPr>
        <w:t>wealth</w:t>
      </w:r>
      <w:proofErr w:type="spellEnd"/>
      <w:r w:rsidR="00E974FD" w:rsidRPr="00F6590B">
        <w:rPr>
          <w:szCs w:val="24"/>
          <w:lang w:val="hr-HR"/>
        </w:rPr>
        <w:t xml:space="preserve"> </w:t>
      </w:r>
      <w:proofErr w:type="spellStart"/>
      <w:r w:rsidR="00E974FD" w:rsidRPr="00F6590B">
        <w:rPr>
          <w:szCs w:val="24"/>
          <w:lang w:val="hr-HR"/>
        </w:rPr>
        <w:t>created</w:t>
      </w:r>
      <w:proofErr w:type="spellEnd"/>
      <w:r w:rsidR="00E974FD" w:rsidRPr="00F6590B">
        <w:rPr>
          <w:szCs w:val="24"/>
          <w:lang w:val="hr-HR"/>
        </w:rPr>
        <w:t xml:space="preserve"> </w:t>
      </w:r>
      <w:proofErr w:type="spellStart"/>
      <w:r w:rsidR="00E974FD" w:rsidRPr="00F6590B">
        <w:rPr>
          <w:szCs w:val="24"/>
          <w:lang w:val="hr-HR"/>
        </w:rPr>
        <w:t>by</w:t>
      </w:r>
      <w:proofErr w:type="spellEnd"/>
      <w:r w:rsidR="00E974FD" w:rsidRPr="00F6590B">
        <w:rPr>
          <w:szCs w:val="24"/>
          <w:lang w:val="hr-HR"/>
        </w:rPr>
        <w:t xml:space="preserve"> </w:t>
      </w:r>
      <w:proofErr w:type="spellStart"/>
      <w:r w:rsidR="00E974FD" w:rsidRPr="00F6590B">
        <w:rPr>
          <w:szCs w:val="24"/>
          <w:lang w:val="hr-HR"/>
        </w:rPr>
        <w:t>many</w:t>
      </w:r>
      <w:proofErr w:type="spellEnd"/>
      <w:r w:rsidR="00E974FD" w:rsidRPr="00F6590B">
        <w:rPr>
          <w:szCs w:val="24"/>
          <w:lang w:val="hr-HR"/>
        </w:rPr>
        <w:t xml:space="preserve"> </w:t>
      </w:r>
      <w:proofErr w:type="spellStart"/>
      <w:r w:rsidR="00E974FD" w:rsidRPr="00F6590B">
        <w:rPr>
          <w:szCs w:val="24"/>
          <w:lang w:val="hr-HR"/>
        </w:rPr>
        <w:t>generations</w:t>
      </w:r>
      <w:proofErr w:type="spellEnd"/>
      <w:r w:rsidR="00E974FD" w:rsidRPr="00F6590B">
        <w:rPr>
          <w:szCs w:val="24"/>
          <w:lang w:val="hr-HR"/>
        </w:rPr>
        <w:t xml:space="preserve">, </w:t>
      </w:r>
      <w:proofErr w:type="spellStart"/>
      <w:r w:rsidR="00E974FD" w:rsidRPr="00F6590B">
        <w:rPr>
          <w:szCs w:val="24"/>
          <w:lang w:val="hr-HR"/>
        </w:rPr>
        <w:t>it</w:t>
      </w:r>
      <w:proofErr w:type="spellEnd"/>
      <w:r w:rsidR="00E974FD" w:rsidRPr="00F6590B">
        <w:rPr>
          <w:szCs w:val="24"/>
          <w:lang w:val="hr-HR"/>
        </w:rPr>
        <w:t xml:space="preserve"> is </w:t>
      </w:r>
      <w:proofErr w:type="spellStart"/>
      <w:r w:rsidR="00E974FD" w:rsidRPr="00F6590B">
        <w:rPr>
          <w:szCs w:val="24"/>
          <w:lang w:val="hr-HR"/>
        </w:rPr>
        <w:t>important</w:t>
      </w:r>
      <w:proofErr w:type="spellEnd"/>
      <w:r w:rsidR="00E974FD" w:rsidRPr="00F6590B">
        <w:rPr>
          <w:szCs w:val="24"/>
          <w:lang w:val="hr-HR"/>
        </w:rPr>
        <w:t xml:space="preserve"> to </w:t>
      </w:r>
      <w:proofErr w:type="spellStart"/>
      <w:r w:rsidR="00E974FD" w:rsidRPr="00F6590B">
        <w:rPr>
          <w:szCs w:val="24"/>
          <w:lang w:val="hr-HR"/>
        </w:rPr>
        <w:t>obtain</w:t>
      </w:r>
      <w:proofErr w:type="spellEnd"/>
      <w:r w:rsidR="00E974FD" w:rsidRPr="00F6590B">
        <w:rPr>
          <w:szCs w:val="24"/>
          <w:lang w:val="hr-HR"/>
        </w:rPr>
        <w:t xml:space="preserve"> a </w:t>
      </w:r>
      <w:proofErr w:type="spellStart"/>
      <w:r w:rsidR="00E974FD" w:rsidRPr="00F6590B">
        <w:rPr>
          <w:szCs w:val="24"/>
          <w:lang w:val="hr-HR"/>
        </w:rPr>
        <w:t>reliable</w:t>
      </w:r>
      <w:proofErr w:type="spellEnd"/>
      <w:r w:rsidR="00E974FD" w:rsidRPr="00F6590B">
        <w:rPr>
          <w:szCs w:val="24"/>
          <w:lang w:val="hr-HR"/>
        </w:rPr>
        <w:t xml:space="preserve"> </w:t>
      </w:r>
      <w:proofErr w:type="spellStart"/>
      <w:r w:rsidR="00E974FD" w:rsidRPr="00F6590B">
        <w:rPr>
          <w:szCs w:val="24"/>
          <w:lang w:val="hr-HR"/>
        </w:rPr>
        <w:t>insight</w:t>
      </w:r>
      <w:proofErr w:type="spellEnd"/>
      <w:r w:rsidR="00E974FD" w:rsidRPr="00F6590B">
        <w:rPr>
          <w:szCs w:val="24"/>
          <w:lang w:val="hr-HR"/>
        </w:rPr>
        <w:t xml:space="preserve"> </w:t>
      </w:r>
      <w:proofErr w:type="spellStart"/>
      <w:r w:rsidR="00E974FD" w:rsidRPr="00F6590B">
        <w:rPr>
          <w:szCs w:val="24"/>
          <w:lang w:val="hr-HR"/>
        </w:rPr>
        <w:t>into</w:t>
      </w:r>
      <w:proofErr w:type="spellEnd"/>
      <w:r w:rsidR="00E974FD" w:rsidRPr="00F6590B">
        <w:rPr>
          <w:szCs w:val="24"/>
          <w:lang w:val="hr-HR"/>
        </w:rPr>
        <w:t xml:space="preserve"> </w:t>
      </w:r>
      <w:proofErr w:type="spellStart"/>
      <w:r w:rsidR="00E974FD" w:rsidRPr="00F6590B">
        <w:rPr>
          <w:szCs w:val="24"/>
          <w:lang w:val="hr-HR"/>
        </w:rPr>
        <w:t>its</w:t>
      </w:r>
      <w:proofErr w:type="spellEnd"/>
      <w:r w:rsidR="00E974FD" w:rsidRPr="00F6590B">
        <w:rPr>
          <w:szCs w:val="24"/>
          <w:lang w:val="hr-HR"/>
        </w:rPr>
        <w:t xml:space="preserve"> </w:t>
      </w:r>
      <w:proofErr w:type="spellStart"/>
      <w:r w:rsidR="00E974FD" w:rsidRPr="00F6590B">
        <w:rPr>
          <w:szCs w:val="24"/>
          <w:lang w:val="hr-HR"/>
        </w:rPr>
        <w:t>operation</w:t>
      </w:r>
      <w:proofErr w:type="spellEnd"/>
      <w:r w:rsidR="00E974FD" w:rsidRPr="00F6590B">
        <w:rPr>
          <w:szCs w:val="24"/>
          <w:lang w:val="hr-HR"/>
        </w:rPr>
        <w:t xml:space="preserve">. </w:t>
      </w:r>
      <w:proofErr w:type="spellStart"/>
      <w:r w:rsidR="00E974FD" w:rsidRPr="00F6590B">
        <w:rPr>
          <w:szCs w:val="24"/>
          <w:lang w:val="hr-HR"/>
        </w:rPr>
        <w:t>The</w:t>
      </w:r>
      <w:proofErr w:type="spellEnd"/>
      <w:r w:rsidR="00E974FD" w:rsidRPr="00F6590B">
        <w:rPr>
          <w:szCs w:val="24"/>
          <w:lang w:val="hr-HR"/>
        </w:rPr>
        <w:t xml:space="preserve"> </w:t>
      </w:r>
      <w:proofErr w:type="spellStart"/>
      <w:r w:rsidR="00E974FD" w:rsidRPr="00F6590B">
        <w:rPr>
          <w:szCs w:val="24"/>
          <w:lang w:val="hr-HR"/>
        </w:rPr>
        <w:t>aim</w:t>
      </w:r>
      <w:proofErr w:type="spellEnd"/>
      <w:r w:rsidR="00E974FD" w:rsidRPr="00F6590B">
        <w:rPr>
          <w:szCs w:val="24"/>
          <w:lang w:val="hr-HR"/>
        </w:rPr>
        <w:t xml:space="preserve"> </w:t>
      </w:r>
      <w:proofErr w:type="spellStart"/>
      <w:r w:rsidR="00E974FD" w:rsidRPr="00F6590B">
        <w:rPr>
          <w:szCs w:val="24"/>
          <w:lang w:val="hr-HR"/>
        </w:rPr>
        <w:t>of</w:t>
      </w:r>
      <w:proofErr w:type="spellEnd"/>
      <w:r w:rsidR="00E974FD" w:rsidRPr="00F6590B">
        <w:rPr>
          <w:szCs w:val="24"/>
          <w:lang w:val="hr-HR"/>
        </w:rPr>
        <w:t xml:space="preserve"> </w:t>
      </w:r>
      <w:proofErr w:type="spellStart"/>
      <w:r w:rsidR="00E974FD" w:rsidRPr="00F6590B">
        <w:rPr>
          <w:szCs w:val="24"/>
          <w:lang w:val="hr-HR"/>
        </w:rPr>
        <w:t>this</w:t>
      </w:r>
      <w:proofErr w:type="spellEnd"/>
      <w:r w:rsidR="00E974FD" w:rsidRPr="00F6590B">
        <w:rPr>
          <w:szCs w:val="24"/>
          <w:lang w:val="hr-HR"/>
        </w:rPr>
        <w:t xml:space="preserve"> </w:t>
      </w:r>
      <w:proofErr w:type="spellStart"/>
      <w:r w:rsidR="00E974FD" w:rsidRPr="00F6590B">
        <w:rPr>
          <w:szCs w:val="24"/>
          <w:lang w:val="hr-HR"/>
        </w:rPr>
        <w:t>research</w:t>
      </w:r>
      <w:proofErr w:type="spellEnd"/>
      <w:r w:rsidR="00E974FD" w:rsidRPr="00F6590B">
        <w:rPr>
          <w:szCs w:val="24"/>
          <w:lang w:val="hr-HR"/>
        </w:rPr>
        <w:t xml:space="preserve"> is to </w:t>
      </w:r>
      <w:proofErr w:type="spellStart"/>
      <w:r w:rsidR="00E974FD" w:rsidRPr="00F6590B">
        <w:rPr>
          <w:szCs w:val="24"/>
          <w:lang w:val="hr-HR"/>
        </w:rPr>
        <w:t>gain</w:t>
      </w:r>
      <w:proofErr w:type="spellEnd"/>
      <w:r w:rsidR="00E974FD" w:rsidRPr="00F6590B">
        <w:rPr>
          <w:szCs w:val="24"/>
          <w:lang w:val="hr-HR"/>
        </w:rPr>
        <w:t xml:space="preserve"> a </w:t>
      </w:r>
      <w:proofErr w:type="spellStart"/>
      <w:r w:rsidR="00E974FD" w:rsidRPr="00F6590B">
        <w:rPr>
          <w:szCs w:val="24"/>
          <w:lang w:val="hr-HR"/>
        </w:rPr>
        <w:t>wider</w:t>
      </w:r>
      <w:proofErr w:type="spellEnd"/>
      <w:r w:rsidR="00E974FD" w:rsidRPr="00F6590B">
        <w:rPr>
          <w:szCs w:val="24"/>
          <w:lang w:val="hr-HR"/>
        </w:rPr>
        <w:t xml:space="preserve"> </w:t>
      </w:r>
      <w:proofErr w:type="spellStart"/>
      <w:r w:rsidR="00E974FD" w:rsidRPr="00F6590B">
        <w:rPr>
          <w:szCs w:val="24"/>
          <w:lang w:val="hr-HR"/>
        </w:rPr>
        <w:t>statistical</w:t>
      </w:r>
      <w:proofErr w:type="spellEnd"/>
      <w:r w:rsidR="00E974FD" w:rsidRPr="00F6590B">
        <w:rPr>
          <w:szCs w:val="24"/>
          <w:lang w:val="hr-HR"/>
        </w:rPr>
        <w:t xml:space="preserve"> </w:t>
      </w:r>
      <w:proofErr w:type="spellStart"/>
      <w:r w:rsidR="00E974FD" w:rsidRPr="00F6590B">
        <w:rPr>
          <w:szCs w:val="24"/>
          <w:lang w:val="hr-HR"/>
        </w:rPr>
        <w:t>description</w:t>
      </w:r>
      <w:proofErr w:type="spellEnd"/>
      <w:r w:rsidR="00E974FD" w:rsidRPr="00F6590B">
        <w:rPr>
          <w:szCs w:val="24"/>
          <w:lang w:val="hr-HR"/>
        </w:rPr>
        <w:t xml:space="preserve"> </w:t>
      </w:r>
      <w:proofErr w:type="spellStart"/>
      <w:r w:rsidR="00E974FD" w:rsidRPr="00F6590B">
        <w:rPr>
          <w:szCs w:val="24"/>
          <w:lang w:val="hr-HR"/>
        </w:rPr>
        <w:t>of</w:t>
      </w:r>
      <w:proofErr w:type="spellEnd"/>
      <w:r w:rsidR="00E974FD" w:rsidRPr="00F6590B">
        <w:rPr>
          <w:szCs w:val="24"/>
          <w:lang w:val="hr-HR"/>
        </w:rPr>
        <w:t xml:space="preserve"> </w:t>
      </w:r>
      <w:proofErr w:type="spellStart"/>
      <w:r w:rsidR="00E974FD" w:rsidRPr="00F6590B">
        <w:rPr>
          <w:szCs w:val="24"/>
          <w:lang w:val="hr-HR"/>
        </w:rPr>
        <w:t>duration</w:t>
      </w:r>
      <w:proofErr w:type="spellEnd"/>
      <w:r w:rsidR="00E974FD" w:rsidRPr="00F6590B">
        <w:rPr>
          <w:szCs w:val="24"/>
          <w:lang w:val="hr-HR"/>
        </w:rPr>
        <w:t xml:space="preserve"> </w:t>
      </w:r>
      <w:proofErr w:type="spellStart"/>
      <w:r w:rsidR="00E974FD" w:rsidRPr="00F6590B">
        <w:rPr>
          <w:szCs w:val="24"/>
          <w:lang w:val="hr-HR"/>
        </w:rPr>
        <w:t>of</w:t>
      </w:r>
      <w:proofErr w:type="spellEnd"/>
      <w:r w:rsidR="00E974FD" w:rsidRPr="00F6590B">
        <w:rPr>
          <w:szCs w:val="24"/>
          <w:lang w:val="hr-HR"/>
        </w:rPr>
        <w:t xml:space="preserve"> </w:t>
      </w:r>
      <w:proofErr w:type="spellStart"/>
      <w:r w:rsidR="00E974FD" w:rsidRPr="00F6590B">
        <w:rPr>
          <w:szCs w:val="24"/>
          <w:lang w:val="hr-HR"/>
        </w:rPr>
        <w:t>bankruptcy</w:t>
      </w:r>
      <w:proofErr w:type="spellEnd"/>
      <w:r w:rsidR="00E974FD" w:rsidRPr="00F6590B">
        <w:rPr>
          <w:szCs w:val="24"/>
          <w:lang w:val="hr-HR"/>
        </w:rPr>
        <w:t xml:space="preserve"> </w:t>
      </w:r>
      <w:proofErr w:type="spellStart"/>
      <w:r w:rsidR="00E974FD" w:rsidRPr="00F6590B">
        <w:rPr>
          <w:szCs w:val="24"/>
          <w:lang w:val="hr-HR"/>
        </w:rPr>
        <w:t>cases</w:t>
      </w:r>
      <w:proofErr w:type="spellEnd"/>
      <w:r w:rsidR="00E974FD" w:rsidRPr="00F6590B">
        <w:rPr>
          <w:szCs w:val="24"/>
          <w:lang w:val="hr-HR"/>
        </w:rPr>
        <w:t xml:space="preserve">, </w:t>
      </w:r>
      <w:proofErr w:type="spellStart"/>
      <w:r w:rsidR="00E974FD" w:rsidRPr="00F6590B">
        <w:rPr>
          <w:szCs w:val="24"/>
          <w:lang w:val="hr-HR"/>
        </w:rPr>
        <w:t>and</w:t>
      </w:r>
      <w:proofErr w:type="spellEnd"/>
      <w:r w:rsidR="00E974FD" w:rsidRPr="00F6590B">
        <w:rPr>
          <w:szCs w:val="24"/>
          <w:lang w:val="hr-HR"/>
        </w:rPr>
        <w:t xml:space="preserve"> to </w:t>
      </w:r>
      <w:proofErr w:type="spellStart"/>
      <w:r w:rsidR="00E974FD" w:rsidRPr="00F6590B">
        <w:rPr>
          <w:szCs w:val="24"/>
          <w:lang w:val="hr-HR"/>
        </w:rPr>
        <w:t>differentiate</w:t>
      </w:r>
      <w:proofErr w:type="spellEnd"/>
      <w:r w:rsidR="00E974FD" w:rsidRPr="00F6590B">
        <w:rPr>
          <w:szCs w:val="24"/>
          <w:lang w:val="hr-HR"/>
        </w:rPr>
        <w:t xml:space="preserve"> </w:t>
      </w:r>
      <w:proofErr w:type="spellStart"/>
      <w:r w:rsidR="00E974FD" w:rsidRPr="00F6590B">
        <w:rPr>
          <w:szCs w:val="24"/>
          <w:lang w:val="hr-HR"/>
        </w:rPr>
        <w:t>Commercial</w:t>
      </w:r>
      <w:proofErr w:type="spellEnd"/>
      <w:r w:rsidR="00E974FD" w:rsidRPr="00F6590B">
        <w:rPr>
          <w:szCs w:val="24"/>
          <w:lang w:val="hr-HR"/>
        </w:rPr>
        <w:t xml:space="preserve"> </w:t>
      </w:r>
      <w:proofErr w:type="spellStart"/>
      <w:r w:rsidR="00E974FD" w:rsidRPr="00F6590B">
        <w:rPr>
          <w:szCs w:val="24"/>
          <w:lang w:val="hr-HR"/>
        </w:rPr>
        <w:t>courts</w:t>
      </w:r>
      <w:proofErr w:type="spellEnd"/>
      <w:r w:rsidR="00E974FD" w:rsidRPr="00F6590B">
        <w:rPr>
          <w:szCs w:val="24"/>
          <w:lang w:val="hr-HR"/>
        </w:rPr>
        <w:t xml:space="preserve"> </w:t>
      </w:r>
      <w:proofErr w:type="spellStart"/>
      <w:r w:rsidR="00E974FD" w:rsidRPr="00F6590B">
        <w:rPr>
          <w:szCs w:val="24"/>
          <w:lang w:val="hr-HR"/>
        </w:rPr>
        <w:t>by</w:t>
      </w:r>
      <w:proofErr w:type="spellEnd"/>
      <w:r w:rsidR="00E974FD" w:rsidRPr="00F6590B">
        <w:rPr>
          <w:szCs w:val="24"/>
          <w:lang w:val="hr-HR"/>
        </w:rPr>
        <w:t xml:space="preserve"> </w:t>
      </w:r>
      <w:proofErr w:type="spellStart"/>
      <w:r w:rsidR="00E974FD" w:rsidRPr="00F6590B">
        <w:rPr>
          <w:szCs w:val="24"/>
          <w:lang w:val="hr-HR"/>
        </w:rPr>
        <w:t>their</w:t>
      </w:r>
      <w:proofErr w:type="spellEnd"/>
      <w:r w:rsidR="00E974FD" w:rsidRPr="00F6590B">
        <w:rPr>
          <w:szCs w:val="24"/>
          <w:lang w:val="hr-HR"/>
        </w:rPr>
        <w:t xml:space="preserve"> </w:t>
      </w:r>
      <w:proofErr w:type="spellStart"/>
      <w:r w:rsidR="00E974FD" w:rsidRPr="00F6590B">
        <w:rPr>
          <w:szCs w:val="24"/>
          <w:lang w:val="hr-HR"/>
        </w:rPr>
        <w:t>efficiency</w:t>
      </w:r>
      <w:proofErr w:type="spellEnd"/>
      <w:r w:rsidR="00E974FD" w:rsidRPr="00F6590B">
        <w:rPr>
          <w:szCs w:val="24"/>
          <w:lang w:val="hr-HR"/>
        </w:rPr>
        <w:t xml:space="preserve"> </w:t>
      </w:r>
      <w:proofErr w:type="spellStart"/>
      <w:r w:rsidR="00E974FD" w:rsidRPr="00F6590B">
        <w:rPr>
          <w:szCs w:val="24"/>
          <w:lang w:val="hr-HR"/>
        </w:rPr>
        <w:t>in</w:t>
      </w:r>
      <w:proofErr w:type="spellEnd"/>
      <w:r w:rsidR="00E974FD" w:rsidRPr="00F6590B">
        <w:rPr>
          <w:szCs w:val="24"/>
          <w:lang w:val="hr-HR"/>
        </w:rPr>
        <w:t xml:space="preserve"> </w:t>
      </w:r>
      <w:proofErr w:type="spellStart"/>
      <w:r w:rsidR="00E974FD" w:rsidRPr="00F6590B">
        <w:rPr>
          <w:szCs w:val="24"/>
          <w:lang w:val="hr-HR"/>
        </w:rPr>
        <w:t>processing</w:t>
      </w:r>
      <w:proofErr w:type="spellEnd"/>
      <w:r w:rsidR="00E974FD" w:rsidRPr="00F6590B">
        <w:rPr>
          <w:szCs w:val="24"/>
          <w:lang w:val="hr-HR"/>
        </w:rPr>
        <w:t xml:space="preserve"> </w:t>
      </w:r>
      <w:proofErr w:type="spellStart"/>
      <w:r w:rsidR="00E974FD" w:rsidRPr="00F6590B">
        <w:rPr>
          <w:szCs w:val="24"/>
          <w:lang w:val="hr-HR"/>
        </w:rPr>
        <w:t>bankruptcy</w:t>
      </w:r>
      <w:proofErr w:type="spellEnd"/>
      <w:r w:rsidR="00E974FD" w:rsidRPr="00F6590B">
        <w:rPr>
          <w:szCs w:val="24"/>
          <w:lang w:val="hr-HR"/>
        </w:rPr>
        <w:t xml:space="preserve"> </w:t>
      </w:r>
      <w:proofErr w:type="spellStart"/>
      <w:r w:rsidR="00E974FD" w:rsidRPr="00F6590B">
        <w:rPr>
          <w:szCs w:val="24"/>
          <w:lang w:val="hr-HR"/>
        </w:rPr>
        <w:t>cases</w:t>
      </w:r>
      <w:proofErr w:type="spellEnd"/>
      <w:r w:rsidR="00E974FD" w:rsidRPr="00F6590B">
        <w:rPr>
          <w:szCs w:val="24"/>
          <w:lang w:val="hr-HR"/>
        </w:rPr>
        <w:t xml:space="preserve">. </w:t>
      </w:r>
      <w:proofErr w:type="spellStart"/>
      <w:r w:rsidR="00E974FD" w:rsidRPr="00F6590B">
        <w:rPr>
          <w:szCs w:val="24"/>
          <w:lang w:val="hr-HR"/>
        </w:rPr>
        <w:t>The</w:t>
      </w:r>
      <w:proofErr w:type="spellEnd"/>
      <w:r w:rsidR="00E974FD" w:rsidRPr="00F6590B">
        <w:rPr>
          <w:szCs w:val="24"/>
          <w:lang w:val="hr-HR"/>
        </w:rPr>
        <w:t xml:space="preserve"> </w:t>
      </w:r>
      <w:proofErr w:type="spellStart"/>
      <w:r w:rsidR="00E974FD" w:rsidRPr="00F6590B">
        <w:rPr>
          <w:szCs w:val="24"/>
          <w:lang w:val="hr-HR"/>
        </w:rPr>
        <w:t>methods</w:t>
      </w:r>
      <w:proofErr w:type="spellEnd"/>
      <w:r w:rsidR="00E974FD" w:rsidRPr="00F6590B">
        <w:rPr>
          <w:szCs w:val="24"/>
          <w:lang w:val="hr-HR"/>
        </w:rPr>
        <w:t xml:space="preserve"> </w:t>
      </w:r>
      <w:proofErr w:type="spellStart"/>
      <w:r w:rsidR="00E974FD" w:rsidRPr="00F6590B">
        <w:rPr>
          <w:szCs w:val="24"/>
          <w:lang w:val="hr-HR"/>
        </w:rPr>
        <w:t>used</w:t>
      </w:r>
      <w:proofErr w:type="spellEnd"/>
      <w:r w:rsidR="00E974FD" w:rsidRPr="00F6590B">
        <w:rPr>
          <w:szCs w:val="24"/>
          <w:lang w:val="hr-HR"/>
        </w:rPr>
        <w:t xml:space="preserve"> are </w:t>
      </w:r>
      <w:proofErr w:type="spellStart"/>
      <w:r w:rsidR="00E974FD" w:rsidRPr="00F6590B">
        <w:rPr>
          <w:szCs w:val="24"/>
          <w:lang w:val="hr-HR"/>
        </w:rPr>
        <w:t>descriptive</w:t>
      </w:r>
      <w:proofErr w:type="spellEnd"/>
      <w:r w:rsidR="00E974FD" w:rsidRPr="00F6590B">
        <w:rPr>
          <w:szCs w:val="24"/>
          <w:lang w:val="hr-HR"/>
        </w:rPr>
        <w:t xml:space="preserve"> </w:t>
      </w:r>
      <w:proofErr w:type="spellStart"/>
      <w:r w:rsidR="00E974FD" w:rsidRPr="00F6590B">
        <w:rPr>
          <w:szCs w:val="24"/>
          <w:lang w:val="hr-HR"/>
        </w:rPr>
        <w:t>statistics</w:t>
      </w:r>
      <w:proofErr w:type="spellEnd"/>
      <w:r w:rsidR="00E974FD" w:rsidRPr="00F6590B">
        <w:rPr>
          <w:szCs w:val="24"/>
          <w:lang w:val="hr-HR"/>
        </w:rPr>
        <w:t xml:space="preserve">, </w:t>
      </w:r>
      <w:proofErr w:type="spellStart"/>
      <w:r w:rsidR="00E974FD" w:rsidRPr="00F6590B">
        <w:rPr>
          <w:szCs w:val="24"/>
          <w:lang w:val="hr-HR"/>
        </w:rPr>
        <w:t>analysis</w:t>
      </w:r>
      <w:proofErr w:type="spellEnd"/>
      <w:r w:rsidR="00E974FD" w:rsidRPr="00F6590B">
        <w:rPr>
          <w:szCs w:val="24"/>
          <w:lang w:val="hr-HR"/>
        </w:rPr>
        <w:t xml:space="preserve"> </w:t>
      </w:r>
      <w:proofErr w:type="spellStart"/>
      <w:r w:rsidR="00E974FD" w:rsidRPr="00F6590B">
        <w:rPr>
          <w:szCs w:val="24"/>
          <w:lang w:val="hr-HR"/>
        </w:rPr>
        <w:t>of</w:t>
      </w:r>
      <w:proofErr w:type="spellEnd"/>
      <w:r w:rsidR="00E974FD" w:rsidRPr="00F6590B">
        <w:rPr>
          <w:szCs w:val="24"/>
          <w:lang w:val="hr-HR"/>
        </w:rPr>
        <w:t xml:space="preserve"> </w:t>
      </w:r>
      <w:proofErr w:type="spellStart"/>
      <w:r w:rsidR="00E974FD" w:rsidRPr="00F6590B">
        <w:rPr>
          <w:szCs w:val="24"/>
          <w:lang w:val="hr-HR"/>
        </w:rPr>
        <w:t>variance</w:t>
      </w:r>
      <w:proofErr w:type="spellEnd"/>
      <w:r w:rsidR="00E974FD" w:rsidRPr="00F6590B">
        <w:rPr>
          <w:szCs w:val="24"/>
          <w:lang w:val="hr-HR"/>
        </w:rPr>
        <w:t xml:space="preserve">, </w:t>
      </w:r>
      <w:proofErr w:type="spellStart"/>
      <w:r w:rsidR="00E974FD" w:rsidRPr="00F6590B">
        <w:rPr>
          <w:szCs w:val="24"/>
          <w:lang w:val="hr-HR"/>
        </w:rPr>
        <w:t>and</w:t>
      </w:r>
      <w:proofErr w:type="spellEnd"/>
      <w:r w:rsidR="00E974FD" w:rsidRPr="00F6590B">
        <w:rPr>
          <w:szCs w:val="24"/>
          <w:lang w:val="hr-HR"/>
        </w:rPr>
        <w:t xml:space="preserve"> panel </w:t>
      </w:r>
      <w:proofErr w:type="spellStart"/>
      <w:r w:rsidR="00E974FD" w:rsidRPr="00F6590B">
        <w:rPr>
          <w:szCs w:val="24"/>
          <w:lang w:val="hr-HR"/>
        </w:rPr>
        <w:t>data</w:t>
      </w:r>
      <w:proofErr w:type="spellEnd"/>
      <w:r w:rsidR="00E974FD" w:rsidRPr="00F6590B">
        <w:rPr>
          <w:szCs w:val="24"/>
          <w:lang w:val="hr-HR"/>
        </w:rPr>
        <w:t xml:space="preserve"> </w:t>
      </w:r>
      <w:proofErr w:type="spellStart"/>
      <w:r w:rsidR="00E974FD" w:rsidRPr="00F6590B">
        <w:rPr>
          <w:szCs w:val="24"/>
          <w:lang w:val="hr-HR"/>
        </w:rPr>
        <w:t>analysis</w:t>
      </w:r>
      <w:proofErr w:type="spellEnd"/>
      <w:r w:rsidR="00E974FD" w:rsidRPr="00F6590B">
        <w:rPr>
          <w:szCs w:val="24"/>
          <w:lang w:val="hr-HR"/>
        </w:rPr>
        <w:t xml:space="preserve">. </w:t>
      </w:r>
      <w:proofErr w:type="spellStart"/>
      <w:r w:rsidR="00E974FD" w:rsidRPr="00F6590B">
        <w:rPr>
          <w:szCs w:val="24"/>
          <w:lang w:val="hr-HR"/>
        </w:rPr>
        <w:t>Results</w:t>
      </w:r>
      <w:proofErr w:type="spellEnd"/>
      <w:r w:rsidR="00E974FD" w:rsidRPr="00F6590B">
        <w:rPr>
          <w:szCs w:val="24"/>
          <w:lang w:val="hr-HR"/>
        </w:rPr>
        <w:t xml:space="preserve"> </w:t>
      </w:r>
      <w:proofErr w:type="spellStart"/>
      <w:r w:rsidR="00E974FD" w:rsidRPr="00F6590B">
        <w:rPr>
          <w:szCs w:val="24"/>
          <w:lang w:val="hr-HR"/>
        </w:rPr>
        <w:t>show</w:t>
      </w:r>
      <w:proofErr w:type="spellEnd"/>
      <w:r w:rsidR="00E974FD" w:rsidRPr="00F6590B">
        <w:rPr>
          <w:szCs w:val="24"/>
          <w:lang w:val="hr-HR"/>
        </w:rPr>
        <w:t xml:space="preserve"> </w:t>
      </w:r>
      <w:proofErr w:type="spellStart"/>
      <w:r w:rsidR="00E974FD" w:rsidRPr="00F6590B">
        <w:rPr>
          <w:szCs w:val="24"/>
          <w:lang w:val="hr-HR"/>
        </w:rPr>
        <w:t>that</w:t>
      </w:r>
      <w:proofErr w:type="spellEnd"/>
      <w:r w:rsidR="00E974FD" w:rsidRPr="00F6590B">
        <w:rPr>
          <w:szCs w:val="24"/>
          <w:lang w:val="hr-HR"/>
        </w:rPr>
        <w:t xml:space="preserve"> </w:t>
      </w:r>
      <w:proofErr w:type="spellStart"/>
      <w:r w:rsidR="00E974FD" w:rsidRPr="00F6590B">
        <w:rPr>
          <w:szCs w:val="24"/>
          <w:lang w:val="hr-HR"/>
        </w:rPr>
        <w:t>efficiency</w:t>
      </w:r>
      <w:proofErr w:type="spellEnd"/>
      <w:r w:rsidR="00E974FD" w:rsidRPr="00F6590B">
        <w:rPr>
          <w:szCs w:val="24"/>
          <w:lang w:val="hr-HR"/>
        </w:rPr>
        <w:t xml:space="preserve"> </w:t>
      </w:r>
      <w:proofErr w:type="spellStart"/>
      <w:r w:rsidR="00E974FD" w:rsidRPr="00F6590B">
        <w:rPr>
          <w:szCs w:val="24"/>
          <w:lang w:val="hr-HR"/>
        </w:rPr>
        <w:t>of</w:t>
      </w:r>
      <w:proofErr w:type="spellEnd"/>
      <w:r w:rsidR="00E974FD" w:rsidRPr="00F6590B">
        <w:rPr>
          <w:szCs w:val="24"/>
          <w:lang w:val="hr-HR"/>
        </w:rPr>
        <w:t xml:space="preserve"> </w:t>
      </w:r>
      <w:proofErr w:type="spellStart"/>
      <w:r w:rsidR="00E974FD" w:rsidRPr="00F6590B">
        <w:rPr>
          <w:szCs w:val="24"/>
          <w:lang w:val="hr-HR"/>
        </w:rPr>
        <w:t>Commercial</w:t>
      </w:r>
      <w:proofErr w:type="spellEnd"/>
      <w:r w:rsidR="00E974FD" w:rsidRPr="00F6590B">
        <w:rPr>
          <w:szCs w:val="24"/>
          <w:lang w:val="hr-HR"/>
        </w:rPr>
        <w:t xml:space="preserve"> </w:t>
      </w:r>
      <w:proofErr w:type="spellStart"/>
      <w:r w:rsidR="00E974FD" w:rsidRPr="00F6590B">
        <w:rPr>
          <w:szCs w:val="24"/>
          <w:lang w:val="hr-HR"/>
        </w:rPr>
        <w:t>courts</w:t>
      </w:r>
      <w:proofErr w:type="spellEnd"/>
      <w:r w:rsidR="00E974FD" w:rsidRPr="00F6590B">
        <w:rPr>
          <w:szCs w:val="24"/>
          <w:lang w:val="hr-HR"/>
        </w:rPr>
        <w:t xml:space="preserve"> </w:t>
      </w:r>
      <w:proofErr w:type="spellStart"/>
      <w:r w:rsidR="00E974FD" w:rsidRPr="00F6590B">
        <w:rPr>
          <w:szCs w:val="24"/>
          <w:lang w:val="hr-HR"/>
        </w:rPr>
        <w:t>in</w:t>
      </w:r>
      <w:proofErr w:type="spellEnd"/>
      <w:r w:rsidR="00E974FD" w:rsidRPr="00F6590B">
        <w:rPr>
          <w:szCs w:val="24"/>
          <w:lang w:val="hr-HR"/>
        </w:rPr>
        <w:t xml:space="preserve"> Zagreb </w:t>
      </w:r>
      <w:proofErr w:type="spellStart"/>
      <w:r w:rsidR="00E974FD" w:rsidRPr="00F6590B">
        <w:rPr>
          <w:szCs w:val="24"/>
          <w:lang w:val="hr-HR"/>
        </w:rPr>
        <w:t>and</w:t>
      </w:r>
      <w:proofErr w:type="spellEnd"/>
      <w:r w:rsidR="00E974FD" w:rsidRPr="00F6590B">
        <w:rPr>
          <w:szCs w:val="24"/>
          <w:lang w:val="hr-HR"/>
        </w:rPr>
        <w:t xml:space="preserve"> Split are </w:t>
      </w:r>
      <w:proofErr w:type="spellStart"/>
      <w:r w:rsidR="00E974FD" w:rsidRPr="00F6590B">
        <w:rPr>
          <w:szCs w:val="24"/>
          <w:lang w:val="hr-HR"/>
        </w:rPr>
        <w:t>below</w:t>
      </w:r>
      <w:proofErr w:type="spellEnd"/>
      <w:r w:rsidR="00E974FD" w:rsidRPr="00F6590B">
        <w:rPr>
          <w:szCs w:val="24"/>
          <w:lang w:val="hr-HR"/>
        </w:rPr>
        <w:t>-</w:t>
      </w:r>
      <w:proofErr w:type="spellStart"/>
      <w:r w:rsidR="00E974FD" w:rsidRPr="00F6590B">
        <w:rPr>
          <w:szCs w:val="24"/>
          <w:lang w:val="hr-HR"/>
        </w:rPr>
        <w:t>average</w:t>
      </w:r>
      <w:proofErr w:type="spellEnd"/>
      <w:r w:rsidR="005A2E89" w:rsidRPr="00F6590B">
        <w:rPr>
          <w:szCs w:val="24"/>
          <w:lang w:val="hr-HR"/>
        </w:rPr>
        <w:t xml:space="preserve">, </w:t>
      </w:r>
      <w:proofErr w:type="spellStart"/>
      <w:r w:rsidR="005A2E89" w:rsidRPr="00F6590B">
        <w:rPr>
          <w:szCs w:val="24"/>
          <w:lang w:val="hr-HR"/>
        </w:rPr>
        <w:t>and</w:t>
      </w:r>
      <w:proofErr w:type="spellEnd"/>
      <w:r w:rsidR="005A2E89" w:rsidRPr="00F6590B">
        <w:rPr>
          <w:szCs w:val="24"/>
          <w:lang w:val="hr-HR"/>
        </w:rPr>
        <w:t xml:space="preserve"> </w:t>
      </w:r>
      <w:proofErr w:type="spellStart"/>
      <w:r w:rsidR="005A2E89" w:rsidRPr="00F6590B">
        <w:rPr>
          <w:szCs w:val="24"/>
          <w:lang w:val="hr-HR"/>
        </w:rPr>
        <w:t>above</w:t>
      </w:r>
      <w:proofErr w:type="spellEnd"/>
      <w:r w:rsidR="005A2E89" w:rsidRPr="00F6590B">
        <w:rPr>
          <w:szCs w:val="24"/>
          <w:lang w:val="hr-HR"/>
        </w:rPr>
        <w:t>-</w:t>
      </w:r>
      <w:proofErr w:type="spellStart"/>
      <w:r w:rsidR="005A2E89" w:rsidRPr="00F6590B">
        <w:rPr>
          <w:szCs w:val="24"/>
          <w:lang w:val="hr-HR"/>
        </w:rPr>
        <w:t>average</w:t>
      </w:r>
      <w:proofErr w:type="spellEnd"/>
      <w:r w:rsidR="005A2E89" w:rsidRPr="00F6590B">
        <w:rPr>
          <w:szCs w:val="24"/>
          <w:lang w:val="hr-HR"/>
        </w:rPr>
        <w:t xml:space="preserve"> </w:t>
      </w:r>
      <w:proofErr w:type="spellStart"/>
      <w:r w:rsidR="005A2E89" w:rsidRPr="00F6590B">
        <w:rPr>
          <w:szCs w:val="24"/>
          <w:lang w:val="hr-HR"/>
        </w:rPr>
        <w:t>in</w:t>
      </w:r>
      <w:proofErr w:type="spellEnd"/>
      <w:r w:rsidR="005A2E89" w:rsidRPr="00F6590B">
        <w:rPr>
          <w:szCs w:val="24"/>
          <w:lang w:val="hr-HR"/>
        </w:rPr>
        <w:t xml:space="preserve"> Bjelovar </w:t>
      </w:r>
      <w:proofErr w:type="spellStart"/>
      <w:r w:rsidR="005A2E89" w:rsidRPr="00F6590B">
        <w:rPr>
          <w:szCs w:val="24"/>
          <w:lang w:val="hr-HR"/>
        </w:rPr>
        <w:t>and</w:t>
      </w:r>
      <w:proofErr w:type="spellEnd"/>
      <w:r w:rsidR="005A2E89" w:rsidRPr="00F6590B">
        <w:rPr>
          <w:szCs w:val="24"/>
          <w:lang w:val="hr-HR"/>
        </w:rPr>
        <w:t xml:space="preserve"> Zadar. Most </w:t>
      </w:r>
      <w:proofErr w:type="spellStart"/>
      <w:r w:rsidR="005A2E89" w:rsidRPr="00F6590B">
        <w:rPr>
          <w:szCs w:val="24"/>
          <w:lang w:val="hr-HR"/>
        </w:rPr>
        <w:t>cases</w:t>
      </w:r>
      <w:proofErr w:type="spellEnd"/>
      <w:r w:rsidR="005A2E89" w:rsidRPr="00F6590B">
        <w:rPr>
          <w:szCs w:val="24"/>
          <w:lang w:val="hr-HR"/>
        </w:rPr>
        <w:t xml:space="preserve"> are </w:t>
      </w:r>
      <w:proofErr w:type="spellStart"/>
      <w:r w:rsidR="005A2E89" w:rsidRPr="00F6590B">
        <w:rPr>
          <w:szCs w:val="24"/>
          <w:lang w:val="hr-HR"/>
        </w:rPr>
        <w:t>opened</w:t>
      </w:r>
      <w:proofErr w:type="spellEnd"/>
      <w:r w:rsidR="005A2E89" w:rsidRPr="00F6590B">
        <w:rPr>
          <w:szCs w:val="24"/>
          <w:lang w:val="hr-HR"/>
        </w:rPr>
        <w:t xml:space="preserve"> one or </w:t>
      </w:r>
      <w:proofErr w:type="spellStart"/>
      <w:r w:rsidR="005A2E89" w:rsidRPr="00F6590B">
        <w:rPr>
          <w:szCs w:val="24"/>
          <w:lang w:val="hr-HR"/>
        </w:rPr>
        <w:t>two</w:t>
      </w:r>
      <w:proofErr w:type="spellEnd"/>
      <w:r w:rsidR="005A2E89" w:rsidRPr="00F6590B">
        <w:rPr>
          <w:szCs w:val="24"/>
          <w:lang w:val="hr-HR"/>
        </w:rPr>
        <w:t xml:space="preserve"> </w:t>
      </w:r>
      <w:proofErr w:type="spellStart"/>
      <w:r w:rsidR="005A2E89" w:rsidRPr="00F6590B">
        <w:rPr>
          <w:szCs w:val="24"/>
          <w:lang w:val="hr-HR"/>
        </w:rPr>
        <w:t>years</w:t>
      </w:r>
      <w:proofErr w:type="spellEnd"/>
      <w:r w:rsidR="005A2E89" w:rsidRPr="00F6590B">
        <w:rPr>
          <w:szCs w:val="24"/>
          <w:lang w:val="hr-HR"/>
        </w:rPr>
        <w:t xml:space="preserve"> ago, but </w:t>
      </w:r>
      <w:proofErr w:type="spellStart"/>
      <w:r w:rsidR="005A2E89" w:rsidRPr="00F6590B">
        <w:rPr>
          <w:szCs w:val="24"/>
          <w:lang w:val="hr-HR"/>
        </w:rPr>
        <w:t>there</w:t>
      </w:r>
      <w:proofErr w:type="spellEnd"/>
      <w:r w:rsidR="005A2E89" w:rsidRPr="00F6590B">
        <w:rPr>
          <w:szCs w:val="24"/>
          <w:lang w:val="hr-HR"/>
        </w:rPr>
        <w:t xml:space="preserve"> is </w:t>
      </w:r>
      <w:proofErr w:type="spellStart"/>
      <w:r w:rsidR="005A2E89" w:rsidRPr="00F6590B">
        <w:rPr>
          <w:szCs w:val="24"/>
          <w:lang w:val="hr-HR"/>
        </w:rPr>
        <w:t>also</w:t>
      </w:r>
      <w:proofErr w:type="spellEnd"/>
      <w:r w:rsidR="005A2E89" w:rsidRPr="00F6590B">
        <w:rPr>
          <w:szCs w:val="24"/>
          <w:lang w:val="hr-HR"/>
        </w:rPr>
        <w:t xml:space="preserve"> a </w:t>
      </w:r>
      <w:proofErr w:type="spellStart"/>
      <w:r w:rsidR="005A2E89" w:rsidRPr="00F6590B">
        <w:rPr>
          <w:szCs w:val="24"/>
          <w:lang w:val="hr-HR"/>
        </w:rPr>
        <w:t>large</w:t>
      </w:r>
      <w:proofErr w:type="spellEnd"/>
      <w:r w:rsidR="005A2E89" w:rsidRPr="00F6590B">
        <w:rPr>
          <w:szCs w:val="24"/>
          <w:lang w:val="hr-HR"/>
        </w:rPr>
        <w:t xml:space="preserve"> </w:t>
      </w:r>
      <w:proofErr w:type="spellStart"/>
      <w:r w:rsidR="005A2E89" w:rsidRPr="00F6590B">
        <w:rPr>
          <w:szCs w:val="24"/>
          <w:lang w:val="hr-HR"/>
        </w:rPr>
        <w:t>number</w:t>
      </w:r>
      <w:proofErr w:type="spellEnd"/>
      <w:r w:rsidR="005A2E89" w:rsidRPr="00F6590B">
        <w:rPr>
          <w:szCs w:val="24"/>
          <w:lang w:val="hr-HR"/>
        </w:rPr>
        <w:t xml:space="preserve"> </w:t>
      </w:r>
      <w:proofErr w:type="spellStart"/>
      <w:r w:rsidR="005A2E89" w:rsidRPr="00F6590B">
        <w:rPr>
          <w:szCs w:val="24"/>
          <w:lang w:val="hr-HR"/>
        </w:rPr>
        <w:t>of</w:t>
      </w:r>
      <w:proofErr w:type="spellEnd"/>
      <w:r w:rsidR="005A2E89" w:rsidRPr="00F6590B">
        <w:rPr>
          <w:szCs w:val="24"/>
          <w:lang w:val="hr-HR"/>
        </w:rPr>
        <w:t xml:space="preserve"> </w:t>
      </w:r>
      <w:proofErr w:type="spellStart"/>
      <w:r w:rsidR="005A2E89" w:rsidRPr="00F6590B">
        <w:rPr>
          <w:szCs w:val="24"/>
          <w:lang w:val="hr-HR"/>
        </w:rPr>
        <w:t>lengthy</w:t>
      </w:r>
      <w:proofErr w:type="spellEnd"/>
      <w:r w:rsidR="005A2E89" w:rsidRPr="00F6590B">
        <w:rPr>
          <w:szCs w:val="24"/>
          <w:lang w:val="hr-HR"/>
        </w:rPr>
        <w:t xml:space="preserve"> </w:t>
      </w:r>
      <w:proofErr w:type="spellStart"/>
      <w:r w:rsidR="005A2E89" w:rsidRPr="00F6590B">
        <w:rPr>
          <w:szCs w:val="24"/>
          <w:lang w:val="hr-HR"/>
        </w:rPr>
        <w:t>procedures</w:t>
      </w:r>
      <w:proofErr w:type="spellEnd"/>
      <w:r w:rsidR="005A2E89" w:rsidRPr="00F6590B">
        <w:rPr>
          <w:szCs w:val="24"/>
          <w:lang w:val="hr-HR"/>
        </w:rPr>
        <w:t xml:space="preserve">: </w:t>
      </w:r>
      <w:proofErr w:type="spellStart"/>
      <w:r w:rsidR="005A2E89" w:rsidRPr="00F6590B">
        <w:rPr>
          <w:szCs w:val="24"/>
          <w:lang w:val="hr-HR"/>
        </w:rPr>
        <w:t>almost</w:t>
      </w:r>
      <w:proofErr w:type="spellEnd"/>
      <w:r w:rsidR="005A2E89" w:rsidRPr="00F6590B">
        <w:rPr>
          <w:szCs w:val="24"/>
          <w:lang w:val="hr-HR"/>
        </w:rPr>
        <w:t xml:space="preserve"> </w:t>
      </w:r>
      <w:proofErr w:type="spellStart"/>
      <w:r w:rsidR="005A2E89" w:rsidRPr="00F6590B">
        <w:rPr>
          <w:szCs w:val="24"/>
          <w:lang w:val="hr-HR"/>
        </w:rPr>
        <w:t>every</w:t>
      </w:r>
      <w:proofErr w:type="spellEnd"/>
      <w:r w:rsidR="005A2E89" w:rsidRPr="00F6590B">
        <w:rPr>
          <w:szCs w:val="24"/>
          <w:lang w:val="hr-HR"/>
        </w:rPr>
        <w:t xml:space="preserve"> </w:t>
      </w:r>
      <w:proofErr w:type="spellStart"/>
      <w:r w:rsidR="005A2E89" w:rsidRPr="00F6590B">
        <w:rPr>
          <w:szCs w:val="24"/>
          <w:lang w:val="hr-HR"/>
        </w:rPr>
        <w:t>fifth</w:t>
      </w:r>
      <w:proofErr w:type="spellEnd"/>
      <w:r w:rsidR="005A2E89" w:rsidRPr="00F6590B">
        <w:rPr>
          <w:szCs w:val="24"/>
          <w:lang w:val="hr-HR"/>
        </w:rPr>
        <w:t xml:space="preserve"> </w:t>
      </w:r>
      <w:proofErr w:type="spellStart"/>
      <w:r w:rsidR="005A2E89" w:rsidRPr="00F6590B">
        <w:rPr>
          <w:szCs w:val="24"/>
          <w:lang w:val="hr-HR"/>
        </w:rPr>
        <w:t>case</w:t>
      </w:r>
      <w:proofErr w:type="spellEnd"/>
      <w:r w:rsidR="005A2E89" w:rsidRPr="00F6590B">
        <w:rPr>
          <w:szCs w:val="24"/>
          <w:lang w:val="hr-HR"/>
        </w:rPr>
        <w:t xml:space="preserve"> </w:t>
      </w:r>
      <w:proofErr w:type="spellStart"/>
      <w:r w:rsidR="005A2E89" w:rsidRPr="00F6590B">
        <w:rPr>
          <w:szCs w:val="24"/>
          <w:lang w:val="hr-HR"/>
        </w:rPr>
        <w:t>lasts</w:t>
      </w:r>
      <w:proofErr w:type="spellEnd"/>
      <w:r w:rsidR="005A2E89" w:rsidRPr="00F6590B">
        <w:rPr>
          <w:szCs w:val="24"/>
          <w:lang w:val="hr-HR"/>
        </w:rPr>
        <w:t xml:space="preserve"> for more </w:t>
      </w:r>
      <w:proofErr w:type="spellStart"/>
      <w:r w:rsidR="005A2E89" w:rsidRPr="00F6590B">
        <w:rPr>
          <w:szCs w:val="24"/>
          <w:lang w:val="hr-HR"/>
        </w:rPr>
        <w:t>than</w:t>
      </w:r>
      <w:proofErr w:type="spellEnd"/>
      <w:r w:rsidR="005A2E89" w:rsidRPr="00F6590B">
        <w:rPr>
          <w:szCs w:val="24"/>
          <w:lang w:val="hr-HR"/>
        </w:rPr>
        <w:t xml:space="preserve"> </w:t>
      </w:r>
      <w:proofErr w:type="spellStart"/>
      <w:r w:rsidR="005A2E89" w:rsidRPr="00F6590B">
        <w:rPr>
          <w:szCs w:val="24"/>
          <w:lang w:val="hr-HR"/>
        </w:rPr>
        <w:t>six</w:t>
      </w:r>
      <w:proofErr w:type="spellEnd"/>
      <w:r w:rsidR="005A2E89" w:rsidRPr="00F6590B">
        <w:rPr>
          <w:szCs w:val="24"/>
          <w:lang w:val="hr-HR"/>
        </w:rPr>
        <w:t xml:space="preserve"> </w:t>
      </w:r>
      <w:proofErr w:type="spellStart"/>
      <w:r w:rsidR="005A2E89" w:rsidRPr="00F6590B">
        <w:rPr>
          <w:szCs w:val="24"/>
          <w:lang w:val="hr-HR"/>
        </w:rPr>
        <w:t>years</w:t>
      </w:r>
      <w:proofErr w:type="spellEnd"/>
      <w:r w:rsidR="005A2E89" w:rsidRPr="00F6590B">
        <w:rPr>
          <w:szCs w:val="24"/>
          <w:lang w:val="hr-HR"/>
        </w:rPr>
        <w:t>.</w:t>
      </w:r>
    </w:p>
    <w:p w14:paraId="16D33029" w14:textId="77777777" w:rsidR="003E4C3D" w:rsidRPr="00F6590B" w:rsidRDefault="003E4C3D" w:rsidP="00483743">
      <w:pPr>
        <w:spacing w:line="480" w:lineRule="auto"/>
        <w:rPr>
          <w:szCs w:val="24"/>
          <w:lang w:val="hr-HR"/>
        </w:rPr>
      </w:pPr>
    </w:p>
    <w:p w14:paraId="3EEB4214" w14:textId="6945B06A" w:rsidR="003E4C3D" w:rsidRPr="00F6590B" w:rsidRDefault="00A5721A" w:rsidP="00483743">
      <w:pPr>
        <w:spacing w:line="480" w:lineRule="auto"/>
        <w:rPr>
          <w:szCs w:val="24"/>
          <w:lang w:val="hr-HR"/>
        </w:rPr>
      </w:pPr>
      <w:proofErr w:type="spellStart"/>
      <w:r w:rsidRPr="00F6590B">
        <w:rPr>
          <w:szCs w:val="24"/>
          <w:lang w:val="hr-HR"/>
        </w:rPr>
        <w:t>Keywords</w:t>
      </w:r>
      <w:proofErr w:type="spellEnd"/>
      <w:r w:rsidR="003E4C3D" w:rsidRPr="00F6590B">
        <w:rPr>
          <w:szCs w:val="24"/>
          <w:lang w:val="hr-HR"/>
        </w:rPr>
        <w:t>:</w:t>
      </w:r>
    </w:p>
    <w:p w14:paraId="2EE95B8E" w14:textId="543D9426" w:rsidR="00D6356D" w:rsidRPr="00F6590B" w:rsidRDefault="00D6356D" w:rsidP="00483743">
      <w:pPr>
        <w:spacing w:line="480" w:lineRule="auto"/>
        <w:rPr>
          <w:szCs w:val="24"/>
          <w:lang w:val="hr-HR"/>
        </w:rPr>
      </w:pPr>
      <w:proofErr w:type="spellStart"/>
      <w:r w:rsidRPr="00F6590B">
        <w:rPr>
          <w:szCs w:val="24"/>
          <w:lang w:val="hr-HR"/>
        </w:rPr>
        <w:t>bankruptcy</w:t>
      </w:r>
      <w:proofErr w:type="spellEnd"/>
      <w:r w:rsidRPr="00F6590B">
        <w:rPr>
          <w:szCs w:val="24"/>
          <w:lang w:val="hr-HR"/>
        </w:rPr>
        <w:t xml:space="preserve"> </w:t>
      </w:r>
      <w:proofErr w:type="spellStart"/>
      <w:r w:rsidRPr="00F6590B">
        <w:rPr>
          <w:szCs w:val="24"/>
          <w:lang w:val="hr-HR"/>
        </w:rPr>
        <w:t>statistics</w:t>
      </w:r>
      <w:proofErr w:type="spellEnd"/>
      <w:r w:rsidRPr="00F6590B">
        <w:rPr>
          <w:szCs w:val="24"/>
          <w:lang w:val="hr-HR"/>
        </w:rPr>
        <w:t xml:space="preserve">, </w:t>
      </w:r>
      <w:proofErr w:type="spellStart"/>
      <w:r w:rsidRPr="00F6590B">
        <w:rPr>
          <w:szCs w:val="24"/>
          <w:lang w:val="hr-HR"/>
        </w:rPr>
        <w:t>efficiency</w:t>
      </w:r>
      <w:proofErr w:type="spellEnd"/>
      <w:r w:rsidRPr="00F6590B">
        <w:rPr>
          <w:szCs w:val="24"/>
          <w:lang w:val="hr-HR"/>
        </w:rPr>
        <w:t xml:space="preserve">, </w:t>
      </w:r>
      <w:proofErr w:type="spellStart"/>
      <w:r w:rsidRPr="00F6590B">
        <w:rPr>
          <w:szCs w:val="24"/>
          <w:lang w:val="hr-HR"/>
        </w:rPr>
        <w:t>commercial</w:t>
      </w:r>
      <w:proofErr w:type="spellEnd"/>
      <w:r w:rsidRPr="00F6590B">
        <w:rPr>
          <w:szCs w:val="24"/>
          <w:lang w:val="hr-HR"/>
        </w:rPr>
        <w:t xml:space="preserve"> </w:t>
      </w:r>
      <w:proofErr w:type="spellStart"/>
      <w:r w:rsidRPr="00F6590B">
        <w:rPr>
          <w:szCs w:val="24"/>
          <w:lang w:val="hr-HR"/>
        </w:rPr>
        <w:t>courts</w:t>
      </w:r>
      <w:proofErr w:type="spellEnd"/>
      <w:r w:rsidRPr="00F6590B">
        <w:rPr>
          <w:szCs w:val="24"/>
          <w:lang w:val="hr-HR"/>
        </w:rPr>
        <w:t xml:space="preserve">, forum </w:t>
      </w:r>
      <w:proofErr w:type="spellStart"/>
      <w:r w:rsidRPr="00F6590B">
        <w:rPr>
          <w:szCs w:val="24"/>
          <w:lang w:val="hr-HR"/>
        </w:rPr>
        <w:t>shopping</w:t>
      </w:r>
      <w:proofErr w:type="spellEnd"/>
      <w:r w:rsidRPr="00F6590B">
        <w:rPr>
          <w:szCs w:val="24"/>
          <w:lang w:val="hr-HR"/>
        </w:rPr>
        <w:t xml:space="preserve">, panel </w:t>
      </w:r>
      <w:proofErr w:type="spellStart"/>
      <w:r w:rsidRPr="00F6590B">
        <w:rPr>
          <w:szCs w:val="24"/>
          <w:lang w:val="hr-HR"/>
        </w:rPr>
        <w:t>data</w:t>
      </w:r>
      <w:proofErr w:type="spellEnd"/>
      <w:r w:rsidRPr="00F6590B">
        <w:rPr>
          <w:szCs w:val="24"/>
          <w:lang w:val="hr-HR"/>
        </w:rPr>
        <w:t xml:space="preserve"> </w:t>
      </w:r>
      <w:proofErr w:type="spellStart"/>
      <w:r w:rsidRPr="00F6590B">
        <w:rPr>
          <w:szCs w:val="24"/>
          <w:lang w:val="hr-HR"/>
        </w:rPr>
        <w:t>analysis</w:t>
      </w:r>
      <w:proofErr w:type="spellEnd"/>
    </w:p>
    <w:p w14:paraId="1BC4C3A7" w14:textId="77777777" w:rsidR="003E4C3D" w:rsidRPr="00F6590B" w:rsidRDefault="003E4C3D" w:rsidP="00483743">
      <w:pPr>
        <w:spacing w:line="480" w:lineRule="auto"/>
        <w:rPr>
          <w:szCs w:val="24"/>
          <w:lang w:val="hr-HR"/>
        </w:rPr>
      </w:pPr>
    </w:p>
    <w:p w14:paraId="66928C6C" w14:textId="2912DF34" w:rsidR="003E4C3D" w:rsidRPr="00F6590B" w:rsidRDefault="003E4C3D" w:rsidP="00483743">
      <w:pPr>
        <w:spacing w:line="480" w:lineRule="auto"/>
        <w:rPr>
          <w:szCs w:val="24"/>
          <w:lang w:val="hr-HR"/>
        </w:rPr>
      </w:pPr>
      <w:r w:rsidRPr="00F6590B">
        <w:rPr>
          <w:szCs w:val="24"/>
          <w:lang w:val="hr-HR"/>
        </w:rPr>
        <w:t xml:space="preserve">JEL </w:t>
      </w:r>
      <w:proofErr w:type="spellStart"/>
      <w:r w:rsidR="00A5721A" w:rsidRPr="00F6590B">
        <w:rPr>
          <w:szCs w:val="24"/>
          <w:lang w:val="hr-HR"/>
        </w:rPr>
        <w:t>classification</w:t>
      </w:r>
      <w:proofErr w:type="spellEnd"/>
      <w:r w:rsidRPr="00F6590B">
        <w:rPr>
          <w:szCs w:val="24"/>
          <w:lang w:val="hr-HR"/>
        </w:rPr>
        <w:t>:</w:t>
      </w:r>
    </w:p>
    <w:p w14:paraId="1F21F243" w14:textId="77777777" w:rsidR="003E4C3D" w:rsidRPr="00F6590B" w:rsidRDefault="003E4C3D" w:rsidP="00483743">
      <w:pPr>
        <w:spacing w:line="480" w:lineRule="auto"/>
        <w:rPr>
          <w:szCs w:val="24"/>
          <w:lang w:val="hr-HR"/>
        </w:rPr>
      </w:pPr>
      <w:r w:rsidRPr="00F6590B">
        <w:rPr>
          <w:szCs w:val="24"/>
          <w:lang w:val="hr-HR"/>
        </w:rPr>
        <w:t>G33, G38, H83, K41</w:t>
      </w:r>
    </w:p>
    <w:p w14:paraId="47986983" w14:textId="77777777" w:rsidR="003E4C3D" w:rsidRPr="00F6590B" w:rsidRDefault="003E4C3D" w:rsidP="00483743">
      <w:pPr>
        <w:spacing w:line="480" w:lineRule="auto"/>
        <w:rPr>
          <w:szCs w:val="24"/>
          <w:lang w:val="hr-HR"/>
        </w:rPr>
      </w:pPr>
    </w:p>
    <w:p w14:paraId="180AA8B2" w14:textId="77777777" w:rsidR="00483743" w:rsidRPr="00F6590B" w:rsidRDefault="00483743" w:rsidP="00483743">
      <w:pPr>
        <w:spacing w:line="480" w:lineRule="auto"/>
        <w:ind w:firstLine="720"/>
        <w:jc w:val="center"/>
        <w:rPr>
          <w:rFonts w:cs="Times New Roman"/>
          <w:b/>
          <w:szCs w:val="24"/>
          <w:lang w:val="hr-HR"/>
        </w:rPr>
      </w:pPr>
      <w:r w:rsidRPr="00F6590B">
        <w:rPr>
          <w:rFonts w:cs="Times New Roman"/>
          <w:b/>
          <w:szCs w:val="24"/>
          <w:lang w:val="hr-HR"/>
        </w:rPr>
        <w:lastRenderedPageBreak/>
        <w:t>Efikasnost hrvatskih trgovačkih sudova u procesuiranju stečajnih predmeta</w:t>
      </w:r>
    </w:p>
    <w:p w14:paraId="3D149B7C" w14:textId="77777777" w:rsidR="003E4C3D" w:rsidRPr="00F6590B" w:rsidRDefault="003E4C3D" w:rsidP="00483743">
      <w:pPr>
        <w:spacing w:line="480" w:lineRule="auto"/>
        <w:rPr>
          <w:szCs w:val="24"/>
          <w:lang w:val="hr-HR"/>
        </w:rPr>
      </w:pPr>
    </w:p>
    <w:p w14:paraId="391020DA" w14:textId="044ED628" w:rsidR="00947058" w:rsidRPr="00F6590B" w:rsidRDefault="00947058" w:rsidP="00483743">
      <w:pPr>
        <w:pStyle w:val="ListParagraph"/>
        <w:numPr>
          <w:ilvl w:val="0"/>
          <w:numId w:val="3"/>
        </w:numPr>
        <w:spacing w:line="480" w:lineRule="auto"/>
        <w:rPr>
          <w:rFonts w:cs="Times New Roman"/>
          <w:szCs w:val="24"/>
          <w:lang w:val="hr-HR"/>
        </w:rPr>
      </w:pPr>
      <w:r w:rsidRPr="00F6590B">
        <w:rPr>
          <w:rFonts w:cs="Times New Roman"/>
          <w:szCs w:val="24"/>
          <w:lang w:val="hr-HR"/>
        </w:rPr>
        <w:t>Uvod</w:t>
      </w:r>
    </w:p>
    <w:p w14:paraId="2684EA4A" w14:textId="77777777" w:rsidR="00947058" w:rsidRPr="00F6590B" w:rsidRDefault="00947058" w:rsidP="00483743">
      <w:pPr>
        <w:pStyle w:val="ListParagraph"/>
        <w:spacing w:line="480" w:lineRule="auto"/>
        <w:ind w:left="1069" w:firstLine="0"/>
        <w:rPr>
          <w:rFonts w:cs="Times New Roman"/>
          <w:szCs w:val="24"/>
          <w:lang w:val="hr-HR"/>
        </w:rPr>
      </w:pPr>
    </w:p>
    <w:p w14:paraId="30FFB9A7" w14:textId="0F2B0F0B" w:rsidR="00616811" w:rsidRPr="00F6590B" w:rsidRDefault="00065856" w:rsidP="00483743">
      <w:pPr>
        <w:spacing w:line="480" w:lineRule="auto"/>
        <w:rPr>
          <w:szCs w:val="24"/>
          <w:lang w:val="hr-HR"/>
        </w:rPr>
      </w:pPr>
      <w:r w:rsidRPr="00F6590B">
        <w:rPr>
          <w:szCs w:val="24"/>
          <w:lang w:val="hr-HR"/>
        </w:rPr>
        <w:t>Efikasnost hrvatskih trgovačkih s</w:t>
      </w:r>
      <w:r w:rsidR="003653B8">
        <w:rPr>
          <w:szCs w:val="24"/>
          <w:lang w:val="hr-HR"/>
        </w:rPr>
        <w:t xml:space="preserve">udova u obradi stečajeva postalo je </w:t>
      </w:r>
      <w:proofErr w:type="spellStart"/>
      <w:r w:rsidR="003625A4" w:rsidRPr="00F6590B">
        <w:rPr>
          <w:i/>
          <w:szCs w:val="24"/>
          <w:lang w:val="hr-HR"/>
        </w:rPr>
        <w:t>locus</w:t>
      </w:r>
      <w:proofErr w:type="spellEnd"/>
      <w:r w:rsidR="003625A4" w:rsidRPr="00F6590B">
        <w:rPr>
          <w:i/>
          <w:szCs w:val="24"/>
          <w:lang w:val="hr-HR"/>
        </w:rPr>
        <w:t xml:space="preserve"> </w:t>
      </w:r>
      <w:proofErr w:type="spellStart"/>
      <w:r w:rsidR="003625A4" w:rsidRPr="00F6590B">
        <w:rPr>
          <w:i/>
          <w:szCs w:val="24"/>
          <w:lang w:val="hr-HR"/>
        </w:rPr>
        <w:t>communis</w:t>
      </w:r>
      <w:proofErr w:type="spellEnd"/>
      <w:r w:rsidRPr="00F6590B">
        <w:rPr>
          <w:szCs w:val="24"/>
          <w:lang w:val="hr-HR"/>
        </w:rPr>
        <w:t xml:space="preserve">, </w:t>
      </w:r>
      <w:r w:rsidR="003625A4" w:rsidRPr="00F6590B">
        <w:rPr>
          <w:szCs w:val="24"/>
          <w:lang w:val="hr-HR"/>
        </w:rPr>
        <w:t>te</w:t>
      </w:r>
      <w:r w:rsidRPr="00F6590B">
        <w:rPr>
          <w:szCs w:val="24"/>
          <w:lang w:val="hr-HR"/>
        </w:rPr>
        <w:t xml:space="preserve"> uz potporu </w:t>
      </w:r>
      <w:r w:rsidR="00A36522" w:rsidRPr="00F6590B">
        <w:rPr>
          <w:szCs w:val="24"/>
          <w:lang w:val="hr-HR"/>
        </w:rPr>
        <w:t xml:space="preserve">masovnih </w:t>
      </w:r>
      <w:r w:rsidRPr="00F6590B">
        <w:rPr>
          <w:szCs w:val="24"/>
          <w:lang w:val="hr-HR"/>
        </w:rPr>
        <w:t xml:space="preserve">medija većina </w:t>
      </w:r>
      <w:r w:rsidR="003653B8">
        <w:rPr>
          <w:szCs w:val="24"/>
          <w:lang w:val="hr-HR"/>
        </w:rPr>
        <w:t>smatra</w:t>
      </w:r>
      <w:r w:rsidRPr="00F6590B">
        <w:rPr>
          <w:szCs w:val="24"/>
          <w:lang w:val="hr-HR"/>
        </w:rPr>
        <w:t xml:space="preserve"> kako je </w:t>
      </w:r>
      <w:r w:rsidR="00482DAE" w:rsidRPr="00F6590B">
        <w:rPr>
          <w:szCs w:val="24"/>
          <w:lang w:val="hr-HR"/>
        </w:rPr>
        <w:t xml:space="preserve">stečajni </w:t>
      </w:r>
      <w:r w:rsidRPr="00F6590B">
        <w:rPr>
          <w:szCs w:val="24"/>
          <w:lang w:val="hr-HR"/>
        </w:rPr>
        <w:t>sustav trom i spor. No, takvim zaključcima najčešće ne prethod</w:t>
      </w:r>
      <w:r w:rsidR="00532723" w:rsidRPr="00F6590B">
        <w:rPr>
          <w:szCs w:val="24"/>
          <w:lang w:val="hr-HR"/>
        </w:rPr>
        <w:t>e</w:t>
      </w:r>
      <w:r w:rsidRPr="00F6590B">
        <w:rPr>
          <w:szCs w:val="24"/>
          <w:lang w:val="hr-HR"/>
        </w:rPr>
        <w:t xml:space="preserve"> </w:t>
      </w:r>
      <w:r w:rsidR="00532723" w:rsidRPr="00F6590B">
        <w:rPr>
          <w:szCs w:val="24"/>
          <w:lang w:val="hr-HR"/>
        </w:rPr>
        <w:t xml:space="preserve">ozbiljnije </w:t>
      </w:r>
      <w:r w:rsidRPr="00F6590B">
        <w:rPr>
          <w:szCs w:val="24"/>
          <w:lang w:val="hr-HR"/>
        </w:rPr>
        <w:t>statističk</w:t>
      </w:r>
      <w:r w:rsidR="00532723" w:rsidRPr="00F6590B">
        <w:rPr>
          <w:szCs w:val="24"/>
          <w:lang w:val="hr-HR"/>
        </w:rPr>
        <w:t>e</w:t>
      </w:r>
      <w:r w:rsidRPr="00F6590B">
        <w:rPr>
          <w:szCs w:val="24"/>
          <w:lang w:val="hr-HR"/>
        </w:rPr>
        <w:t xml:space="preserve"> analiz</w:t>
      </w:r>
      <w:r w:rsidR="00532723" w:rsidRPr="00F6590B">
        <w:rPr>
          <w:szCs w:val="24"/>
          <w:lang w:val="hr-HR"/>
        </w:rPr>
        <w:t>e</w:t>
      </w:r>
      <w:r w:rsidRPr="00F6590B">
        <w:rPr>
          <w:szCs w:val="24"/>
          <w:lang w:val="hr-HR"/>
        </w:rPr>
        <w:t xml:space="preserve">, odnosno istraživačke studije. </w:t>
      </w:r>
      <w:r w:rsidR="00BC7C37" w:rsidRPr="00F6590B">
        <w:rPr>
          <w:szCs w:val="24"/>
          <w:lang w:val="hr-HR"/>
        </w:rPr>
        <w:t>Ovaj rad kvantitativno raščlan</w:t>
      </w:r>
      <w:r w:rsidR="003653B8">
        <w:rPr>
          <w:szCs w:val="24"/>
          <w:lang w:val="hr-HR"/>
        </w:rPr>
        <w:t>juje</w:t>
      </w:r>
      <w:r w:rsidR="00BC7C37" w:rsidRPr="00F6590B">
        <w:rPr>
          <w:szCs w:val="24"/>
          <w:lang w:val="hr-HR"/>
        </w:rPr>
        <w:t xml:space="preserve"> determinante efikasnosti trgovačkih sudova u </w:t>
      </w:r>
      <w:r w:rsidR="003653B8">
        <w:rPr>
          <w:szCs w:val="24"/>
          <w:lang w:val="hr-HR"/>
        </w:rPr>
        <w:t xml:space="preserve">Republici </w:t>
      </w:r>
      <w:r w:rsidR="00BC7C37" w:rsidRPr="00F6590B">
        <w:rPr>
          <w:szCs w:val="24"/>
          <w:lang w:val="hr-HR"/>
        </w:rPr>
        <w:t>Hrvatskoj, stavljajući naglasak na stečaj</w:t>
      </w:r>
      <w:r w:rsidR="002D2369" w:rsidRPr="00F6590B">
        <w:rPr>
          <w:szCs w:val="24"/>
          <w:lang w:val="hr-HR"/>
        </w:rPr>
        <w:t>ne postupke</w:t>
      </w:r>
      <w:r w:rsidR="003653B8">
        <w:rPr>
          <w:szCs w:val="24"/>
          <w:lang w:val="hr-HR"/>
        </w:rPr>
        <w:t>, i donosi novu metodologiju procjene efikasnosti trgovačkog pravosuđa (potencijalno i drugih grana prava).</w:t>
      </w:r>
    </w:p>
    <w:p w14:paraId="3487821F" w14:textId="0659D450" w:rsidR="0050245E" w:rsidRPr="00F6590B" w:rsidRDefault="00683446" w:rsidP="00483743">
      <w:pPr>
        <w:spacing w:line="480" w:lineRule="auto"/>
        <w:rPr>
          <w:szCs w:val="24"/>
          <w:lang w:val="hr-HR"/>
        </w:rPr>
      </w:pPr>
      <w:r w:rsidRPr="00F6590B">
        <w:rPr>
          <w:szCs w:val="24"/>
          <w:lang w:val="hr-HR"/>
        </w:rPr>
        <w:t xml:space="preserve">U Hrvatskoj djeluje sedam trgovačkih sudova (Bjelovar, Osijek, Rijeka, Split, Varaždin, Zadar, Zagreb), koji su zaduženi </w:t>
      </w:r>
      <w:r w:rsidR="00A36522" w:rsidRPr="00F6590B">
        <w:rPr>
          <w:szCs w:val="24"/>
          <w:lang w:val="hr-HR"/>
        </w:rPr>
        <w:t xml:space="preserve">i </w:t>
      </w:r>
      <w:r w:rsidRPr="00F6590B">
        <w:rPr>
          <w:szCs w:val="24"/>
          <w:lang w:val="hr-HR"/>
        </w:rPr>
        <w:t xml:space="preserve">za procesuiranje stečajnih predmeta. </w:t>
      </w:r>
      <w:r w:rsidR="006376DB" w:rsidRPr="00F6590B">
        <w:rPr>
          <w:szCs w:val="24"/>
          <w:lang w:val="hr-HR"/>
        </w:rPr>
        <w:t>Budući da</w:t>
      </w:r>
      <w:r w:rsidR="004C46A8" w:rsidRPr="00F6590B">
        <w:rPr>
          <w:szCs w:val="24"/>
          <w:lang w:val="hr-HR"/>
        </w:rPr>
        <w:t xml:space="preserve"> i</w:t>
      </w:r>
      <w:r w:rsidRPr="00F6590B">
        <w:rPr>
          <w:szCs w:val="24"/>
          <w:lang w:val="hr-HR"/>
        </w:rPr>
        <w:t xml:space="preserve">ngerencije trgovačkih sudova duboko zadiru u </w:t>
      </w:r>
      <w:r w:rsidR="00BC7C37" w:rsidRPr="00F6590B">
        <w:rPr>
          <w:szCs w:val="24"/>
          <w:lang w:val="hr-HR"/>
        </w:rPr>
        <w:t>makro- i mikro-</w:t>
      </w:r>
      <w:r w:rsidRPr="00F6590B">
        <w:rPr>
          <w:szCs w:val="24"/>
          <w:lang w:val="hr-HR"/>
        </w:rPr>
        <w:t>ekonomsku sferu</w:t>
      </w:r>
      <w:r w:rsidR="007247CB" w:rsidRPr="00F6590B">
        <w:rPr>
          <w:szCs w:val="24"/>
          <w:lang w:val="hr-HR"/>
        </w:rPr>
        <w:t>,</w:t>
      </w:r>
      <w:r w:rsidRPr="00F6590B">
        <w:rPr>
          <w:szCs w:val="24"/>
          <w:lang w:val="hr-HR"/>
        </w:rPr>
        <w:t xml:space="preserve"> i od </w:t>
      </w:r>
      <w:r w:rsidR="003625A4" w:rsidRPr="00F6590B">
        <w:rPr>
          <w:szCs w:val="24"/>
          <w:lang w:val="hr-HR"/>
        </w:rPr>
        <w:t>iznimne</w:t>
      </w:r>
      <w:r w:rsidRPr="00F6590B">
        <w:rPr>
          <w:szCs w:val="24"/>
          <w:lang w:val="hr-HR"/>
        </w:rPr>
        <w:t xml:space="preserve"> su važnosti za uredno funkcioniranje gospodarstva kao cjeline</w:t>
      </w:r>
      <w:r w:rsidR="006376DB" w:rsidRPr="00F6590B">
        <w:rPr>
          <w:szCs w:val="24"/>
          <w:lang w:val="hr-HR"/>
        </w:rPr>
        <w:t xml:space="preserve">, područje istraživanja stečajeva </w:t>
      </w:r>
      <w:r w:rsidR="00E86FA3" w:rsidRPr="00F6590B">
        <w:rPr>
          <w:szCs w:val="24"/>
          <w:lang w:val="hr-HR"/>
        </w:rPr>
        <w:t>karakterizira</w:t>
      </w:r>
      <w:r w:rsidR="006376DB" w:rsidRPr="00F6590B">
        <w:rPr>
          <w:szCs w:val="24"/>
          <w:lang w:val="hr-HR"/>
        </w:rPr>
        <w:t xml:space="preserve"> interdisciplinarno</w:t>
      </w:r>
      <w:r w:rsidR="00E86FA3" w:rsidRPr="00F6590B">
        <w:rPr>
          <w:szCs w:val="24"/>
          <w:lang w:val="hr-HR"/>
        </w:rPr>
        <w:t>st</w:t>
      </w:r>
      <w:r w:rsidR="006376DB" w:rsidRPr="00F6590B">
        <w:rPr>
          <w:szCs w:val="24"/>
          <w:lang w:val="hr-HR"/>
        </w:rPr>
        <w:t>, te ob</w:t>
      </w:r>
      <w:r w:rsidR="00F1112A" w:rsidRPr="00F6590B">
        <w:rPr>
          <w:szCs w:val="24"/>
          <w:lang w:val="hr-HR"/>
        </w:rPr>
        <w:t xml:space="preserve">uhvaća više društvenih znanosti: </w:t>
      </w:r>
      <w:r w:rsidR="006376DB" w:rsidRPr="00F6590B">
        <w:rPr>
          <w:szCs w:val="24"/>
          <w:lang w:val="hr-HR"/>
        </w:rPr>
        <w:t>prije svega ekonomiju i pravo</w:t>
      </w:r>
      <w:r w:rsidRPr="00F6590B">
        <w:rPr>
          <w:szCs w:val="24"/>
          <w:lang w:val="hr-HR"/>
        </w:rPr>
        <w:t xml:space="preserve">. </w:t>
      </w:r>
      <w:r w:rsidR="006376DB" w:rsidRPr="00F6590B">
        <w:rPr>
          <w:szCs w:val="24"/>
          <w:lang w:val="hr-HR"/>
        </w:rPr>
        <w:t>U tom smislu, stečajni zakon itekako nadilazi svoju legislativn</w:t>
      </w:r>
      <w:r w:rsidR="009E428D" w:rsidRPr="00F6590B">
        <w:rPr>
          <w:szCs w:val="24"/>
          <w:lang w:val="hr-HR"/>
        </w:rPr>
        <w:t>o-tehničku</w:t>
      </w:r>
      <w:r w:rsidR="006376DB" w:rsidRPr="00F6590B">
        <w:rPr>
          <w:szCs w:val="24"/>
          <w:lang w:val="hr-HR"/>
        </w:rPr>
        <w:t xml:space="preserve"> dimenziju</w:t>
      </w:r>
      <w:r w:rsidR="00F1112A" w:rsidRPr="00F6590B">
        <w:rPr>
          <w:szCs w:val="24"/>
          <w:lang w:val="hr-HR"/>
        </w:rPr>
        <w:t>;</w:t>
      </w:r>
      <w:r w:rsidR="006376DB" w:rsidRPr="00F6590B">
        <w:rPr>
          <w:szCs w:val="24"/>
          <w:lang w:val="hr-HR"/>
        </w:rPr>
        <w:t xml:space="preserve"> on je </w:t>
      </w:r>
      <w:r w:rsidR="002B296A" w:rsidRPr="00F6590B">
        <w:rPr>
          <w:szCs w:val="24"/>
          <w:lang w:val="hr-HR"/>
        </w:rPr>
        <w:t xml:space="preserve">„odgovor na brojne aspekte financijskih poteškoća </w:t>
      </w:r>
      <w:r w:rsidR="006376DB" w:rsidRPr="00F6590B">
        <w:rPr>
          <w:szCs w:val="24"/>
          <w:lang w:val="hr-HR"/>
        </w:rPr>
        <w:t>–</w:t>
      </w:r>
      <w:r w:rsidR="002B296A" w:rsidRPr="00F6590B">
        <w:rPr>
          <w:szCs w:val="24"/>
          <w:lang w:val="hr-HR"/>
        </w:rPr>
        <w:t xml:space="preserve"> moralne, političke, osobne, društvene </w:t>
      </w:r>
      <w:r w:rsidR="006376DB" w:rsidRPr="00F6590B">
        <w:rPr>
          <w:szCs w:val="24"/>
          <w:lang w:val="hr-HR"/>
        </w:rPr>
        <w:t>–</w:t>
      </w:r>
      <w:r w:rsidR="002B296A" w:rsidRPr="00F6590B">
        <w:rPr>
          <w:szCs w:val="24"/>
          <w:lang w:val="hr-HR"/>
        </w:rPr>
        <w:t xml:space="preserve"> a osobito na nedaće onih koji su pogođeni financijskim poteškoćama“ (</w:t>
      </w:r>
      <w:proofErr w:type="spellStart"/>
      <w:r w:rsidR="002B296A" w:rsidRPr="00F6590B">
        <w:rPr>
          <w:szCs w:val="24"/>
          <w:lang w:val="hr-HR"/>
        </w:rPr>
        <w:t>Korobkin</w:t>
      </w:r>
      <w:proofErr w:type="spellEnd"/>
      <w:r w:rsidR="002B296A" w:rsidRPr="00F6590B">
        <w:rPr>
          <w:szCs w:val="24"/>
          <w:lang w:val="hr-HR"/>
        </w:rPr>
        <w:t>, 1991:721)</w:t>
      </w:r>
      <w:r w:rsidR="006376DB" w:rsidRPr="00F6590B">
        <w:rPr>
          <w:szCs w:val="24"/>
          <w:lang w:val="hr-HR"/>
        </w:rPr>
        <w:t>.</w:t>
      </w:r>
      <w:r w:rsidR="002B296A" w:rsidRPr="00F6590B">
        <w:rPr>
          <w:szCs w:val="24"/>
          <w:lang w:val="hr-HR"/>
        </w:rPr>
        <w:t xml:space="preserve"> </w:t>
      </w:r>
      <w:r w:rsidR="00D34FA1" w:rsidRPr="00F6590B">
        <w:rPr>
          <w:szCs w:val="24"/>
          <w:lang w:val="hr-HR"/>
        </w:rPr>
        <w:t>Razumno brz r</w:t>
      </w:r>
      <w:r w:rsidRPr="00F6590B">
        <w:rPr>
          <w:szCs w:val="24"/>
          <w:lang w:val="hr-HR"/>
        </w:rPr>
        <w:t xml:space="preserve">asplet </w:t>
      </w:r>
      <w:r w:rsidR="00D34FA1" w:rsidRPr="00F6590B">
        <w:rPr>
          <w:szCs w:val="24"/>
          <w:lang w:val="hr-HR"/>
        </w:rPr>
        <w:t xml:space="preserve">često vrlo </w:t>
      </w:r>
      <w:r w:rsidRPr="00F6590B">
        <w:rPr>
          <w:szCs w:val="24"/>
          <w:lang w:val="hr-HR"/>
        </w:rPr>
        <w:t xml:space="preserve">zamršenih poslovnih odnosa u stečajnom postupku predodređuje sklonost vjerovnika pozajmljivanju sredstava, </w:t>
      </w:r>
      <w:r w:rsidR="00F1112A" w:rsidRPr="00F6590B">
        <w:rPr>
          <w:szCs w:val="24"/>
          <w:lang w:val="hr-HR"/>
        </w:rPr>
        <w:t xml:space="preserve">odnosno </w:t>
      </w:r>
      <w:r w:rsidR="005369DA" w:rsidRPr="00F6590B">
        <w:rPr>
          <w:szCs w:val="24"/>
          <w:lang w:val="hr-HR"/>
        </w:rPr>
        <w:t>opć</w:t>
      </w:r>
      <w:r w:rsidR="005679E3" w:rsidRPr="00F6590B">
        <w:rPr>
          <w:szCs w:val="24"/>
          <w:lang w:val="hr-HR"/>
        </w:rPr>
        <w:t>u</w:t>
      </w:r>
      <w:r w:rsidR="005369DA" w:rsidRPr="00F6590B">
        <w:rPr>
          <w:szCs w:val="24"/>
          <w:lang w:val="hr-HR"/>
        </w:rPr>
        <w:t xml:space="preserve"> razin</w:t>
      </w:r>
      <w:r w:rsidR="005679E3" w:rsidRPr="00F6590B">
        <w:rPr>
          <w:szCs w:val="24"/>
          <w:lang w:val="hr-HR"/>
        </w:rPr>
        <w:t>u</w:t>
      </w:r>
      <w:r w:rsidRPr="00F6590B">
        <w:rPr>
          <w:szCs w:val="24"/>
          <w:lang w:val="hr-HR"/>
        </w:rPr>
        <w:t xml:space="preserve"> kamatnih stopa (ako vjerovnici očekuju da se neće pravodobno i iscrpno namiriti ni u stečaju tada će oklijevati pri pozajmljivanju, i/ili će novac davati uz više kamatne stope), </w:t>
      </w:r>
      <w:r w:rsidR="00F1112A" w:rsidRPr="00F6590B">
        <w:rPr>
          <w:szCs w:val="24"/>
          <w:lang w:val="hr-HR"/>
        </w:rPr>
        <w:t xml:space="preserve">kao </w:t>
      </w:r>
      <w:r w:rsidRPr="00F6590B">
        <w:rPr>
          <w:szCs w:val="24"/>
          <w:lang w:val="hr-HR"/>
        </w:rPr>
        <w:t xml:space="preserve">i opseg poduzetničke aktivnosti </w:t>
      </w:r>
      <w:r w:rsidRPr="00F6590B">
        <w:rPr>
          <w:szCs w:val="24"/>
          <w:lang w:val="hr-HR"/>
        </w:rPr>
        <w:lastRenderedPageBreak/>
        <w:t>(uz lakši i brži rasplet tvrtke u stečaju pošteni</w:t>
      </w:r>
      <w:r w:rsidRPr="00F6590B">
        <w:rPr>
          <w:rStyle w:val="FootnoteReference"/>
          <w:szCs w:val="24"/>
          <w:lang w:val="hr-HR"/>
        </w:rPr>
        <w:footnoteReference w:id="1"/>
      </w:r>
      <w:r w:rsidRPr="00F6590B">
        <w:rPr>
          <w:szCs w:val="24"/>
          <w:lang w:val="hr-HR"/>
        </w:rPr>
        <w:t xml:space="preserve"> </w:t>
      </w:r>
      <w:r w:rsidR="00E86FA3" w:rsidRPr="00F6590B">
        <w:rPr>
          <w:szCs w:val="24"/>
          <w:lang w:val="hr-HR"/>
        </w:rPr>
        <w:t>dužnik</w:t>
      </w:r>
      <w:r w:rsidRPr="00F6590B">
        <w:rPr>
          <w:szCs w:val="24"/>
          <w:lang w:val="hr-HR"/>
        </w:rPr>
        <w:t xml:space="preserve"> će biti skloniji pokretanju novoga posla, </w:t>
      </w:r>
      <w:r w:rsidR="003625A4" w:rsidRPr="00F6590B">
        <w:rPr>
          <w:szCs w:val="24"/>
          <w:lang w:val="hr-HR"/>
        </w:rPr>
        <w:t>a loše iskustvo neće biti samo trauma</w:t>
      </w:r>
      <w:r w:rsidR="00F1112A" w:rsidRPr="00F6590B">
        <w:rPr>
          <w:szCs w:val="24"/>
          <w:lang w:val="hr-HR"/>
        </w:rPr>
        <w:t>,</w:t>
      </w:r>
      <w:r w:rsidR="003625A4" w:rsidRPr="00F6590B">
        <w:rPr>
          <w:szCs w:val="24"/>
          <w:lang w:val="hr-HR"/>
        </w:rPr>
        <w:t xml:space="preserve"> već </w:t>
      </w:r>
      <w:r w:rsidR="00E86FA3" w:rsidRPr="00F6590B">
        <w:rPr>
          <w:szCs w:val="24"/>
          <w:lang w:val="hr-HR"/>
        </w:rPr>
        <w:t xml:space="preserve">i </w:t>
      </w:r>
      <w:r w:rsidR="003625A4" w:rsidRPr="00F6590B">
        <w:rPr>
          <w:szCs w:val="24"/>
          <w:lang w:val="hr-HR"/>
        </w:rPr>
        <w:t>prilika za učenje</w:t>
      </w:r>
      <w:r w:rsidR="004C46A8" w:rsidRPr="00F6590B">
        <w:rPr>
          <w:szCs w:val="24"/>
          <w:lang w:val="hr-HR"/>
        </w:rPr>
        <w:t>).</w:t>
      </w:r>
      <w:r w:rsidR="002B296A" w:rsidRPr="00F6590B">
        <w:rPr>
          <w:szCs w:val="24"/>
          <w:lang w:val="hr-HR"/>
        </w:rPr>
        <w:t xml:space="preserve"> </w:t>
      </w:r>
      <w:r w:rsidR="003653B8">
        <w:rPr>
          <w:szCs w:val="24"/>
          <w:lang w:val="hr-HR"/>
        </w:rPr>
        <w:t>Stoga je stabilan, pouzdan i efikasan stečajni sustav od iznimnog značaja za gospodarstvo.</w:t>
      </w:r>
    </w:p>
    <w:p w14:paraId="4DCDACD6" w14:textId="4B2C0A58" w:rsidR="0050245E" w:rsidRPr="00F6590B" w:rsidRDefault="00383C06" w:rsidP="00483743">
      <w:pPr>
        <w:spacing w:line="480" w:lineRule="auto"/>
        <w:rPr>
          <w:szCs w:val="24"/>
          <w:lang w:val="hr-HR"/>
        </w:rPr>
      </w:pPr>
      <w:r w:rsidRPr="00F6590B">
        <w:rPr>
          <w:szCs w:val="24"/>
          <w:lang w:val="hr-HR"/>
        </w:rPr>
        <w:t xml:space="preserve">Temeljna hipoteza ovoga rada </w:t>
      </w:r>
      <w:r w:rsidR="002748BF" w:rsidRPr="00F6590B">
        <w:rPr>
          <w:szCs w:val="24"/>
          <w:lang w:val="hr-HR"/>
        </w:rPr>
        <w:t>je da</w:t>
      </w:r>
      <w:r w:rsidRPr="00F6590B">
        <w:rPr>
          <w:szCs w:val="24"/>
          <w:lang w:val="hr-HR"/>
        </w:rPr>
        <w:t xml:space="preserve"> </w:t>
      </w:r>
      <w:r w:rsidR="00272CF8" w:rsidRPr="00F6590B">
        <w:rPr>
          <w:szCs w:val="24"/>
          <w:lang w:val="hr-HR"/>
        </w:rPr>
        <w:t xml:space="preserve">u Hrvatskoj </w:t>
      </w:r>
      <w:r w:rsidRPr="00F6590B">
        <w:rPr>
          <w:szCs w:val="24"/>
          <w:lang w:val="hr-HR"/>
        </w:rPr>
        <w:t>postoji nejednaka efikasnost trgovačkih sudova u procesuiranju stečajnih predmeta</w:t>
      </w:r>
      <w:r w:rsidR="004E3CC0" w:rsidRPr="00F6590B">
        <w:rPr>
          <w:szCs w:val="24"/>
          <w:lang w:val="hr-HR"/>
        </w:rPr>
        <w:t xml:space="preserve">. </w:t>
      </w:r>
      <w:r w:rsidR="003625A4" w:rsidRPr="00F6590B">
        <w:rPr>
          <w:szCs w:val="24"/>
          <w:lang w:val="hr-HR"/>
        </w:rPr>
        <w:t xml:space="preserve">Drugim riječima, </w:t>
      </w:r>
      <w:r w:rsidR="00E86FA3" w:rsidRPr="00F6590B">
        <w:rPr>
          <w:szCs w:val="24"/>
          <w:lang w:val="hr-HR"/>
        </w:rPr>
        <w:t xml:space="preserve">pretpostavlja se da </w:t>
      </w:r>
      <w:r w:rsidR="003625A4" w:rsidRPr="00F6590B">
        <w:rPr>
          <w:szCs w:val="24"/>
          <w:lang w:val="hr-HR"/>
        </w:rPr>
        <w:t>s</w:t>
      </w:r>
      <w:r w:rsidR="004E3CC0" w:rsidRPr="00F6590B">
        <w:rPr>
          <w:szCs w:val="24"/>
          <w:lang w:val="hr-HR"/>
        </w:rPr>
        <w:t xml:space="preserve">tečajevi negdje u pravilu traju dulje, a negdje kraće, odnosno </w:t>
      </w:r>
      <w:r w:rsidR="00E86FA3" w:rsidRPr="00F6590B">
        <w:rPr>
          <w:szCs w:val="24"/>
          <w:lang w:val="hr-HR"/>
        </w:rPr>
        <w:t xml:space="preserve">da </w:t>
      </w:r>
      <w:r w:rsidR="004E3CC0" w:rsidRPr="00F6590B">
        <w:rPr>
          <w:szCs w:val="24"/>
          <w:lang w:val="hr-HR"/>
        </w:rPr>
        <w:t xml:space="preserve">jedni sudovi konstantno rješavaju </w:t>
      </w:r>
      <w:r w:rsidR="00272CF8" w:rsidRPr="00F6590B">
        <w:rPr>
          <w:szCs w:val="24"/>
          <w:lang w:val="hr-HR"/>
        </w:rPr>
        <w:t xml:space="preserve">brže i </w:t>
      </w:r>
      <w:r w:rsidR="004E3CC0" w:rsidRPr="00F6590B">
        <w:rPr>
          <w:szCs w:val="24"/>
          <w:lang w:val="hr-HR"/>
        </w:rPr>
        <w:t xml:space="preserve">više predmeta nego drugi. </w:t>
      </w:r>
      <w:r w:rsidR="00E86FA3" w:rsidRPr="00F6590B">
        <w:rPr>
          <w:szCs w:val="24"/>
          <w:lang w:val="hr-HR"/>
        </w:rPr>
        <w:t>U slučaju potvrde ove hipoteze</w:t>
      </w:r>
      <w:r w:rsidR="004C46A8" w:rsidRPr="00F6590B">
        <w:rPr>
          <w:szCs w:val="24"/>
          <w:lang w:val="hr-HR"/>
        </w:rPr>
        <w:t xml:space="preserve"> r</w:t>
      </w:r>
      <w:r w:rsidR="004E3CC0" w:rsidRPr="00F6590B">
        <w:rPr>
          <w:szCs w:val="24"/>
          <w:lang w:val="hr-HR"/>
        </w:rPr>
        <w:t xml:space="preserve">ezultati </w:t>
      </w:r>
      <w:r w:rsidR="002D2369" w:rsidRPr="00F6590B">
        <w:rPr>
          <w:szCs w:val="24"/>
          <w:lang w:val="hr-HR"/>
        </w:rPr>
        <w:t xml:space="preserve">ovoga </w:t>
      </w:r>
      <w:r w:rsidR="004C46A8" w:rsidRPr="00F6590B">
        <w:rPr>
          <w:szCs w:val="24"/>
          <w:lang w:val="hr-HR"/>
        </w:rPr>
        <w:t>istraživanja mogli</w:t>
      </w:r>
      <w:r w:rsidR="004E3CC0" w:rsidRPr="00F6590B">
        <w:rPr>
          <w:szCs w:val="24"/>
          <w:lang w:val="hr-HR"/>
        </w:rPr>
        <w:t xml:space="preserve"> </w:t>
      </w:r>
      <w:r w:rsidR="00E86FA3" w:rsidRPr="00F6590B">
        <w:rPr>
          <w:szCs w:val="24"/>
          <w:lang w:val="hr-HR"/>
        </w:rPr>
        <w:t xml:space="preserve">bi </w:t>
      </w:r>
      <w:r w:rsidR="004E3CC0" w:rsidRPr="00F6590B">
        <w:rPr>
          <w:szCs w:val="24"/>
          <w:lang w:val="hr-HR"/>
        </w:rPr>
        <w:t xml:space="preserve">služiti kao </w:t>
      </w:r>
      <w:r w:rsidR="003625A4" w:rsidRPr="00F6590B">
        <w:rPr>
          <w:szCs w:val="24"/>
          <w:lang w:val="hr-HR"/>
        </w:rPr>
        <w:t xml:space="preserve">opći </w:t>
      </w:r>
      <w:r w:rsidR="004E3CC0" w:rsidRPr="00F6590B">
        <w:rPr>
          <w:szCs w:val="24"/>
          <w:lang w:val="hr-HR"/>
        </w:rPr>
        <w:t xml:space="preserve">smjerokaz, jer </w:t>
      </w:r>
      <w:r w:rsidR="003625A4" w:rsidRPr="00F6590B">
        <w:rPr>
          <w:szCs w:val="24"/>
          <w:lang w:val="hr-HR"/>
        </w:rPr>
        <w:t>bi poduzetnike mogli</w:t>
      </w:r>
      <w:r w:rsidR="004E3CC0" w:rsidRPr="00F6590B">
        <w:rPr>
          <w:szCs w:val="24"/>
          <w:lang w:val="hr-HR"/>
        </w:rPr>
        <w:t xml:space="preserve"> </w:t>
      </w:r>
      <w:r w:rsidRPr="00F6590B">
        <w:rPr>
          <w:szCs w:val="24"/>
          <w:lang w:val="hr-HR"/>
        </w:rPr>
        <w:t xml:space="preserve">dovesti do komparativnih prednosti pri inkorporiranju </w:t>
      </w:r>
      <w:r w:rsidR="004E3CC0" w:rsidRPr="00F6590B">
        <w:rPr>
          <w:szCs w:val="24"/>
          <w:lang w:val="hr-HR"/>
        </w:rPr>
        <w:t>(ili transferu sjedišta) u jurisdikcije</w:t>
      </w:r>
      <w:r w:rsidRPr="00F6590B">
        <w:rPr>
          <w:szCs w:val="24"/>
          <w:lang w:val="hr-HR"/>
        </w:rPr>
        <w:t xml:space="preserve"> </w:t>
      </w:r>
      <w:r w:rsidR="004E3CC0" w:rsidRPr="00F6590B">
        <w:rPr>
          <w:szCs w:val="24"/>
          <w:lang w:val="hr-HR"/>
        </w:rPr>
        <w:t>efikasnijih</w:t>
      </w:r>
      <w:r w:rsidRPr="00F6590B">
        <w:rPr>
          <w:szCs w:val="24"/>
          <w:lang w:val="hr-HR"/>
        </w:rPr>
        <w:t xml:space="preserve"> </w:t>
      </w:r>
      <w:r w:rsidR="004E3CC0" w:rsidRPr="00F6590B">
        <w:rPr>
          <w:szCs w:val="24"/>
          <w:lang w:val="hr-HR"/>
        </w:rPr>
        <w:t xml:space="preserve">sudova. </w:t>
      </w:r>
      <w:r w:rsidR="002D6CC5" w:rsidRPr="00F6590B">
        <w:rPr>
          <w:szCs w:val="24"/>
          <w:lang w:val="hr-HR"/>
        </w:rPr>
        <w:t>Premda se o</w:t>
      </w:r>
      <w:r w:rsidR="002D2369" w:rsidRPr="00F6590B">
        <w:rPr>
          <w:szCs w:val="24"/>
          <w:lang w:val="hr-HR"/>
        </w:rPr>
        <w:t>dabir najpovoljnije jurisdikcije – „</w:t>
      </w:r>
      <w:r w:rsidR="002D2369" w:rsidRPr="00F6590B">
        <w:rPr>
          <w:i/>
          <w:szCs w:val="24"/>
          <w:lang w:val="hr-HR"/>
        </w:rPr>
        <w:t xml:space="preserve">forum  </w:t>
      </w:r>
      <w:proofErr w:type="spellStart"/>
      <w:r w:rsidR="002D2369" w:rsidRPr="00F6590B">
        <w:rPr>
          <w:i/>
          <w:szCs w:val="24"/>
          <w:lang w:val="hr-HR"/>
        </w:rPr>
        <w:t>shopping</w:t>
      </w:r>
      <w:proofErr w:type="spellEnd"/>
      <w:r w:rsidR="002D2369" w:rsidRPr="00F6590B">
        <w:rPr>
          <w:szCs w:val="24"/>
          <w:lang w:val="hr-HR"/>
        </w:rPr>
        <w:t>“</w:t>
      </w:r>
      <w:r w:rsidR="002D2369" w:rsidRPr="00F6590B">
        <w:rPr>
          <w:rStyle w:val="FootnoteReference"/>
          <w:szCs w:val="24"/>
          <w:lang w:val="hr-HR"/>
        </w:rPr>
        <w:footnoteReference w:id="2"/>
      </w:r>
      <w:r w:rsidR="002D2369" w:rsidRPr="00F6590B">
        <w:rPr>
          <w:szCs w:val="24"/>
          <w:lang w:val="hr-HR"/>
        </w:rPr>
        <w:t xml:space="preserve"> –  </w:t>
      </w:r>
      <w:r w:rsidR="002D6CC5" w:rsidRPr="00F6590B">
        <w:rPr>
          <w:szCs w:val="24"/>
          <w:lang w:val="hr-HR"/>
        </w:rPr>
        <w:t xml:space="preserve">često promatra u pejorativnom kontekstu kao način iskorištavanja neusklađenosti </w:t>
      </w:r>
      <w:r w:rsidR="007247CB" w:rsidRPr="00F6590B">
        <w:rPr>
          <w:szCs w:val="24"/>
          <w:lang w:val="hr-HR"/>
        </w:rPr>
        <w:t xml:space="preserve">pravosuđa (npr. </w:t>
      </w:r>
      <w:proofErr w:type="spellStart"/>
      <w:r w:rsidR="007247CB" w:rsidRPr="00F6590B">
        <w:rPr>
          <w:szCs w:val="24"/>
          <w:lang w:val="hr-HR"/>
        </w:rPr>
        <w:t>LoPucki</w:t>
      </w:r>
      <w:proofErr w:type="spellEnd"/>
      <w:r w:rsidR="007247CB" w:rsidRPr="00F6590B">
        <w:rPr>
          <w:szCs w:val="24"/>
          <w:lang w:val="hr-HR"/>
        </w:rPr>
        <w:t xml:space="preserve"> i </w:t>
      </w:r>
      <w:proofErr w:type="spellStart"/>
      <w:r w:rsidR="007247CB" w:rsidRPr="00F6590B">
        <w:rPr>
          <w:szCs w:val="24"/>
          <w:lang w:val="hr-HR"/>
        </w:rPr>
        <w:t>Whitford</w:t>
      </w:r>
      <w:proofErr w:type="spellEnd"/>
      <w:r w:rsidR="007247CB" w:rsidRPr="00F6590B">
        <w:rPr>
          <w:szCs w:val="24"/>
          <w:lang w:val="hr-HR"/>
        </w:rPr>
        <w:t xml:space="preserve">, 1991; </w:t>
      </w:r>
      <w:proofErr w:type="spellStart"/>
      <w:r w:rsidR="007247CB" w:rsidRPr="00F6590B">
        <w:rPr>
          <w:szCs w:val="24"/>
          <w:lang w:val="hr-HR"/>
        </w:rPr>
        <w:t>Eisenberg</w:t>
      </w:r>
      <w:proofErr w:type="spellEnd"/>
      <w:r w:rsidR="007247CB" w:rsidRPr="00F6590B">
        <w:rPr>
          <w:szCs w:val="24"/>
          <w:lang w:val="hr-HR"/>
        </w:rPr>
        <w:t xml:space="preserve"> i </w:t>
      </w:r>
      <w:proofErr w:type="spellStart"/>
      <w:r w:rsidR="007247CB" w:rsidRPr="00F6590B">
        <w:rPr>
          <w:szCs w:val="24"/>
          <w:lang w:val="hr-HR"/>
        </w:rPr>
        <w:t>LoPucki</w:t>
      </w:r>
      <w:proofErr w:type="spellEnd"/>
      <w:r w:rsidR="007247CB" w:rsidRPr="00F6590B">
        <w:rPr>
          <w:szCs w:val="24"/>
          <w:lang w:val="hr-HR"/>
        </w:rPr>
        <w:t>, 1999)</w:t>
      </w:r>
      <w:r w:rsidR="002D6CC5" w:rsidRPr="00F6590B">
        <w:rPr>
          <w:szCs w:val="24"/>
          <w:lang w:val="hr-HR"/>
        </w:rPr>
        <w:t xml:space="preserve">, </w:t>
      </w:r>
      <w:r w:rsidR="002D6CC5" w:rsidRPr="00F6590B">
        <w:rPr>
          <w:i/>
          <w:szCs w:val="24"/>
          <w:lang w:val="hr-HR"/>
        </w:rPr>
        <w:t xml:space="preserve">forum </w:t>
      </w:r>
      <w:proofErr w:type="spellStart"/>
      <w:r w:rsidR="002D6CC5" w:rsidRPr="00F6590B">
        <w:rPr>
          <w:i/>
          <w:szCs w:val="24"/>
          <w:lang w:val="hr-HR"/>
        </w:rPr>
        <w:t>shopping</w:t>
      </w:r>
      <w:proofErr w:type="spellEnd"/>
      <w:r w:rsidR="002D6CC5" w:rsidRPr="00F6590B">
        <w:rPr>
          <w:szCs w:val="24"/>
          <w:lang w:val="hr-HR"/>
        </w:rPr>
        <w:t xml:space="preserve"> se </w:t>
      </w:r>
      <w:r w:rsidR="002D2369" w:rsidRPr="00F6590B">
        <w:rPr>
          <w:szCs w:val="24"/>
          <w:lang w:val="hr-HR"/>
        </w:rPr>
        <w:t>više ne smatra isključivo negativnom pojavom koju valja izbjegavati ili iskorijeniti</w:t>
      </w:r>
      <w:r w:rsidR="0067256F" w:rsidRPr="00F6590B">
        <w:rPr>
          <w:szCs w:val="24"/>
          <w:lang w:val="hr-HR"/>
        </w:rPr>
        <w:t>, nego aktivnošću koja može unaprijediti</w:t>
      </w:r>
      <w:r w:rsidR="002D2369" w:rsidRPr="00F6590B">
        <w:rPr>
          <w:szCs w:val="24"/>
          <w:lang w:val="hr-HR"/>
        </w:rPr>
        <w:t xml:space="preserve"> </w:t>
      </w:r>
      <w:r w:rsidR="0067256F" w:rsidRPr="00F6590B">
        <w:rPr>
          <w:szCs w:val="24"/>
          <w:lang w:val="hr-HR"/>
        </w:rPr>
        <w:t xml:space="preserve">sposobnosti </w:t>
      </w:r>
      <w:r w:rsidR="007247CB" w:rsidRPr="00F6590B">
        <w:rPr>
          <w:szCs w:val="24"/>
          <w:lang w:val="hr-HR"/>
        </w:rPr>
        <w:t xml:space="preserve">pravosudnog </w:t>
      </w:r>
      <w:r w:rsidR="0067256F" w:rsidRPr="00F6590B">
        <w:rPr>
          <w:szCs w:val="24"/>
          <w:lang w:val="hr-HR"/>
        </w:rPr>
        <w:t>sustava (</w:t>
      </w:r>
      <w:proofErr w:type="spellStart"/>
      <w:r w:rsidR="0067256F" w:rsidRPr="00F6590B">
        <w:rPr>
          <w:rFonts w:cs="Times New Roman"/>
          <w:szCs w:val="24"/>
          <w:lang w:val="hr-HR"/>
        </w:rPr>
        <w:t>Harvard</w:t>
      </w:r>
      <w:proofErr w:type="spellEnd"/>
      <w:r w:rsidR="0067256F" w:rsidRPr="00F6590B">
        <w:rPr>
          <w:rFonts w:cs="Times New Roman"/>
          <w:szCs w:val="24"/>
          <w:lang w:val="hr-HR"/>
        </w:rPr>
        <w:t xml:space="preserve"> </w:t>
      </w:r>
      <w:proofErr w:type="spellStart"/>
      <w:r w:rsidR="0067256F" w:rsidRPr="00F6590B">
        <w:rPr>
          <w:rFonts w:cs="Times New Roman"/>
          <w:szCs w:val="24"/>
          <w:lang w:val="hr-HR"/>
        </w:rPr>
        <w:t>Law</w:t>
      </w:r>
      <w:proofErr w:type="spellEnd"/>
      <w:r w:rsidR="0067256F" w:rsidRPr="00F6590B">
        <w:rPr>
          <w:rFonts w:cs="Times New Roman"/>
          <w:szCs w:val="24"/>
          <w:lang w:val="hr-HR"/>
        </w:rPr>
        <w:t xml:space="preserve"> </w:t>
      </w:r>
      <w:proofErr w:type="spellStart"/>
      <w:r w:rsidR="0067256F" w:rsidRPr="00F6590B">
        <w:rPr>
          <w:rFonts w:cs="Times New Roman"/>
          <w:szCs w:val="24"/>
          <w:lang w:val="hr-HR"/>
        </w:rPr>
        <w:t>Review</w:t>
      </w:r>
      <w:proofErr w:type="spellEnd"/>
      <w:r w:rsidR="0067256F" w:rsidRPr="00F6590B">
        <w:rPr>
          <w:rFonts w:cs="Times New Roman"/>
          <w:szCs w:val="24"/>
          <w:lang w:val="hr-HR"/>
        </w:rPr>
        <w:t xml:space="preserve"> </w:t>
      </w:r>
      <w:proofErr w:type="spellStart"/>
      <w:r w:rsidR="0067256F" w:rsidRPr="00F6590B">
        <w:rPr>
          <w:rFonts w:cs="Times New Roman"/>
          <w:szCs w:val="24"/>
          <w:lang w:val="hr-HR"/>
        </w:rPr>
        <w:t>Association</w:t>
      </w:r>
      <w:proofErr w:type="spellEnd"/>
      <w:r w:rsidR="0067256F" w:rsidRPr="00F6590B">
        <w:rPr>
          <w:rFonts w:cs="Times New Roman"/>
          <w:szCs w:val="24"/>
          <w:lang w:val="hr-HR"/>
        </w:rPr>
        <w:t>, 1990</w:t>
      </w:r>
      <w:r w:rsidR="005624B5" w:rsidRPr="00F6590B">
        <w:rPr>
          <w:rFonts w:cs="Times New Roman"/>
          <w:szCs w:val="24"/>
          <w:lang w:val="hr-HR"/>
        </w:rPr>
        <w:t xml:space="preserve">; </w:t>
      </w:r>
      <w:proofErr w:type="spellStart"/>
      <w:r w:rsidR="005624B5" w:rsidRPr="00F6590B">
        <w:rPr>
          <w:rFonts w:cs="Times New Roman"/>
          <w:szCs w:val="24"/>
          <w:lang w:val="hr-HR"/>
        </w:rPr>
        <w:t>Rasmussen</w:t>
      </w:r>
      <w:proofErr w:type="spellEnd"/>
      <w:r w:rsidR="005624B5" w:rsidRPr="00F6590B">
        <w:rPr>
          <w:rFonts w:cs="Times New Roman"/>
          <w:szCs w:val="24"/>
          <w:lang w:val="hr-HR"/>
        </w:rPr>
        <w:t xml:space="preserve"> i </w:t>
      </w:r>
      <w:proofErr w:type="spellStart"/>
      <w:r w:rsidR="005624B5" w:rsidRPr="00F6590B">
        <w:rPr>
          <w:rFonts w:cs="Times New Roman"/>
          <w:szCs w:val="24"/>
          <w:lang w:val="hr-HR"/>
        </w:rPr>
        <w:t>Thomas</w:t>
      </w:r>
      <w:proofErr w:type="spellEnd"/>
      <w:r w:rsidR="005624B5" w:rsidRPr="00F6590B">
        <w:rPr>
          <w:rFonts w:cs="Times New Roman"/>
          <w:szCs w:val="24"/>
          <w:lang w:val="hr-HR"/>
        </w:rPr>
        <w:t>, 2000</w:t>
      </w:r>
      <w:r w:rsidR="0067256F" w:rsidRPr="00F6590B">
        <w:rPr>
          <w:szCs w:val="24"/>
          <w:lang w:val="hr-HR"/>
        </w:rPr>
        <w:t>).</w:t>
      </w:r>
      <w:r w:rsidR="002D6CC5" w:rsidRPr="00F6590B">
        <w:rPr>
          <w:szCs w:val="24"/>
          <w:lang w:val="hr-HR"/>
        </w:rPr>
        <w:t xml:space="preserve"> </w:t>
      </w:r>
    </w:p>
    <w:p w14:paraId="2D124867" w14:textId="3F32BC42" w:rsidR="00BC7C37" w:rsidRPr="00F6590B" w:rsidRDefault="005369DA" w:rsidP="00483743">
      <w:pPr>
        <w:spacing w:line="480" w:lineRule="auto"/>
        <w:rPr>
          <w:lang w:val="hr-HR"/>
        </w:rPr>
      </w:pPr>
      <w:r w:rsidRPr="00F6590B">
        <w:rPr>
          <w:szCs w:val="24"/>
          <w:lang w:val="hr-HR"/>
        </w:rPr>
        <w:t>Druga</w:t>
      </w:r>
      <w:r w:rsidR="00BC7C37" w:rsidRPr="00F6590B">
        <w:rPr>
          <w:szCs w:val="24"/>
          <w:lang w:val="hr-HR"/>
        </w:rPr>
        <w:t xml:space="preserve"> hipoteza </w:t>
      </w:r>
      <w:r w:rsidR="002748BF" w:rsidRPr="00F6590B">
        <w:rPr>
          <w:szCs w:val="24"/>
          <w:lang w:val="hr-HR"/>
        </w:rPr>
        <w:t>tvrdi</w:t>
      </w:r>
      <w:r w:rsidR="00BC7C37" w:rsidRPr="00F6590B">
        <w:rPr>
          <w:szCs w:val="24"/>
          <w:lang w:val="hr-HR"/>
        </w:rPr>
        <w:t xml:space="preserve"> kako je </w:t>
      </w:r>
      <w:r w:rsidR="00910C76" w:rsidRPr="00F6590B">
        <w:rPr>
          <w:szCs w:val="24"/>
          <w:lang w:val="hr-HR"/>
        </w:rPr>
        <w:t xml:space="preserve">percepcija neefikasnosti trgovačkih sudova predimenzionirana, odnosno kako se većina stečajnih </w:t>
      </w:r>
      <w:r w:rsidR="002D2369" w:rsidRPr="00F6590B">
        <w:rPr>
          <w:szCs w:val="24"/>
          <w:lang w:val="hr-HR"/>
        </w:rPr>
        <w:t>postupaka</w:t>
      </w:r>
      <w:r w:rsidR="00910C76" w:rsidRPr="00F6590B">
        <w:rPr>
          <w:szCs w:val="24"/>
          <w:lang w:val="hr-HR"/>
        </w:rPr>
        <w:t xml:space="preserve"> </w:t>
      </w:r>
      <w:r w:rsidRPr="00F6590B">
        <w:rPr>
          <w:szCs w:val="24"/>
          <w:lang w:val="hr-HR"/>
        </w:rPr>
        <w:t xml:space="preserve">ipak </w:t>
      </w:r>
      <w:r w:rsidR="00910C76" w:rsidRPr="00F6590B">
        <w:rPr>
          <w:szCs w:val="24"/>
          <w:lang w:val="hr-HR"/>
        </w:rPr>
        <w:t>rješava u razumno brzom roku. Naime, s</w:t>
      </w:r>
      <w:r w:rsidR="00910C76" w:rsidRPr="00F6590B">
        <w:rPr>
          <w:lang w:val="hr-HR"/>
        </w:rPr>
        <w:t xml:space="preserve">tečajni postupak ima dva konfliktna cilja: kratko vrijeme trajanja, i namirenje potraživanja u visokom postotku. Sudionici postupka često hoće </w:t>
      </w:r>
      <w:r w:rsidR="0045572A" w:rsidRPr="00F6590B">
        <w:rPr>
          <w:lang w:val="hr-HR"/>
        </w:rPr>
        <w:t>oboje</w:t>
      </w:r>
      <w:r w:rsidR="00910C76" w:rsidRPr="00F6590B">
        <w:rPr>
          <w:lang w:val="hr-HR"/>
        </w:rPr>
        <w:t>, pri tome ignorirajući činjenicu da prvi cilj umnogome isključuje drugi</w:t>
      </w:r>
      <w:r w:rsidR="00910C76" w:rsidRPr="00F6590B">
        <w:rPr>
          <w:rStyle w:val="FootnoteReference"/>
          <w:lang w:val="hr-HR"/>
        </w:rPr>
        <w:footnoteReference w:id="3"/>
      </w:r>
      <w:r w:rsidR="00910C76" w:rsidRPr="00F6590B">
        <w:rPr>
          <w:lang w:val="hr-HR"/>
        </w:rPr>
        <w:t xml:space="preserve">. </w:t>
      </w:r>
      <w:r w:rsidR="0045572A" w:rsidRPr="00F6590B">
        <w:rPr>
          <w:lang w:val="hr-HR"/>
        </w:rPr>
        <w:t>S</w:t>
      </w:r>
      <w:r w:rsidR="00910C76" w:rsidRPr="00F6590B">
        <w:rPr>
          <w:lang w:val="hr-HR"/>
        </w:rPr>
        <w:t xml:space="preserve">ve ono što se akumuliralo u problematičnom društvu kroz </w:t>
      </w:r>
      <w:r w:rsidR="0045572A" w:rsidRPr="00F6590B">
        <w:rPr>
          <w:lang w:val="hr-HR"/>
        </w:rPr>
        <w:t>više godina</w:t>
      </w:r>
      <w:r w:rsidR="00910C76" w:rsidRPr="00F6590B">
        <w:rPr>
          <w:lang w:val="hr-HR"/>
        </w:rPr>
        <w:t xml:space="preserve">, pa i desetljeća (vrlo složeni dužničko-vjerovnički odnosi, loše poslovne </w:t>
      </w:r>
      <w:r w:rsidR="00910C76" w:rsidRPr="00F6590B">
        <w:rPr>
          <w:lang w:val="hr-HR"/>
        </w:rPr>
        <w:lastRenderedPageBreak/>
        <w:t>odluke, nemar, neznanje, nerijetko i poslovne malverzacije i kriminalne radnje</w:t>
      </w:r>
      <w:r w:rsidR="0045572A" w:rsidRPr="00F6590B">
        <w:rPr>
          <w:lang w:val="hr-HR"/>
        </w:rPr>
        <w:t>, itd.</w:t>
      </w:r>
      <w:r w:rsidR="00910C76" w:rsidRPr="00F6590B">
        <w:rPr>
          <w:lang w:val="hr-HR"/>
        </w:rPr>
        <w:t xml:space="preserve">) </w:t>
      </w:r>
      <w:r w:rsidR="003653B8">
        <w:rPr>
          <w:lang w:val="hr-HR"/>
        </w:rPr>
        <w:t xml:space="preserve">vrlo </w:t>
      </w:r>
      <w:r w:rsidR="00910C76" w:rsidRPr="00F6590B">
        <w:rPr>
          <w:lang w:val="hr-HR"/>
        </w:rPr>
        <w:t xml:space="preserve">teško se </w:t>
      </w:r>
      <w:r w:rsidR="00377C4A" w:rsidRPr="00F6590B">
        <w:rPr>
          <w:lang w:val="hr-HR"/>
        </w:rPr>
        <w:t xml:space="preserve">u stečaju </w:t>
      </w:r>
      <w:r w:rsidR="00910C76" w:rsidRPr="00F6590B">
        <w:rPr>
          <w:lang w:val="hr-HR"/>
        </w:rPr>
        <w:t>mo</w:t>
      </w:r>
      <w:r w:rsidR="0045572A" w:rsidRPr="00F6590B">
        <w:rPr>
          <w:lang w:val="hr-HR"/>
        </w:rPr>
        <w:t>že rasplesti u kratkom roku</w:t>
      </w:r>
      <w:r w:rsidR="0050626B" w:rsidRPr="00F6590B">
        <w:rPr>
          <w:lang w:val="hr-HR"/>
        </w:rPr>
        <w:t>,</w:t>
      </w:r>
      <w:r w:rsidR="0045572A" w:rsidRPr="00F6590B">
        <w:rPr>
          <w:lang w:val="hr-HR"/>
        </w:rPr>
        <w:t xml:space="preserve"> na zadovoljstvo većine sudionika. </w:t>
      </w:r>
    </w:p>
    <w:p w14:paraId="160CAB93" w14:textId="30909E22" w:rsidR="00AF64BD" w:rsidRPr="00F6590B" w:rsidRDefault="00AF64BD" w:rsidP="00483743">
      <w:pPr>
        <w:spacing w:line="480" w:lineRule="auto"/>
        <w:rPr>
          <w:lang w:val="hr-HR"/>
        </w:rPr>
      </w:pPr>
      <w:r w:rsidRPr="00F6590B">
        <w:rPr>
          <w:lang w:val="hr-HR"/>
        </w:rPr>
        <w:t xml:space="preserve">Prethodna istraživanja </w:t>
      </w:r>
      <w:r w:rsidR="00C821CD" w:rsidRPr="00F6590B">
        <w:rPr>
          <w:lang w:val="hr-HR"/>
        </w:rPr>
        <w:t xml:space="preserve">efikasnosti </w:t>
      </w:r>
      <w:r w:rsidR="00E61ECD" w:rsidRPr="00F6590B">
        <w:rPr>
          <w:lang w:val="hr-HR"/>
        </w:rPr>
        <w:t>pravosuđa</w:t>
      </w:r>
      <w:r w:rsidR="00C821CD" w:rsidRPr="00F6590B">
        <w:rPr>
          <w:lang w:val="hr-HR"/>
        </w:rPr>
        <w:t xml:space="preserve"> </w:t>
      </w:r>
      <w:r w:rsidR="00E61ECD" w:rsidRPr="00F6590B">
        <w:rPr>
          <w:lang w:val="hr-HR"/>
        </w:rPr>
        <w:t xml:space="preserve">u području stečaja </w:t>
      </w:r>
      <w:r w:rsidR="00D61C5A" w:rsidRPr="00F6590B">
        <w:rPr>
          <w:lang w:val="hr-HR"/>
        </w:rPr>
        <w:t>u Republici Hrvatskoj ne postoje</w:t>
      </w:r>
      <w:r w:rsidR="00C821CD" w:rsidRPr="00F6590B">
        <w:rPr>
          <w:lang w:val="hr-HR"/>
        </w:rPr>
        <w:t xml:space="preserve">. </w:t>
      </w:r>
      <w:r w:rsidR="00F6590B" w:rsidRPr="00F6590B">
        <w:rPr>
          <w:lang w:val="hr-HR"/>
        </w:rPr>
        <w:t xml:space="preserve">Ne vode se </w:t>
      </w:r>
      <w:r w:rsidR="003653B8">
        <w:rPr>
          <w:lang w:val="hr-HR"/>
        </w:rPr>
        <w:t xml:space="preserve">čak ni opći </w:t>
      </w:r>
      <w:r w:rsidR="00F6590B" w:rsidRPr="00F6590B">
        <w:rPr>
          <w:lang w:val="hr-HR"/>
        </w:rPr>
        <w:t xml:space="preserve">registri u kojima bi se prikupljala statistika stečajeva, koja bi objavljivala podatke o npr. prosječnom trajanju stečajnih postupaka, prosječnoj razini namirenja vjerovnika, prosječnoj veličini </w:t>
      </w:r>
      <w:r w:rsidR="003653B8">
        <w:rPr>
          <w:lang w:val="hr-HR"/>
        </w:rPr>
        <w:t xml:space="preserve">imovine </w:t>
      </w:r>
      <w:r w:rsidR="00F6590B" w:rsidRPr="00F6590B">
        <w:rPr>
          <w:lang w:val="hr-HR"/>
        </w:rPr>
        <w:t xml:space="preserve">dužnika, </w:t>
      </w:r>
      <w:r w:rsidR="003653B8">
        <w:rPr>
          <w:lang w:val="hr-HR"/>
        </w:rPr>
        <w:t xml:space="preserve">prosječnom broju zaposlenih kod dužnika </w:t>
      </w:r>
      <w:r w:rsidR="00F6590B" w:rsidRPr="00F6590B">
        <w:rPr>
          <w:lang w:val="hr-HR"/>
        </w:rPr>
        <w:t xml:space="preserve">i sl. </w:t>
      </w:r>
      <w:r w:rsidR="00C821CD" w:rsidRPr="00F6590B">
        <w:rPr>
          <w:lang w:val="hr-HR"/>
        </w:rPr>
        <w:t xml:space="preserve">Stečajevi se </w:t>
      </w:r>
      <w:r w:rsidR="00AC13AE" w:rsidRPr="00F6590B">
        <w:rPr>
          <w:lang w:val="hr-HR"/>
        </w:rPr>
        <w:t>uglavnom</w:t>
      </w:r>
      <w:r w:rsidR="00C821CD" w:rsidRPr="00F6590B">
        <w:rPr>
          <w:lang w:val="hr-HR"/>
        </w:rPr>
        <w:t xml:space="preserve"> promatraju s aspekta pravne procedure (npr. </w:t>
      </w:r>
      <w:proofErr w:type="spellStart"/>
      <w:r w:rsidR="00C67528" w:rsidRPr="00F6590B">
        <w:rPr>
          <w:lang w:val="hr-HR"/>
        </w:rPr>
        <w:t>Garašić</w:t>
      </w:r>
      <w:proofErr w:type="spellEnd"/>
      <w:r w:rsidR="00C67528" w:rsidRPr="00F6590B">
        <w:rPr>
          <w:lang w:val="hr-HR"/>
        </w:rPr>
        <w:t xml:space="preserve">, 2001; </w:t>
      </w:r>
      <w:proofErr w:type="spellStart"/>
      <w:r w:rsidR="00C821CD" w:rsidRPr="00F6590B">
        <w:rPr>
          <w:lang w:val="hr-HR"/>
        </w:rPr>
        <w:t>Čuveljak</w:t>
      </w:r>
      <w:proofErr w:type="spellEnd"/>
      <w:r w:rsidR="00C821CD" w:rsidRPr="00F6590B">
        <w:rPr>
          <w:lang w:val="hr-HR"/>
        </w:rPr>
        <w:t>, 2006</w:t>
      </w:r>
      <w:r w:rsidR="00C33F36" w:rsidRPr="00F6590B">
        <w:rPr>
          <w:lang w:val="hr-HR"/>
        </w:rPr>
        <w:t>;</w:t>
      </w:r>
      <w:r w:rsidR="00C821CD" w:rsidRPr="00F6590B">
        <w:rPr>
          <w:lang w:val="hr-HR"/>
        </w:rPr>
        <w:t xml:space="preserve"> </w:t>
      </w:r>
      <w:r w:rsidR="00C33F36" w:rsidRPr="00F6590B">
        <w:rPr>
          <w:lang w:val="hr-HR"/>
        </w:rPr>
        <w:t>Vuković i Bodul, 2012</w:t>
      </w:r>
      <w:r w:rsidR="003653B8">
        <w:rPr>
          <w:lang w:val="hr-HR"/>
        </w:rPr>
        <w:t>;</w:t>
      </w:r>
      <w:r w:rsidR="00353459" w:rsidRPr="00F6590B">
        <w:rPr>
          <w:lang w:val="hr-HR"/>
        </w:rPr>
        <w:t xml:space="preserve"> itd.</w:t>
      </w:r>
      <w:r w:rsidR="00C821CD" w:rsidRPr="00F6590B">
        <w:rPr>
          <w:lang w:val="hr-HR"/>
        </w:rPr>
        <w:t xml:space="preserve">), </w:t>
      </w:r>
      <w:r w:rsidR="00AC13AE" w:rsidRPr="00F6590B">
        <w:rPr>
          <w:lang w:val="hr-HR"/>
        </w:rPr>
        <w:t>a ekonomisti kreiraju modele</w:t>
      </w:r>
      <w:r w:rsidR="00EB3524" w:rsidRPr="00F6590B">
        <w:rPr>
          <w:lang w:val="hr-HR"/>
        </w:rPr>
        <w:t xml:space="preserve"> za </w:t>
      </w:r>
      <w:r w:rsidR="00E61ECD" w:rsidRPr="00F6590B">
        <w:rPr>
          <w:lang w:val="hr-HR"/>
        </w:rPr>
        <w:t xml:space="preserve">njihovo </w:t>
      </w:r>
      <w:r w:rsidR="00EB3524" w:rsidRPr="00F6590B">
        <w:rPr>
          <w:lang w:val="hr-HR"/>
        </w:rPr>
        <w:t xml:space="preserve">predviđanje (npr. </w:t>
      </w:r>
      <w:r w:rsidR="00C33F36" w:rsidRPr="00F6590B">
        <w:rPr>
          <w:lang w:val="hr-HR"/>
        </w:rPr>
        <w:t xml:space="preserve">Novak, 2003; </w:t>
      </w:r>
      <w:proofErr w:type="spellStart"/>
      <w:r w:rsidR="00EB3524" w:rsidRPr="00F6590B">
        <w:rPr>
          <w:lang w:val="hr-HR"/>
        </w:rPr>
        <w:t>Ze</w:t>
      </w:r>
      <w:r w:rsidR="00D2630A" w:rsidRPr="00F6590B">
        <w:rPr>
          <w:lang w:val="hr-HR"/>
        </w:rPr>
        <w:t>n</w:t>
      </w:r>
      <w:r w:rsidR="00EB3524" w:rsidRPr="00F6590B">
        <w:rPr>
          <w:lang w:val="hr-HR"/>
        </w:rPr>
        <w:t>zerović</w:t>
      </w:r>
      <w:proofErr w:type="spellEnd"/>
      <w:r w:rsidR="00EB3524" w:rsidRPr="00F6590B">
        <w:rPr>
          <w:lang w:val="hr-HR"/>
        </w:rPr>
        <w:t xml:space="preserve"> i Peruško, 2006, </w:t>
      </w:r>
      <w:r w:rsidR="00C67528" w:rsidRPr="00F6590B">
        <w:rPr>
          <w:lang w:val="hr-HR"/>
        </w:rPr>
        <w:t>Šarlija et al., 2009</w:t>
      </w:r>
      <w:r w:rsidR="00EB3524" w:rsidRPr="00F6590B">
        <w:rPr>
          <w:lang w:val="hr-HR"/>
        </w:rPr>
        <w:t>)</w:t>
      </w:r>
      <w:r w:rsidR="003653B8">
        <w:rPr>
          <w:lang w:val="hr-HR"/>
        </w:rPr>
        <w:t>.</w:t>
      </w:r>
      <w:r w:rsidR="00AC4911" w:rsidRPr="00F6590B">
        <w:rPr>
          <w:lang w:val="hr-HR"/>
        </w:rPr>
        <w:t xml:space="preserve"> </w:t>
      </w:r>
      <w:r w:rsidR="003653B8">
        <w:rPr>
          <w:lang w:val="hr-HR"/>
        </w:rPr>
        <w:t>No,</w:t>
      </w:r>
      <w:r w:rsidR="00AC4911" w:rsidRPr="00F6590B">
        <w:rPr>
          <w:lang w:val="hr-HR"/>
        </w:rPr>
        <w:t xml:space="preserve"> nedostaje detaljnija statistička analiza</w:t>
      </w:r>
      <w:r w:rsidR="00752585" w:rsidRPr="00F6590B">
        <w:rPr>
          <w:lang w:val="hr-HR"/>
        </w:rPr>
        <w:t xml:space="preserve"> </w:t>
      </w:r>
      <w:r w:rsidR="00AC13AE" w:rsidRPr="00F6590B">
        <w:rPr>
          <w:lang w:val="hr-HR"/>
        </w:rPr>
        <w:t>segmenta</w:t>
      </w:r>
      <w:r w:rsidR="00752585" w:rsidRPr="00F6590B">
        <w:rPr>
          <w:lang w:val="hr-HR"/>
        </w:rPr>
        <w:t xml:space="preserve"> pravosuđa</w:t>
      </w:r>
      <w:r w:rsidR="00AC13AE" w:rsidRPr="00F6590B">
        <w:rPr>
          <w:lang w:val="hr-HR"/>
        </w:rPr>
        <w:t xml:space="preserve"> koj</w:t>
      </w:r>
      <w:r w:rsidR="00EB47EA" w:rsidRPr="00F6590B">
        <w:rPr>
          <w:lang w:val="hr-HR"/>
        </w:rPr>
        <w:t>i</w:t>
      </w:r>
      <w:r w:rsidR="00AC13AE" w:rsidRPr="00F6590B">
        <w:rPr>
          <w:lang w:val="hr-HR"/>
        </w:rPr>
        <w:t xml:space="preserve"> se bavi stečajevima</w:t>
      </w:r>
      <w:r w:rsidR="00AC4911" w:rsidRPr="00F6590B">
        <w:rPr>
          <w:lang w:val="hr-HR"/>
        </w:rPr>
        <w:t>.</w:t>
      </w:r>
      <w:r w:rsidR="00752585" w:rsidRPr="00F6590B">
        <w:rPr>
          <w:lang w:val="hr-HR"/>
        </w:rPr>
        <w:t xml:space="preserve"> </w:t>
      </w:r>
      <w:r w:rsidR="003653B8">
        <w:rPr>
          <w:lang w:val="hr-HR"/>
        </w:rPr>
        <w:t>Doduše, p</w:t>
      </w:r>
      <w:r w:rsidR="00752585" w:rsidRPr="00F6590B">
        <w:rPr>
          <w:lang w:val="hr-HR"/>
        </w:rPr>
        <w:t>ostoje analize efika</w:t>
      </w:r>
      <w:r w:rsidR="00353459" w:rsidRPr="00F6590B">
        <w:rPr>
          <w:lang w:val="hr-HR"/>
        </w:rPr>
        <w:t>snosti hrvatskog</w:t>
      </w:r>
      <w:r w:rsidR="00752585" w:rsidRPr="00F6590B">
        <w:rPr>
          <w:lang w:val="hr-HR"/>
        </w:rPr>
        <w:t xml:space="preserve"> pravosuđa kao cjeline; </w:t>
      </w:r>
      <w:proofErr w:type="spellStart"/>
      <w:r w:rsidR="00752585" w:rsidRPr="00F6590B">
        <w:rPr>
          <w:lang w:val="hr-HR"/>
        </w:rPr>
        <w:t>Bejaković</w:t>
      </w:r>
      <w:proofErr w:type="spellEnd"/>
      <w:r w:rsidR="00752585" w:rsidRPr="00F6590B">
        <w:rPr>
          <w:lang w:val="hr-HR"/>
        </w:rPr>
        <w:t xml:space="preserve"> i </w:t>
      </w:r>
      <w:proofErr w:type="spellStart"/>
      <w:r w:rsidR="00752585" w:rsidRPr="00F6590B">
        <w:rPr>
          <w:lang w:val="hr-HR"/>
        </w:rPr>
        <w:t>Domac</w:t>
      </w:r>
      <w:proofErr w:type="spellEnd"/>
      <w:r w:rsidR="00752585" w:rsidRPr="00F6590B">
        <w:rPr>
          <w:lang w:val="hr-HR"/>
        </w:rPr>
        <w:t xml:space="preserve"> (2002) razmatrali su opći utjecaj neučinkovitosti sudbene vlasti na sivo gospodarstvo u RH, a Uzelac (2002) je </w:t>
      </w:r>
      <w:r w:rsidR="00353459" w:rsidRPr="00F6590B">
        <w:rPr>
          <w:lang w:val="hr-HR"/>
        </w:rPr>
        <w:t>uspoređivao</w:t>
      </w:r>
      <w:r w:rsidR="00752585" w:rsidRPr="00F6590B">
        <w:rPr>
          <w:lang w:val="hr-HR"/>
        </w:rPr>
        <w:t xml:space="preserve"> </w:t>
      </w:r>
      <w:r w:rsidR="00353459" w:rsidRPr="00F6590B">
        <w:rPr>
          <w:lang w:val="hr-HR"/>
        </w:rPr>
        <w:t>efikasnost</w:t>
      </w:r>
      <w:r w:rsidR="0087470E" w:rsidRPr="00F6590B">
        <w:rPr>
          <w:lang w:val="hr-HR"/>
        </w:rPr>
        <w:t>i</w:t>
      </w:r>
      <w:r w:rsidR="00752585" w:rsidRPr="00F6590B">
        <w:rPr>
          <w:lang w:val="hr-HR"/>
        </w:rPr>
        <w:t xml:space="preserve"> europskih pravosudnih sustava, </w:t>
      </w:r>
      <w:r w:rsidR="00353459" w:rsidRPr="00F6590B">
        <w:rPr>
          <w:lang w:val="hr-HR"/>
        </w:rPr>
        <w:t xml:space="preserve">među koje </w:t>
      </w:r>
      <w:r w:rsidR="00752585" w:rsidRPr="00F6590B">
        <w:rPr>
          <w:lang w:val="hr-HR"/>
        </w:rPr>
        <w:t xml:space="preserve">je bila uključena i Hrvatska. Također, </w:t>
      </w:r>
      <w:r w:rsidR="009B2B4F" w:rsidRPr="00F6590B">
        <w:rPr>
          <w:lang w:val="hr-HR"/>
        </w:rPr>
        <w:t>Europska komisija za učinkovitost pravosuđa (</w:t>
      </w:r>
      <w:proofErr w:type="spellStart"/>
      <w:r w:rsidR="009B2B4F" w:rsidRPr="00F6590B">
        <w:rPr>
          <w:lang w:val="hr-HR"/>
        </w:rPr>
        <w:t>European</w:t>
      </w:r>
      <w:proofErr w:type="spellEnd"/>
      <w:r w:rsidR="009B2B4F" w:rsidRPr="00F6590B">
        <w:rPr>
          <w:lang w:val="hr-HR"/>
        </w:rPr>
        <w:t xml:space="preserve"> </w:t>
      </w:r>
      <w:proofErr w:type="spellStart"/>
      <w:r w:rsidR="009B2B4F" w:rsidRPr="00F6590B">
        <w:rPr>
          <w:lang w:val="hr-HR"/>
        </w:rPr>
        <w:t>Commision</w:t>
      </w:r>
      <w:proofErr w:type="spellEnd"/>
      <w:r w:rsidR="009B2B4F" w:rsidRPr="00F6590B">
        <w:rPr>
          <w:lang w:val="hr-HR"/>
        </w:rPr>
        <w:t xml:space="preserve"> for </w:t>
      </w:r>
      <w:proofErr w:type="spellStart"/>
      <w:r w:rsidR="009B2B4F" w:rsidRPr="00F6590B">
        <w:rPr>
          <w:lang w:val="hr-HR"/>
        </w:rPr>
        <w:t>the</w:t>
      </w:r>
      <w:proofErr w:type="spellEnd"/>
      <w:r w:rsidR="009B2B4F" w:rsidRPr="00F6590B">
        <w:rPr>
          <w:lang w:val="hr-HR"/>
        </w:rPr>
        <w:t xml:space="preserve"> </w:t>
      </w:r>
      <w:proofErr w:type="spellStart"/>
      <w:r w:rsidR="009B2B4F" w:rsidRPr="00F6590B">
        <w:rPr>
          <w:lang w:val="hr-HR"/>
        </w:rPr>
        <w:t>Efficiency</w:t>
      </w:r>
      <w:proofErr w:type="spellEnd"/>
      <w:r w:rsidR="009B2B4F" w:rsidRPr="00F6590B">
        <w:rPr>
          <w:lang w:val="hr-HR"/>
        </w:rPr>
        <w:t xml:space="preserve"> </w:t>
      </w:r>
      <w:proofErr w:type="spellStart"/>
      <w:r w:rsidR="009B2B4F" w:rsidRPr="00F6590B">
        <w:rPr>
          <w:lang w:val="hr-HR"/>
        </w:rPr>
        <w:t>of</w:t>
      </w:r>
      <w:proofErr w:type="spellEnd"/>
      <w:r w:rsidR="009B2B4F" w:rsidRPr="00F6590B">
        <w:rPr>
          <w:lang w:val="hr-HR"/>
        </w:rPr>
        <w:t xml:space="preserve"> </w:t>
      </w:r>
      <w:proofErr w:type="spellStart"/>
      <w:r w:rsidR="009B2B4F" w:rsidRPr="00F6590B">
        <w:rPr>
          <w:lang w:val="hr-HR"/>
        </w:rPr>
        <w:t>Justice</w:t>
      </w:r>
      <w:proofErr w:type="spellEnd"/>
      <w:r w:rsidR="009B2B4F" w:rsidRPr="00F6590B">
        <w:rPr>
          <w:lang w:val="hr-HR"/>
        </w:rPr>
        <w:t xml:space="preserve">) ocjenjuje efikasnost </w:t>
      </w:r>
      <w:r w:rsidR="0087470E" w:rsidRPr="00F6590B">
        <w:rPr>
          <w:lang w:val="hr-HR"/>
        </w:rPr>
        <w:t xml:space="preserve">i </w:t>
      </w:r>
      <w:r w:rsidR="009B2B4F" w:rsidRPr="00F6590B">
        <w:rPr>
          <w:lang w:val="hr-HR"/>
        </w:rPr>
        <w:t xml:space="preserve">hrvatskog pravosuđa u cjelini, te </w:t>
      </w:r>
      <w:r w:rsidR="00064D38" w:rsidRPr="00F6590B">
        <w:rPr>
          <w:lang w:val="hr-HR"/>
        </w:rPr>
        <w:t xml:space="preserve">javno </w:t>
      </w:r>
      <w:r w:rsidR="009B2B4F" w:rsidRPr="00F6590B">
        <w:rPr>
          <w:lang w:val="hr-HR"/>
        </w:rPr>
        <w:t>objavljuje izvješća</w:t>
      </w:r>
      <w:r w:rsidR="00752585" w:rsidRPr="00F6590B">
        <w:rPr>
          <w:lang w:val="hr-HR"/>
        </w:rPr>
        <w:t xml:space="preserve"> (posljednje za 2012</w:t>
      </w:r>
      <w:r w:rsidR="00426B40" w:rsidRPr="00F6590B">
        <w:rPr>
          <w:lang w:val="hr-HR"/>
        </w:rPr>
        <w:t>.</w:t>
      </w:r>
      <w:r w:rsidR="00752585" w:rsidRPr="00F6590B">
        <w:rPr>
          <w:lang w:val="hr-HR"/>
        </w:rPr>
        <w:t>)</w:t>
      </w:r>
      <w:r w:rsidR="009B2B4F" w:rsidRPr="00F6590B">
        <w:rPr>
          <w:rStyle w:val="FootnoteReference"/>
          <w:lang w:val="hr-HR"/>
        </w:rPr>
        <w:footnoteReference w:id="4"/>
      </w:r>
      <w:r w:rsidR="00064D38" w:rsidRPr="00F6590B">
        <w:rPr>
          <w:lang w:val="hr-HR"/>
        </w:rPr>
        <w:t xml:space="preserve">, </w:t>
      </w:r>
      <w:r w:rsidR="0087470E" w:rsidRPr="00F6590B">
        <w:rPr>
          <w:lang w:val="hr-HR"/>
        </w:rPr>
        <w:t>dok je</w:t>
      </w:r>
      <w:r w:rsidR="00353459" w:rsidRPr="00F6590B">
        <w:rPr>
          <w:lang w:val="hr-HR"/>
        </w:rPr>
        <w:t xml:space="preserve"> Ministarstvo pravosuđa pokrenulo </w:t>
      </w:r>
      <w:r w:rsidR="00EB47EA" w:rsidRPr="00F6590B">
        <w:rPr>
          <w:lang w:val="hr-HR"/>
        </w:rPr>
        <w:t xml:space="preserve">IPA </w:t>
      </w:r>
      <w:r w:rsidR="00353459" w:rsidRPr="00F6590B">
        <w:rPr>
          <w:lang w:val="hr-HR"/>
        </w:rPr>
        <w:t>projekt „Jačanje učinkovitosti pravosuđa u Republici Hrvatskoj“</w:t>
      </w:r>
      <w:r w:rsidR="00377C4A" w:rsidRPr="00F6590B">
        <w:rPr>
          <w:rStyle w:val="FootnoteReference"/>
          <w:lang w:val="hr-HR"/>
        </w:rPr>
        <w:footnoteReference w:id="5"/>
      </w:r>
      <w:r w:rsidR="00353459" w:rsidRPr="00F6590B">
        <w:rPr>
          <w:lang w:val="hr-HR"/>
        </w:rPr>
        <w:t xml:space="preserve"> vrijedan 1,16 mil. eura</w:t>
      </w:r>
      <w:r w:rsidR="0087470E" w:rsidRPr="00F6590B">
        <w:rPr>
          <w:lang w:val="hr-HR"/>
        </w:rPr>
        <w:t>. N</w:t>
      </w:r>
      <w:r w:rsidR="00064D38" w:rsidRPr="00F6590B">
        <w:rPr>
          <w:lang w:val="hr-HR"/>
        </w:rPr>
        <w:t>o</w:t>
      </w:r>
      <w:r w:rsidR="0087470E" w:rsidRPr="00F6590B">
        <w:rPr>
          <w:lang w:val="hr-HR"/>
        </w:rPr>
        <w:t>,</w:t>
      </w:r>
      <w:r w:rsidR="00064D38" w:rsidRPr="00F6590B">
        <w:rPr>
          <w:lang w:val="hr-HR"/>
        </w:rPr>
        <w:t xml:space="preserve"> ondje se ne specificira </w:t>
      </w:r>
      <w:r w:rsidR="0087470E" w:rsidRPr="00F6590B">
        <w:rPr>
          <w:lang w:val="hr-HR"/>
        </w:rPr>
        <w:t>efikasnost</w:t>
      </w:r>
      <w:r w:rsidR="00064D38" w:rsidRPr="00F6590B">
        <w:rPr>
          <w:lang w:val="hr-HR"/>
        </w:rPr>
        <w:t xml:space="preserve"> trgovačkog sudstva</w:t>
      </w:r>
      <w:r w:rsidR="00353459" w:rsidRPr="00F6590B">
        <w:rPr>
          <w:lang w:val="hr-HR"/>
        </w:rPr>
        <w:t>, odnosno podsustava obrade stečajnih predmeta</w:t>
      </w:r>
      <w:r w:rsidR="00064D38" w:rsidRPr="00F6590B">
        <w:rPr>
          <w:lang w:val="hr-HR"/>
        </w:rPr>
        <w:t>.</w:t>
      </w:r>
    </w:p>
    <w:p w14:paraId="07B37099" w14:textId="5558C110" w:rsidR="00F6590B" w:rsidRPr="00F6590B" w:rsidRDefault="00F6590B" w:rsidP="00F6590B">
      <w:pPr>
        <w:spacing w:line="480" w:lineRule="auto"/>
        <w:rPr>
          <w:lang w:val="hr-HR"/>
        </w:rPr>
      </w:pPr>
      <w:r>
        <w:rPr>
          <w:lang w:val="hr-HR"/>
        </w:rPr>
        <w:t>Dakle</w:t>
      </w:r>
      <w:r w:rsidRPr="00F6590B">
        <w:rPr>
          <w:lang w:val="hr-HR"/>
        </w:rPr>
        <w:t>, ovaj rad donosi novu teorijsku i praktičnu razradu metodologije procjene efikasnosti trgovačkog pravosuđa u Republici Hrvatskoj</w:t>
      </w:r>
      <w:r w:rsidR="003653B8">
        <w:rPr>
          <w:lang w:val="hr-HR"/>
        </w:rPr>
        <w:t>, a metodologija je primjenjiva i na druge grane prava</w:t>
      </w:r>
      <w:r w:rsidRPr="00F6590B">
        <w:rPr>
          <w:lang w:val="hr-HR"/>
        </w:rPr>
        <w:t xml:space="preserve">. </w:t>
      </w:r>
      <w:r w:rsidR="003653B8">
        <w:rPr>
          <w:lang w:val="hr-HR"/>
        </w:rPr>
        <w:t>Rezultati primjene ove metodologije donose</w:t>
      </w:r>
      <w:r w:rsidRPr="00F6590B">
        <w:rPr>
          <w:lang w:val="hr-HR"/>
        </w:rPr>
        <w:t xml:space="preserve"> </w:t>
      </w:r>
      <w:r>
        <w:rPr>
          <w:lang w:val="hr-HR"/>
        </w:rPr>
        <w:t>sasvim</w:t>
      </w:r>
      <w:r w:rsidRPr="00F6590B">
        <w:rPr>
          <w:lang w:val="hr-HR"/>
        </w:rPr>
        <w:t xml:space="preserve"> nove spoznaje u stečajnom </w:t>
      </w:r>
      <w:r w:rsidRPr="00F6590B">
        <w:rPr>
          <w:lang w:val="hr-HR"/>
        </w:rPr>
        <w:lastRenderedPageBreak/>
        <w:t xml:space="preserve">sustavu Republike Hrvatske, </w:t>
      </w:r>
      <w:r w:rsidR="003653B8">
        <w:rPr>
          <w:lang w:val="hr-HR"/>
        </w:rPr>
        <w:t>te se tako</w:t>
      </w:r>
      <w:r w:rsidRPr="00F6590B">
        <w:rPr>
          <w:lang w:val="hr-HR"/>
        </w:rPr>
        <w:t xml:space="preserve"> </w:t>
      </w:r>
      <w:r w:rsidR="003653B8">
        <w:rPr>
          <w:lang w:val="hr-HR"/>
        </w:rPr>
        <w:t xml:space="preserve">značajno </w:t>
      </w:r>
      <w:r w:rsidRPr="00F6590B">
        <w:rPr>
          <w:lang w:val="hr-HR"/>
        </w:rPr>
        <w:t>proširuje postojeći korpus znanja, a nositelji politika dobivaju konkretne i aplikativne alate za donošenje odluka.</w:t>
      </w:r>
    </w:p>
    <w:p w14:paraId="3DA42DC7" w14:textId="111D584E" w:rsidR="00242AB4" w:rsidRPr="00F6590B" w:rsidRDefault="00242AB4" w:rsidP="00483743">
      <w:pPr>
        <w:spacing w:line="480" w:lineRule="auto"/>
        <w:rPr>
          <w:szCs w:val="24"/>
          <w:lang w:val="hr-HR"/>
        </w:rPr>
      </w:pPr>
      <w:r w:rsidRPr="00F6590B">
        <w:rPr>
          <w:szCs w:val="24"/>
          <w:lang w:val="hr-HR"/>
        </w:rPr>
        <w:t>Nakon uvoda i kratkog pregleda literature, u drugom se dijelu rada specificiraju izvori podataka</w:t>
      </w:r>
      <w:r w:rsidR="00604C30" w:rsidRPr="00F6590B">
        <w:rPr>
          <w:szCs w:val="24"/>
          <w:lang w:val="hr-HR"/>
        </w:rPr>
        <w:t>, odnosno dokumentacijska podloga</w:t>
      </w:r>
      <w:r w:rsidRPr="00F6590B">
        <w:rPr>
          <w:szCs w:val="24"/>
          <w:lang w:val="hr-HR"/>
        </w:rPr>
        <w:t xml:space="preserve"> na temelju koj</w:t>
      </w:r>
      <w:r w:rsidR="00604C30" w:rsidRPr="00F6590B">
        <w:rPr>
          <w:szCs w:val="24"/>
          <w:lang w:val="hr-HR"/>
        </w:rPr>
        <w:t>e</w:t>
      </w:r>
      <w:r w:rsidRPr="00F6590B">
        <w:rPr>
          <w:szCs w:val="24"/>
          <w:lang w:val="hr-HR"/>
        </w:rPr>
        <w:t xml:space="preserve"> je ovaj rad nastao. Treći dio iznosi metodologiju rada. U četvrtom dijelu </w:t>
      </w:r>
      <w:r w:rsidR="00E87879" w:rsidRPr="00F6590B">
        <w:rPr>
          <w:szCs w:val="24"/>
          <w:lang w:val="hr-HR"/>
        </w:rPr>
        <w:t>prikazuj</w:t>
      </w:r>
      <w:r w:rsidR="00426B40" w:rsidRPr="00F6590B">
        <w:rPr>
          <w:szCs w:val="24"/>
          <w:lang w:val="hr-HR"/>
        </w:rPr>
        <w:t>u se rezultati</w:t>
      </w:r>
      <w:r w:rsidR="00E87879" w:rsidRPr="00F6590B">
        <w:rPr>
          <w:szCs w:val="24"/>
          <w:lang w:val="hr-HR"/>
        </w:rPr>
        <w:t xml:space="preserve"> istraživanja, a sljedeće – posljednje – ukratko sumira prezentirana saznanja u formi zaključka.</w:t>
      </w:r>
    </w:p>
    <w:p w14:paraId="5E7D09C7" w14:textId="77777777" w:rsidR="00242AB4" w:rsidRPr="00F6590B" w:rsidRDefault="00242AB4" w:rsidP="00483743">
      <w:pPr>
        <w:spacing w:line="480" w:lineRule="auto"/>
        <w:rPr>
          <w:szCs w:val="24"/>
          <w:lang w:val="hr-HR"/>
        </w:rPr>
      </w:pPr>
    </w:p>
    <w:p w14:paraId="6F14C1BB" w14:textId="593E3657" w:rsidR="00B92CD6" w:rsidRPr="00F6590B" w:rsidRDefault="0050245E" w:rsidP="00483743">
      <w:pPr>
        <w:pStyle w:val="ListParagraph"/>
        <w:numPr>
          <w:ilvl w:val="0"/>
          <w:numId w:val="3"/>
        </w:numPr>
        <w:spacing w:line="480" w:lineRule="auto"/>
        <w:rPr>
          <w:rFonts w:cs="Times New Roman"/>
          <w:szCs w:val="24"/>
          <w:lang w:val="hr-HR"/>
        </w:rPr>
      </w:pPr>
      <w:r w:rsidRPr="00F6590B">
        <w:rPr>
          <w:rFonts w:cs="Times New Roman"/>
          <w:szCs w:val="24"/>
          <w:lang w:val="hr-HR"/>
        </w:rPr>
        <w:t xml:space="preserve">Izvori </w:t>
      </w:r>
      <w:r w:rsidR="00242AB4" w:rsidRPr="00F6590B">
        <w:rPr>
          <w:rFonts w:cs="Times New Roman"/>
          <w:szCs w:val="24"/>
          <w:lang w:val="hr-HR"/>
        </w:rPr>
        <w:t xml:space="preserve">i specifikacija </w:t>
      </w:r>
      <w:r w:rsidRPr="00F6590B">
        <w:rPr>
          <w:rFonts w:cs="Times New Roman"/>
          <w:szCs w:val="24"/>
          <w:lang w:val="hr-HR"/>
        </w:rPr>
        <w:t>podataka</w:t>
      </w:r>
    </w:p>
    <w:p w14:paraId="43C86EEF" w14:textId="77777777" w:rsidR="00B92CD6" w:rsidRPr="00F6590B" w:rsidRDefault="00B92CD6" w:rsidP="00483743">
      <w:pPr>
        <w:spacing w:line="480" w:lineRule="auto"/>
        <w:rPr>
          <w:rFonts w:cs="Times New Roman"/>
          <w:szCs w:val="24"/>
          <w:lang w:val="hr-HR"/>
        </w:rPr>
      </w:pPr>
    </w:p>
    <w:p w14:paraId="78027510" w14:textId="2932000D" w:rsidR="00B92CD6" w:rsidRPr="00F6590B" w:rsidRDefault="00B92CD6" w:rsidP="00483743">
      <w:pPr>
        <w:spacing w:line="480" w:lineRule="auto"/>
        <w:rPr>
          <w:rFonts w:cs="Times New Roman"/>
          <w:szCs w:val="24"/>
          <w:lang w:val="hr-HR"/>
        </w:rPr>
      </w:pPr>
      <w:r w:rsidRPr="00F6590B">
        <w:rPr>
          <w:rFonts w:cs="Times New Roman"/>
          <w:szCs w:val="24"/>
          <w:lang w:val="hr-HR"/>
        </w:rPr>
        <w:t>Dva su temeljna izvora podataka koji su u ovom radu</w:t>
      </w:r>
      <w:r w:rsidR="00EB47EA" w:rsidRPr="00F6590B">
        <w:rPr>
          <w:rFonts w:cs="Times New Roman"/>
          <w:szCs w:val="24"/>
          <w:lang w:val="hr-HR"/>
        </w:rPr>
        <w:t xml:space="preserve"> obrađeni</w:t>
      </w:r>
      <w:r w:rsidR="0087470E" w:rsidRPr="00F6590B">
        <w:rPr>
          <w:rFonts w:cs="Times New Roman"/>
          <w:szCs w:val="24"/>
          <w:lang w:val="hr-HR"/>
        </w:rPr>
        <w:t>. Budući da su</w:t>
      </w:r>
      <w:r w:rsidRPr="00F6590B">
        <w:rPr>
          <w:rFonts w:cs="Times New Roman"/>
          <w:szCs w:val="24"/>
          <w:lang w:val="hr-HR"/>
        </w:rPr>
        <w:t xml:space="preserve"> karakteristike i struktura ovih </w:t>
      </w:r>
      <w:r w:rsidR="00C524D6" w:rsidRPr="00F6590B">
        <w:rPr>
          <w:rFonts w:cs="Times New Roman"/>
          <w:szCs w:val="24"/>
          <w:lang w:val="hr-HR"/>
        </w:rPr>
        <w:t>podataka</w:t>
      </w:r>
      <w:r w:rsidRPr="00F6590B">
        <w:rPr>
          <w:rFonts w:cs="Times New Roman"/>
          <w:szCs w:val="24"/>
          <w:lang w:val="hr-HR"/>
        </w:rPr>
        <w:t xml:space="preserve"> determinirale ekonometrijske tehnike koje su u radu primijenjene</w:t>
      </w:r>
      <w:r w:rsidR="0087470E" w:rsidRPr="00F6590B">
        <w:rPr>
          <w:rFonts w:cs="Times New Roman"/>
          <w:szCs w:val="24"/>
          <w:lang w:val="hr-HR"/>
        </w:rPr>
        <w:t>, u svrhu</w:t>
      </w:r>
      <w:r w:rsidR="00A415CC" w:rsidRPr="00F6590B">
        <w:rPr>
          <w:rFonts w:cs="Times New Roman"/>
          <w:szCs w:val="24"/>
          <w:lang w:val="hr-HR"/>
        </w:rPr>
        <w:t xml:space="preserve"> </w:t>
      </w:r>
      <w:r w:rsidR="0087470E" w:rsidRPr="00F6590B">
        <w:rPr>
          <w:rFonts w:cs="Times New Roman"/>
          <w:szCs w:val="24"/>
          <w:lang w:val="hr-HR"/>
        </w:rPr>
        <w:t>bolje</w:t>
      </w:r>
      <w:r w:rsidR="00A415CC" w:rsidRPr="00F6590B">
        <w:rPr>
          <w:rFonts w:cs="Times New Roman"/>
          <w:szCs w:val="24"/>
          <w:lang w:val="hr-HR"/>
        </w:rPr>
        <w:t xml:space="preserve"> distinkcije ove </w:t>
      </w:r>
      <w:r w:rsidR="0087470E" w:rsidRPr="00F6590B">
        <w:rPr>
          <w:rFonts w:cs="Times New Roman"/>
          <w:szCs w:val="24"/>
          <w:lang w:val="hr-HR"/>
        </w:rPr>
        <w:t xml:space="preserve">su </w:t>
      </w:r>
      <w:r w:rsidR="00A415CC" w:rsidRPr="00F6590B">
        <w:rPr>
          <w:rFonts w:cs="Times New Roman"/>
          <w:szCs w:val="24"/>
          <w:lang w:val="hr-HR"/>
        </w:rPr>
        <w:t>baze podataka označene akronimima BP1 i BP2.</w:t>
      </w:r>
    </w:p>
    <w:p w14:paraId="1151D423" w14:textId="0F39F1F2" w:rsidR="00B92CD6" w:rsidRPr="00F6590B" w:rsidRDefault="00A415CC" w:rsidP="00483743">
      <w:pPr>
        <w:spacing w:line="480" w:lineRule="auto"/>
        <w:rPr>
          <w:rFonts w:cs="Times New Roman"/>
          <w:szCs w:val="24"/>
          <w:lang w:val="hr-HR"/>
        </w:rPr>
      </w:pPr>
      <w:r w:rsidRPr="00F6590B">
        <w:rPr>
          <w:rFonts w:cs="Times New Roman"/>
          <w:szCs w:val="24"/>
          <w:lang w:val="hr-HR"/>
        </w:rPr>
        <w:t>BP1</w:t>
      </w:r>
      <w:r w:rsidR="00B92CD6" w:rsidRPr="00F6590B">
        <w:rPr>
          <w:rFonts w:cs="Times New Roman"/>
          <w:szCs w:val="24"/>
          <w:lang w:val="hr-HR"/>
        </w:rPr>
        <w:t xml:space="preserve"> je baza podataka o </w:t>
      </w:r>
      <w:r w:rsidR="0087470E" w:rsidRPr="00F6590B">
        <w:rPr>
          <w:rFonts w:cs="Times New Roman"/>
          <w:szCs w:val="24"/>
          <w:lang w:val="hr-HR"/>
        </w:rPr>
        <w:t>nezatvorenim</w:t>
      </w:r>
      <w:r w:rsidR="00B92CD6" w:rsidRPr="00F6590B">
        <w:rPr>
          <w:rFonts w:cs="Times New Roman"/>
          <w:szCs w:val="24"/>
          <w:lang w:val="hr-HR"/>
        </w:rPr>
        <w:t xml:space="preserve"> stečajnim postupcima </w:t>
      </w:r>
      <w:r w:rsidR="00A44678" w:rsidRPr="00F6590B">
        <w:rPr>
          <w:rFonts w:cs="Times New Roman"/>
          <w:szCs w:val="24"/>
          <w:lang w:val="hr-HR"/>
        </w:rPr>
        <w:t>(odnosno stečajnim postupcima koji su u tijeku</w:t>
      </w:r>
      <w:r w:rsidR="00EB47EA" w:rsidRPr="00F6590B">
        <w:rPr>
          <w:rFonts w:cs="Times New Roman"/>
          <w:szCs w:val="24"/>
          <w:lang w:val="hr-HR"/>
        </w:rPr>
        <w:t xml:space="preserve"> u trenutku prikupljanja podataka</w:t>
      </w:r>
      <w:r w:rsidR="00A44678" w:rsidRPr="00F6590B">
        <w:rPr>
          <w:rFonts w:cs="Times New Roman"/>
          <w:szCs w:val="24"/>
          <w:lang w:val="hr-HR"/>
        </w:rPr>
        <w:t xml:space="preserve">) </w:t>
      </w:r>
      <w:r w:rsidR="00B92CD6" w:rsidRPr="00F6590B">
        <w:rPr>
          <w:rFonts w:cs="Times New Roman"/>
          <w:szCs w:val="24"/>
          <w:lang w:val="hr-HR"/>
        </w:rPr>
        <w:t xml:space="preserve">koju je </w:t>
      </w:r>
      <w:r w:rsidR="00D26260" w:rsidRPr="00F6590B">
        <w:rPr>
          <w:rFonts w:cs="Times New Roman"/>
          <w:szCs w:val="24"/>
          <w:lang w:val="hr-HR"/>
        </w:rPr>
        <w:t xml:space="preserve">jedna politička </w:t>
      </w:r>
      <w:r w:rsidR="00B92CD6" w:rsidRPr="00F6590B">
        <w:rPr>
          <w:rFonts w:cs="Times New Roman"/>
          <w:szCs w:val="24"/>
          <w:lang w:val="hr-HR"/>
        </w:rPr>
        <w:t>stranka objavila na svojim službenim Internet stranicama</w:t>
      </w:r>
      <w:r w:rsidR="003653B8" w:rsidRPr="00F6590B">
        <w:rPr>
          <w:rStyle w:val="FootnoteReference"/>
          <w:rFonts w:cs="Times New Roman"/>
          <w:szCs w:val="24"/>
          <w:lang w:val="hr-HR"/>
        </w:rPr>
        <w:footnoteReference w:id="6"/>
      </w:r>
      <w:r w:rsidR="00B92CD6" w:rsidRPr="00F6590B">
        <w:rPr>
          <w:rFonts w:cs="Times New Roman"/>
          <w:szCs w:val="24"/>
          <w:lang w:val="hr-HR"/>
        </w:rPr>
        <w:t xml:space="preserve"> u travnju 2012., u sklopu političkog procesa kojim su putem Hrvatskog sabora nastojali inicirati izmjene Stečajnog zakona. U ovoj bazi prikupili su sa svih trgovačkih sudova u Hrvatskoj podatke o stečajnim postupcima</w:t>
      </w:r>
      <w:r w:rsidR="0087470E" w:rsidRPr="00F6590B">
        <w:rPr>
          <w:rFonts w:cs="Times New Roman"/>
          <w:szCs w:val="24"/>
          <w:lang w:val="hr-HR"/>
        </w:rPr>
        <w:t xml:space="preserve"> koji su u tijeku u travnju 2012</w:t>
      </w:r>
      <w:r w:rsidR="00B92CD6" w:rsidRPr="00F6590B">
        <w:rPr>
          <w:rFonts w:cs="Times New Roman"/>
          <w:szCs w:val="24"/>
          <w:lang w:val="hr-HR"/>
        </w:rPr>
        <w:t xml:space="preserve">. </w:t>
      </w:r>
      <w:r w:rsidR="00A44678" w:rsidRPr="00F6590B">
        <w:rPr>
          <w:rFonts w:cs="Times New Roman"/>
          <w:szCs w:val="24"/>
          <w:lang w:val="hr-HR"/>
        </w:rPr>
        <w:t xml:space="preserve">godine. </w:t>
      </w:r>
      <w:r w:rsidR="00B92CD6" w:rsidRPr="00F6590B">
        <w:rPr>
          <w:rFonts w:cs="Times New Roman"/>
          <w:szCs w:val="24"/>
          <w:lang w:val="hr-HR"/>
        </w:rPr>
        <w:t xml:space="preserve">S jedne strane, </w:t>
      </w:r>
      <w:r w:rsidRPr="00F6590B">
        <w:rPr>
          <w:rFonts w:cs="Times New Roman"/>
          <w:szCs w:val="24"/>
          <w:lang w:val="hr-HR"/>
        </w:rPr>
        <w:t>BP1</w:t>
      </w:r>
      <w:r w:rsidR="00B92CD6" w:rsidRPr="00F6590B">
        <w:rPr>
          <w:rFonts w:cs="Times New Roman"/>
          <w:szCs w:val="24"/>
          <w:lang w:val="hr-HR"/>
        </w:rPr>
        <w:t xml:space="preserve"> je puna vrijednih informacija (datumi otvaranja postupaka, imena sudac</w:t>
      </w:r>
      <w:r w:rsidR="00611307">
        <w:rPr>
          <w:rFonts w:cs="Times New Roman"/>
          <w:szCs w:val="24"/>
          <w:lang w:val="hr-HR"/>
        </w:rPr>
        <w:t>a i stečajnih upravitelja koji v</w:t>
      </w:r>
      <w:r w:rsidR="00B92CD6" w:rsidRPr="00F6590B">
        <w:rPr>
          <w:rFonts w:cs="Times New Roman"/>
          <w:szCs w:val="24"/>
          <w:lang w:val="hr-HR"/>
        </w:rPr>
        <w:t>ode pojedine postupke, iznosi namirenih potraživanja i neunovčene imovine, broj radnika pri otvaranju stečaja, itd.)</w:t>
      </w:r>
      <w:r w:rsidR="0087470E" w:rsidRPr="00F6590B">
        <w:rPr>
          <w:rStyle w:val="FootnoteReference"/>
          <w:rFonts w:cs="Times New Roman"/>
          <w:szCs w:val="24"/>
          <w:lang w:val="hr-HR"/>
        </w:rPr>
        <w:footnoteReference w:id="7"/>
      </w:r>
      <w:r w:rsidR="00B92CD6" w:rsidRPr="00F6590B">
        <w:rPr>
          <w:rFonts w:cs="Times New Roman"/>
          <w:szCs w:val="24"/>
          <w:lang w:val="hr-HR"/>
        </w:rPr>
        <w:t xml:space="preserve">, no s druge nije konzistentna, jer su za brojne stečajeve podaci manjkavi ili nepotpuni: pritom prednjači </w:t>
      </w:r>
      <w:r w:rsidR="00B92CD6" w:rsidRPr="00F6590B">
        <w:rPr>
          <w:rFonts w:cs="Times New Roman"/>
          <w:szCs w:val="24"/>
          <w:lang w:val="hr-HR"/>
        </w:rPr>
        <w:lastRenderedPageBreak/>
        <w:t xml:space="preserve">Trgovački sud u Rijeci koji </w:t>
      </w:r>
      <w:r w:rsidR="00EB47EA" w:rsidRPr="00F6590B">
        <w:rPr>
          <w:rFonts w:cs="Times New Roman"/>
          <w:szCs w:val="24"/>
          <w:lang w:val="hr-HR"/>
        </w:rPr>
        <w:t xml:space="preserve">je </w:t>
      </w:r>
      <w:r w:rsidR="00B92CD6" w:rsidRPr="00F6590B">
        <w:rPr>
          <w:rFonts w:cs="Times New Roman"/>
          <w:szCs w:val="24"/>
          <w:lang w:val="hr-HR"/>
        </w:rPr>
        <w:t xml:space="preserve">iznio </w:t>
      </w:r>
      <w:r w:rsidR="00EB47EA" w:rsidRPr="00F6590B">
        <w:rPr>
          <w:rFonts w:cs="Times New Roman"/>
          <w:szCs w:val="24"/>
          <w:lang w:val="hr-HR"/>
        </w:rPr>
        <w:t xml:space="preserve">samo opće, ali ne i </w:t>
      </w:r>
      <w:r w:rsidR="00A44678" w:rsidRPr="00F6590B">
        <w:rPr>
          <w:rFonts w:cs="Times New Roman"/>
          <w:szCs w:val="24"/>
          <w:lang w:val="hr-HR"/>
        </w:rPr>
        <w:t>detaljnije</w:t>
      </w:r>
      <w:r w:rsidR="00B92CD6" w:rsidRPr="00F6590B">
        <w:rPr>
          <w:rFonts w:cs="Times New Roman"/>
          <w:szCs w:val="24"/>
          <w:lang w:val="hr-HR"/>
        </w:rPr>
        <w:t xml:space="preserve"> podatke za 466 predmeta. Stoga su za analizu ove baze podataka </w:t>
      </w:r>
      <w:r w:rsidR="00E92B9F" w:rsidRPr="00F6590B">
        <w:rPr>
          <w:rFonts w:cs="Times New Roman"/>
          <w:szCs w:val="24"/>
          <w:lang w:val="hr-HR"/>
        </w:rPr>
        <w:t xml:space="preserve">mogli biti </w:t>
      </w:r>
      <w:r w:rsidR="00B92CD6" w:rsidRPr="00F6590B">
        <w:rPr>
          <w:rFonts w:cs="Times New Roman"/>
          <w:szCs w:val="24"/>
          <w:lang w:val="hr-HR"/>
        </w:rPr>
        <w:t xml:space="preserve">upotrijebljeni </w:t>
      </w:r>
      <w:r w:rsidR="00E92B9F" w:rsidRPr="00F6590B">
        <w:rPr>
          <w:rFonts w:cs="Times New Roman"/>
          <w:szCs w:val="24"/>
          <w:lang w:val="hr-HR"/>
        </w:rPr>
        <w:t xml:space="preserve">samo </w:t>
      </w:r>
      <w:r w:rsidR="00B92CD6" w:rsidRPr="00F6590B">
        <w:rPr>
          <w:rFonts w:cs="Times New Roman"/>
          <w:szCs w:val="24"/>
          <w:lang w:val="hr-HR"/>
        </w:rPr>
        <w:t xml:space="preserve">osnovni </w:t>
      </w:r>
      <w:r w:rsidR="00E92B9F" w:rsidRPr="00F6590B">
        <w:rPr>
          <w:rFonts w:cs="Times New Roman"/>
          <w:szCs w:val="24"/>
          <w:lang w:val="hr-HR"/>
        </w:rPr>
        <w:t>statistički</w:t>
      </w:r>
      <w:r w:rsidR="008B7328" w:rsidRPr="00F6590B">
        <w:rPr>
          <w:rFonts w:cs="Times New Roman"/>
          <w:szCs w:val="24"/>
          <w:lang w:val="hr-HR"/>
        </w:rPr>
        <w:t xml:space="preserve"> alati: deskriptivni pokazatelji</w:t>
      </w:r>
      <w:r w:rsidR="00B92CD6" w:rsidRPr="00F6590B">
        <w:rPr>
          <w:rFonts w:cs="Times New Roman"/>
          <w:szCs w:val="24"/>
          <w:lang w:val="hr-HR"/>
        </w:rPr>
        <w:t xml:space="preserve"> i analiza varijance. </w:t>
      </w:r>
    </w:p>
    <w:p w14:paraId="7B605880" w14:textId="43F5E231" w:rsidR="00AE45B9" w:rsidRPr="00F6590B" w:rsidRDefault="00A415CC" w:rsidP="00483743">
      <w:pPr>
        <w:spacing w:line="480" w:lineRule="auto"/>
        <w:rPr>
          <w:rFonts w:cs="Times New Roman"/>
          <w:szCs w:val="24"/>
          <w:lang w:val="hr-HR"/>
        </w:rPr>
      </w:pPr>
      <w:r w:rsidRPr="00F6590B">
        <w:rPr>
          <w:rFonts w:cs="Times New Roman"/>
          <w:szCs w:val="24"/>
          <w:lang w:val="hr-HR"/>
        </w:rPr>
        <w:t xml:space="preserve">BP2 </w:t>
      </w:r>
      <w:r w:rsidR="00B92CD6" w:rsidRPr="00F6590B">
        <w:rPr>
          <w:rFonts w:cs="Times New Roman"/>
          <w:szCs w:val="24"/>
          <w:lang w:val="hr-HR"/>
        </w:rPr>
        <w:t xml:space="preserve">je baza podataka dobivena </w:t>
      </w:r>
      <w:r w:rsidR="001B5CB6" w:rsidRPr="00F6590B">
        <w:rPr>
          <w:rFonts w:cs="Times New Roman"/>
          <w:szCs w:val="24"/>
          <w:lang w:val="hr-HR"/>
        </w:rPr>
        <w:t>od Visokog trgovačkog suda</w:t>
      </w:r>
      <w:r w:rsidR="00B92CD6" w:rsidRPr="00F6590B">
        <w:rPr>
          <w:rFonts w:cs="Times New Roman"/>
          <w:szCs w:val="24"/>
          <w:lang w:val="hr-HR"/>
        </w:rPr>
        <w:t xml:space="preserve"> Republike Hrvatske</w:t>
      </w:r>
      <w:r w:rsidR="001B5CB6" w:rsidRPr="00F6590B">
        <w:rPr>
          <w:rFonts w:cs="Times New Roman"/>
          <w:szCs w:val="24"/>
          <w:lang w:val="hr-HR"/>
        </w:rPr>
        <w:t xml:space="preserve"> (podaci nisu javno objavljeni, ali su dostupni na upit)</w:t>
      </w:r>
      <w:r w:rsidR="00B92CD6" w:rsidRPr="00F6590B">
        <w:rPr>
          <w:rFonts w:cs="Times New Roman"/>
          <w:szCs w:val="24"/>
          <w:lang w:val="hr-HR"/>
        </w:rPr>
        <w:t xml:space="preserve">, koja sadrži </w:t>
      </w:r>
      <w:r w:rsidR="00EB47EA" w:rsidRPr="00F6590B">
        <w:rPr>
          <w:rFonts w:cs="Times New Roman"/>
          <w:szCs w:val="24"/>
          <w:lang w:val="hr-HR"/>
        </w:rPr>
        <w:t xml:space="preserve">podatke </w:t>
      </w:r>
      <w:r w:rsidR="00B92CD6" w:rsidRPr="00F6590B">
        <w:rPr>
          <w:rFonts w:cs="Times New Roman"/>
          <w:szCs w:val="24"/>
          <w:lang w:val="hr-HR"/>
        </w:rPr>
        <w:t xml:space="preserve">o ukupnom broju sudaca, priljevu novih stečajnih predmeta, rješavanju stečajnih postupaka, i </w:t>
      </w:r>
      <w:r w:rsidR="00EB47EA" w:rsidRPr="00F6590B">
        <w:rPr>
          <w:rFonts w:cs="Times New Roman"/>
          <w:szCs w:val="24"/>
          <w:lang w:val="hr-HR"/>
        </w:rPr>
        <w:t>broju neriješenih</w:t>
      </w:r>
      <w:r w:rsidR="00B92CD6" w:rsidRPr="00F6590B">
        <w:rPr>
          <w:rFonts w:cs="Times New Roman"/>
          <w:szCs w:val="24"/>
          <w:lang w:val="hr-HR"/>
        </w:rPr>
        <w:t xml:space="preserve"> stečajev</w:t>
      </w:r>
      <w:r w:rsidR="00EB47EA" w:rsidRPr="00F6590B">
        <w:rPr>
          <w:rFonts w:cs="Times New Roman"/>
          <w:szCs w:val="24"/>
          <w:lang w:val="hr-HR"/>
        </w:rPr>
        <w:t>a</w:t>
      </w:r>
      <w:r w:rsidR="00B92CD6" w:rsidRPr="00F6590B">
        <w:rPr>
          <w:rFonts w:cs="Times New Roman"/>
          <w:szCs w:val="24"/>
          <w:lang w:val="hr-HR"/>
        </w:rPr>
        <w:t>, za razdoblje od devet godina (</w:t>
      </w:r>
      <w:r w:rsidR="00B92CD6" w:rsidRPr="00F6590B">
        <w:rPr>
          <w:szCs w:val="24"/>
          <w:lang w:val="hr-HR"/>
        </w:rPr>
        <w:t>2004 – 2012</w:t>
      </w:r>
      <w:r w:rsidR="00B92CD6" w:rsidRPr="00F6590B">
        <w:rPr>
          <w:rFonts w:cs="Times New Roman"/>
          <w:szCs w:val="24"/>
          <w:lang w:val="hr-HR"/>
        </w:rPr>
        <w:t>), sa odvojenom i zasebnom specifikacijom navedenih statistik</w:t>
      </w:r>
      <w:r w:rsidR="00EB47EA" w:rsidRPr="00F6590B">
        <w:rPr>
          <w:rFonts w:cs="Times New Roman"/>
          <w:szCs w:val="24"/>
          <w:lang w:val="hr-HR"/>
        </w:rPr>
        <w:t>a</w:t>
      </w:r>
      <w:r w:rsidR="00B92CD6" w:rsidRPr="00F6590B">
        <w:rPr>
          <w:rFonts w:cs="Times New Roman"/>
          <w:szCs w:val="24"/>
          <w:lang w:val="hr-HR"/>
        </w:rPr>
        <w:t xml:space="preserve"> </w:t>
      </w:r>
      <w:r w:rsidR="00590ABB" w:rsidRPr="00F6590B">
        <w:rPr>
          <w:rFonts w:cs="Times New Roman"/>
          <w:szCs w:val="24"/>
          <w:lang w:val="hr-HR"/>
        </w:rPr>
        <w:t>po pojedinim trgovačkim</w:t>
      </w:r>
      <w:r w:rsidR="001B5CB6" w:rsidRPr="00F6590B">
        <w:rPr>
          <w:rFonts w:cs="Times New Roman"/>
          <w:szCs w:val="24"/>
          <w:lang w:val="hr-HR"/>
        </w:rPr>
        <w:t xml:space="preserve"> sudov</w:t>
      </w:r>
      <w:r w:rsidR="00590ABB" w:rsidRPr="00F6590B">
        <w:rPr>
          <w:rFonts w:cs="Times New Roman"/>
          <w:szCs w:val="24"/>
          <w:lang w:val="hr-HR"/>
        </w:rPr>
        <w:t>ima. Pri tome je obuhvaćeno svih sedam trgovačkih sudova u Republici Hrvatskoj</w:t>
      </w:r>
      <w:r w:rsidR="001B5CB6" w:rsidRPr="00F6590B">
        <w:rPr>
          <w:rFonts w:cs="Times New Roman"/>
          <w:szCs w:val="24"/>
          <w:lang w:val="hr-HR"/>
        </w:rPr>
        <w:t xml:space="preserve">, čime je pokrivena </w:t>
      </w:r>
      <w:r w:rsidR="00B92CD6" w:rsidRPr="00F6590B">
        <w:rPr>
          <w:rFonts w:cs="Times New Roman"/>
          <w:szCs w:val="24"/>
          <w:lang w:val="hr-HR"/>
        </w:rPr>
        <w:t>cjelokupna populacija</w:t>
      </w:r>
      <w:r w:rsidR="00650C99" w:rsidRPr="00F6590B">
        <w:rPr>
          <w:rFonts w:cs="Times New Roman"/>
          <w:szCs w:val="24"/>
          <w:lang w:val="hr-HR"/>
        </w:rPr>
        <w:t xml:space="preserve">, </w:t>
      </w:r>
      <w:r w:rsidR="001B5CB6" w:rsidRPr="00F6590B">
        <w:rPr>
          <w:rFonts w:cs="Times New Roman"/>
          <w:szCs w:val="24"/>
          <w:lang w:val="hr-HR"/>
        </w:rPr>
        <w:t xml:space="preserve">što </w:t>
      </w:r>
      <w:r w:rsidR="003973AF" w:rsidRPr="00F6590B">
        <w:rPr>
          <w:rFonts w:cs="Times New Roman"/>
          <w:szCs w:val="24"/>
          <w:lang w:val="hr-HR"/>
        </w:rPr>
        <w:t>otklanja</w:t>
      </w:r>
      <w:r w:rsidR="001B5CB6" w:rsidRPr="00F6590B">
        <w:rPr>
          <w:rFonts w:cs="Times New Roman"/>
          <w:szCs w:val="24"/>
          <w:lang w:val="hr-HR"/>
        </w:rPr>
        <w:t xml:space="preserve"> </w:t>
      </w:r>
      <w:r w:rsidR="00AE45B9" w:rsidRPr="00F6590B">
        <w:rPr>
          <w:rFonts w:cs="Times New Roman"/>
          <w:szCs w:val="24"/>
          <w:lang w:val="hr-HR"/>
        </w:rPr>
        <w:t>brojne potencijalne statističke probleme</w:t>
      </w:r>
      <w:r w:rsidR="00B92CD6" w:rsidRPr="00F6590B">
        <w:rPr>
          <w:rFonts w:cs="Times New Roman"/>
          <w:szCs w:val="24"/>
          <w:lang w:val="hr-HR"/>
        </w:rPr>
        <w:t>.</w:t>
      </w:r>
    </w:p>
    <w:p w14:paraId="0B43F6CB" w14:textId="070C19AE" w:rsidR="00B92CD6" w:rsidRPr="00F6590B" w:rsidRDefault="00050699" w:rsidP="00483743">
      <w:pPr>
        <w:spacing w:line="480" w:lineRule="auto"/>
        <w:rPr>
          <w:rFonts w:cs="Times New Roman"/>
          <w:szCs w:val="24"/>
          <w:lang w:val="hr-HR"/>
        </w:rPr>
      </w:pPr>
      <w:r w:rsidRPr="00F6590B">
        <w:rPr>
          <w:rFonts w:cs="Times New Roman"/>
          <w:szCs w:val="24"/>
          <w:lang w:val="hr-HR"/>
        </w:rPr>
        <w:t>Dakle, Visoki trgovački sud dostavio je četiri grupe podataka</w:t>
      </w:r>
      <w:r w:rsidR="008F402F" w:rsidRPr="00F6590B">
        <w:rPr>
          <w:rFonts w:cs="Times New Roman"/>
          <w:szCs w:val="24"/>
          <w:lang w:val="hr-HR"/>
        </w:rPr>
        <w:t>:</w:t>
      </w:r>
      <w:r w:rsidRPr="00F6590B">
        <w:rPr>
          <w:rFonts w:cs="Times New Roman"/>
          <w:szCs w:val="24"/>
          <w:lang w:val="hr-HR"/>
        </w:rPr>
        <w:t xml:space="preserve"> </w:t>
      </w:r>
    </w:p>
    <w:p w14:paraId="495F8670" w14:textId="7641CFFF" w:rsidR="00B92CD6" w:rsidRPr="00F6590B" w:rsidRDefault="003C08B4" w:rsidP="00483743">
      <w:pPr>
        <w:pStyle w:val="ListParagraph"/>
        <w:numPr>
          <w:ilvl w:val="0"/>
          <w:numId w:val="5"/>
        </w:numPr>
        <w:spacing w:line="480" w:lineRule="auto"/>
        <w:rPr>
          <w:rFonts w:cs="Times New Roman"/>
          <w:szCs w:val="24"/>
          <w:lang w:val="hr-HR"/>
        </w:rPr>
      </w:pPr>
      <w:r w:rsidRPr="00F6590B">
        <w:rPr>
          <w:rFonts w:cs="Times New Roman"/>
          <w:szCs w:val="24"/>
          <w:lang w:val="hr-HR"/>
        </w:rPr>
        <w:t>priljev novih stečajnih predmeta</w:t>
      </w:r>
      <w:r w:rsidR="00B92CD6" w:rsidRPr="00F6590B">
        <w:rPr>
          <w:rFonts w:cs="Times New Roman"/>
          <w:szCs w:val="24"/>
          <w:lang w:val="hr-HR"/>
        </w:rPr>
        <w:t xml:space="preserve">, odnosno suma svih stečajnih postupaka otvorenih u godini </w:t>
      </w:r>
      <w:r w:rsidR="00B92CD6" w:rsidRPr="00F6590B">
        <w:rPr>
          <w:i/>
          <w:szCs w:val="24"/>
          <w:lang w:val="hr-HR"/>
        </w:rPr>
        <w:t>t</w:t>
      </w:r>
      <w:r w:rsidR="00E92B9F" w:rsidRPr="00F6590B">
        <w:rPr>
          <w:szCs w:val="24"/>
          <w:lang w:val="hr-HR"/>
        </w:rPr>
        <w:t>, razvrstano prema sudovima</w:t>
      </w:r>
      <w:r w:rsidR="00B92CD6" w:rsidRPr="00F6590B">
        <w:rPr>
          <w:szCs w:val="24"/>
          <w:lang w:val="hr-HR"/>
        </w:rPr>
        <w:t>;</w:t>
      </w:r>
    </w:p>
    <w:p w14:paraId="70B55578" w14:textId="21A5F6A7" w:rsidR="00B92CD6" w:rsidRPr="00F6590B" w:rsidRDefault="00B92CD6" w:rsidP="00483743">
      <w:pPr>
        <w:pStyle w:val="ListParagraph"/>
        <w:numPr>
          <w:ilvl w:val="0"/>
          <w:numId w:val="5"/>
        </w:numPr>
        <w:spacing w:line="480" w:lineRule="auto"/>
        <w:rPr>
          <w:szCs w:val="24"/>
          <w:lang w:val="hr-HR"/>
        </w:rPr>
      </w:pPr>
      <w:r w:rsidRPr="00F6590B">
        <w:rPr>
          <w:szCs w:val="24"/>
          <w:lang w:val="hr-HR"/>
        </w:rPr>
        <w:t xml:space="preserve">broj stečajnih postupaka otvorenih u godini </w:t>
      </w:r>
      <w:r w:rsidRPr="00F6590B">
        <w:rPr>
          <w:i/>
          <w:szCs w:val="24"/>
          <w:lang w:val="hr-HR"/>
        </w:rPr>
        <w:t>t</w:t>
      </w:r>
      <w:r w:rsidRPr="00F6590B">
        <w:rPr>
          <w:szCs w:val="24"/>
          <w:lang w:val="hr-HR"/>
        </w:rPr>
        <w:t xml:space="preserve"> i prethodno, koji su na kraju godine </w:t>
      </w:r>
      <w:r w:rsidRPr="00F6590B">
        <w:rPr>
          <w:i/>
          <w:szCs w:val="24"/>
          <w:lang w:val="hr-HR"/>
        </w:rPr>
        <w:t>t</w:t>
      </w:r>
      <w:r w:rsidRPr="00F6590B">
        <w:rPr>
          <w:szCs w:val="24"/>
          <w:lang w:val="hr-HR"/>
        </w:rPr>
        <w:t xml:space="preserve"> još uvijek otvoreni, odnosno </w:t>
      </w:r>
      <w:r w:rsidR="00590ABB" w:rsidRPr="00F6590B">
        <w:rPr>
          <w:szCs w:val="24"/>
          <w:lang w:val="hr-HR"/>
        </w:rPr>
        <w:t>nezatvoreni</w:t>
      </w:r>
      <w:r w:rsidR="003C08B4" w:rsidRPr="00F6590B">
        <w:rPr>
          <w:szCs w:val="24"/>
          <w:lang w:val="hr-HR"/>
        </w:rPr>
        <w:t xml:space="preserve"> (</w:t>
      </w:r>
      <w:r w:rsidR="00E92B9F" w:rsidRPr="00F6590B">
        <w:rPr>
          <w:szCs w:val="24"/>
          <w:lang w:val="hr-HR"/>
        </w:rPr>
        <w:t>razvrstano prema sudovima</w:t>
      </w:r>
      <w:r w:rsidR="003C08B4" w:rsidRPr="00F6590B">
        <w:rPr>
          <w:szCs w:val="24"/>
          <w:lang w:val="hr-HR"/>
        </w:rPr>
        <w:t>)</w:t>
      </w:r>
      <w:r w:rsidRPr="00F6590B">
        <w:rPr>
          <w:szCs w:val="24"/>
          <w:lang w:val="hr-HR"/>
        </w:rPr>
        <w:t xml:space="preserve">. </w:t>
      </w:r>
      <w:r w:rsidR="003C08B4" w:rsidRPr="00F6590B">
        <w:rPr>
          <w:szCs w:val="24"/>
          <w:lang w:val="hr-HR"/>
        </w:rPr>
        <w:t>N</w:t>
      </w:r>
      <w:r w:rsidRPr="00F6590B">
        <w:rPr>
          <w:szCs w:val="24"/>
          <w:lang w:val="hr-HR"/>
        </w:rPr>
        <w:t xml:space="preserve">eki od ovih postupaka otvoreni su u godini </w:t>
      </w:r>
      <w:r w:rsidRPr="00F6590B">
        <w:rPr>
          <w:i/>
          <w:szCs w:val="24"/>
          <w:lang w:val="hr-HR"/>
        </w:rPr>
        <w:t>t</w:t>
      </w:r>
      <w:r w:rsidRPr="00F6590B">
        <w:rPr>
          <w:szCs w:val="24"/>
          <w:lang w:val="hr-HR"/>
        </w:rPr>
        <w:t xml:space="preserve"> što se može smatrati prihvatljivom neefikasnošću (brojne postupke zbog kompleksnosti praktično je nemoguće zatvoriti za manje od godinu dana), a neki od njih otvoreni su 2, 3 i </w:t>
      </w:r>
      <w:r w:rsidR="00E92B9F" w:rsidRPr="00F6590B">
        <w:rPr>
          <w:szCs w:val="24"/>
          <w:lang w:val="hr-HR"/>
        </w:rPr>
        <w:t>do 16</w:t>
      </w:r>
      <w:r w:rsidRPr="00F6590B">
        <w:rPr>
          <w:szCs w:val="24"/>
          <w:lang w:val="hr-HR"/>
        </w:rPr>
        <w:t xml:space="preserve"> godina ranije; </w:t>
      </w:r>
    </w:p>
    <w:p w14:paraId="779CD42D" w14:textId="74227344" w:rsidR="00B92CD6" w:rsidRPr="00F6590B" w:rsidRDefault="00B92CD6" w:rsidP="00483743">
      <w:pPr>
        <w:pStyle w:val="ListParagraph"/>
        <w:numPr>
          <w:ilvl w:val="0"/>
          <w:numId w:val="5"/>
        </w:numPr>
        <w:spacing w:line="480" w:lineRule="auto"/>
        <w:rPr>
          <w:szCs w:val="24"/>
          <w:lang w:val="hr-HR"/>
        </w:rPr>
      </w:pPr>
      <w:r w:rsidRPr="00F6590B">
        <w:rPr>
          <w:szCs w:val="24"/>
          <w:lang w:val="hr-HR"/>
        </w:rPr>
        <w:t xml:space="preserve">stečajevi koji su zatvoreni u godini </w:t>
      </w:r>
      <w:r w:rsidRPr="00F6590B">
        <w:rPr>
          <w:i/>
          <w:szCs w:val="24"/>
          <w:lang w:val="hr-HR"/>
        </w:rPr>
        <w:t>t</w:t>
      </w:r>
      <w:r w:rsidR="003C08B4" w:rsidRPr="00F6590B">
        <w:rPr>
          <w:szCs w:val="24"/>
          <w:lang w:val="hr-HR"/>
        </w:rPr>
        <w:t>, također razvrstano prema sudovima</w:t>
      </w:r>
      <w:r w:rsidRPr="00F6590B">
        <w:rPr>
          <w:szCs w:val="24"/>
          <w:lang w:val="hr-HR"/>
        </w:rPr>
        <w:t xml:space="preserve">; neki od njih otvoreni su u godini </w:t>
      </w:r>
      <w:r w:rsidRPr="00F6590B">
        <w:rPr>
          <w:i/>
          <w:szCs w:val="24"/>
          <w:lang w:val="hr-HR"/>
        </w:rPr>
        <w:t>t</w:t>
      </w:r>
      <w:r w:rsidRPr="00F6590B">
        <w:rPr>
          <w:szCs w:val="24"/>
          <w:lang w:val="hr-HR"/>
        </w:rPr>
        <w:t xml:space="preserve">, a neki od njih otvoreni su ranije; </w:t>
      </w:r>
    </w:p>
    <w:p w14:paraId="5684BEA7" w14:textId="3B8EF027" w:rsidR="00B92CD6" w:rsidRPr="00F6590B" w:rsidRDefault="00B92CD6" w:rsidP="00483743">
      <w:pPr>
        <w:pStyle w:val="ListParagraph"/>
        <w:numPr>
          <w:ilvl w:val="0"/>
          <w:numId w:val="5"/>
        </w:numPr>
        <w:spacing w:line="480" w:lineRule="auto"/>
        <w:rPr>
          <w:szCs w:val="24"/>
          <w:lang w:val="hr-HR"/>
        </w:rPr>
      </w:pPr>
      <w:r w:rsidRPr="00F6590B">
        <w:rPr>
          <w:szCs w:val="24"/>
          <w:lang w:val="hr-HR"/>
        </w:rPr>
        <w:t xml:space="preserve">ukupan broj sudaca na </w:t>
      </w:r>
      <w:r w:rsidR="00E92B9F" w:rsidRPr="00F6590B">
        <w:rPr>
          <w:szCs w:val="24"/>
          <w:lang w:val="hr-HR"/>
        </w:rPr>
        <w:t xml:space="preserve">pojedinom </w:t>
      </w:r>
      <w:r w:rsidRPr="00F6590B">
        <w:rPr>
          <w:szCs w:val="24"/>
          <w:lang w:val="hr-HR"/>
        </w:rPr>
        <w:t>trgovačkom sudu</w:t>
      </w:r>
      <w:r w:rsidR="009160D3" w:rsidRPr="00F6590B">
        <w:rPr>
          <w:szCs w:val="24"/>
          <w:lang w:val="hr-HR"/>
        </w:rPr>
        <w:t>, u svakoj pojedinoj godini</w:t>
      </w:r>
      <w:r w:rsidR="00590ABB" w:rsidRPr="00F6590B">
        <w:rPr>
          <w:szCs w:val="24"/>
          <w:lang w:val="hr-HR"/>
        </w:rPr>
        <w:t>, i to</w:t>
      </w:r>
      <w:r w:rsidRPr="00F6590B">
        <w:rPr>
          <w:szCs w:val="24"/>
          <w:lang w:val="hr-HR"/>
        </w:rPr>
        <w:t xml:space="preserve"> ne samo sudaca koji se bave stečajevima, nego svih sudaca. Ova varijabla ima ulogu (</w:t>
      </w:r>
      <w:proofErr w:type="spellStart"/>
      <w:r w:rsidRPr="00F6590B">
        <w:rPr>
          <w:i/>
          <w:szCs w:val="24"/>
          <w:lang w:val="hr-HR"/>
        </w:rPr>
        <w:t>proxy</w:t>
      </w:r>
      <w:proofErr w:type="spellEnd"/>
      <w:r w:rsidRPr="00F6590B">
        <w:rPr>
          <w:szCs w:val="24"/>
          <w:lang w:val="hr-HR"/>
        </w:rPr>
        <w:t>) opisati veličinu suda</w:t>
      </w:r>
      <w:r w:rsidR="00E92B9F" w:rsidRPr="00F6590B">
        <w:rPr>
          <w:szCs w:val="24"/>
          <w:lang w:val="hr-HR"/>
        </w:rPr>
        <w:t xml:space="preserve">, odnosno osigurati usporedivost uslijed različitog ranga </w:t>
      </w:r>
      <w:r w:rsidR="00E92B9F" w:rsidRPr="00F6590B">
        <w:rPr>
          <w:szCs w:val="24"/>
          <w:lang w:val="hr-HR"/>
        </w:rPr>
        <w:lastRenderedPageBreak/>
        <w:t>veličina (npr. sud u Zagrebu ima u prosjeku osam puta veći priljev predmeta od suda u Bjelovaru</w:t>
      </w:r>
      <w:r w:rsidR="003C08B4" w:rsidRPr="00F6590B">
        <w:rPr>
          <w:szCs w:val="24"/>
          <w:lang w:val="hr-HR"/>
        </w:rPr>
        <w:t xml:space="preserve">, ali </w:t>
      </w:r>
      <w:r w:rsidR="00590ABB" w:rsidRPr="00F6590B">
        <w:rPr>
          <w:szCs w:val="24"/>
          <w:lang w:val="hr-HR"/>
        </w:rPr>
        <w:t xml:space="preserve">u prosjeku </w:t>
      </w:r>
      <w:r w:rsidR="003C08B4" w:rsidRPr="00F6590B">
        <w:rPr>
          <w:szCs w:val="24"/>
          <w:lang w:val="hr-HR"/>
        </w:rPr>
        <w:t>ima i 10 puta više sudaca</w:t>
      </w:r>
      <w:r w:rsidR="00E92B9F" w:rsidRPr="00F6590B">
        <w:rPr>
          <w:szCs w:val="24"/>
          <w:lang w:val="hr-HR"/>
        </w:rPr>
        <w:t>)</w:t>
      </w:r>
      <w:r w:rsidRPr="00F6590B">
        <w:rPr>
          <w:szCs w:val="24"/>
          <w:lang w:val="hr-HR"/>
        </w:rPr>
        <w:t>.</w:t>
      </w:r>
    </w:p>
    <w:p w14:paraId="57620E21" w14:textId="01A40A1A" w:rsidR="00C524D6" w:rsidRPr="00F6590B" w:rsidRDefault="00A415CC" w:rsidP="00483743">
      <w:pPr>
        <w:spacing w:line="480" w:lineRule="auto"/>
        <w:rPr>
          <w:szCs w:val="24"/>
          <w:lang w:val="hr-HR"/>
        </w:rPr>
      </w:pPr>
      <w:r w:rsidRPr="00F6590B">
        <w:rPr>
          <w:szCs w:val="24"/>
          <w:lang w:val="hr-HR"/>
        </w:rPr>
        <w:t xml:space="preserve">I za BP1 i za BP2 </w:t>
      </w:r>
      <w:r w:rsidR="00C524D6" w:rsidRPr="00F6590B">
        <w:rPr>
          <w:szCs w:val="24"/>
          <w:lang w:val="hr-HR"/>
        </w:rPr>
        <w:t xml:space="preserve">važno je istaknuti kako </w:t>
      </w:r>
      <w:r w:rsidR="00C71DB2" w:rsidRPr="00F6590B">
        <w:rPr>
          <w:szCs w:val="24"/>
          <w:lang w:val="hr-HR"/>
        </w:rPr>
        <w:t>poslužuju</w:t>
      </w:r>
      <w:r w:rsidR="00C524D6" w:rsidRPr="00F6590B">
        <w:rPr>
          <w:szCs w:val="24"/>
          <w:lang w:val="hr-HR"/>
        </w:rPr>
        <w:t xml:space="preserve"> podatke zaključno s 2012. godinom, koja je za stečajni sustav u Republici Hrvatskoj važna zbog donošenja Zakona o financijskom poslovanju i predstečajnoj nagodbi (Narodne novine br. 108/2012)</w:t>
      </w:r>
      <w:r w:rsidR="009A3777" w:rsidRPr="00F6590B">
        <w:rPr>
          <w:szCs w:val="24"/>
          <w:lang w:val="hr-HR"/>
        </w:rPr>
        <w:t xml:space="preserve">. Ovaj je Zakon </w:t>
      </w:r>
      <w:r w:rsidR="00C524D6" w:rsidRPr="00F6590B">
        <w:rPr>
          <w:szCs w:val="24"/>
          <w:lang w:val="hr-HR"/>
        </w:rPr>
        <w:t>stubokom promijenio stečajni sustav</w:t>
      </w:r>
      <w:r w:rsidR="00AE45B9" w:rsidRPr="00F6590B">
        <w:rPr>
          <w:szCs w:val="24"/>
          <w:lang w:val="hr-HR"/>
        </w:rPr>
        <w:t xml:space="preserve"> </w:t>
      </w:r>
      <w:r w:rsidR="009A3777" w:rsidRPr="00F6590B">
        <w:rPr>
          <w:szCs w:val="24"/>
          <w:lang w:val="hr-HR"/>
        </w:rPr>
        <w:t xml:space="preserve">prvenstveno zbog preusmjeravanja problema </w:t>
      </w:r>
      <w:r w:rsidR="00E511B2" w:rsidRPr="00F6590B">
        <w:rPr>
          <w:szCs w:val="24"/>
          <w:lang w:val="hr-HR"/>
        </w:rPr>
        <w:t xml:space="preserve">velike i rastuće </w:t>
      </w:r>
      <w:r w:rsidR="009A3777" w:rsidRPr="00F6590B">
        <w:rPr>
          <w:szCs w:val="24"/>
          <w:lang w:val="hr-HR"/>
        </w:rPr>
        <w:t xml:space="preserve">insolventnosti pravnih osoba sa trgovačkih </w:t>
      </w:r>
      <w:r w:rsidR="00650C99" w:rsidRPr="00F6590B">
        <w:rPr>
          <w:szCs w:val="24"/>
          <w:lang w:val="hr-HR"/>
        </w:rPr>
        <w:t>sudova na Financijsku agenciju, što se može potkrijepiti sljedećim brojkama: n</w:t>
      </w:r>
      <w:r w:rsidR="003219ED" w:rsidRPr="00F6590B">
        <w:rPr>
          <w:szCs w:val="24"/>
          <w:lang w:val="hr-HR"/>
        </w:rPr>
        <w:t xml:space="preserve">a dan 25.07.2013. </w:t>
      </w:r>
      <w:r w:rsidR="003F47C4" w:rsidRPr="00F6590B">
        <w:rPr>
          <w:szCs w:val="24"/>
          <w:lang w:val="hr-HR"/>
        </w:rPr>
        <w:t xml:space="preserve">ukupan </w:t>
      </w:r>
      <w:r w:rsidR="003219ED" w:rsidRPr="00F6590B">
        <w:rPr>
          <w:szCs w:val="24"/>
          <w:lang w:val="hr-HR"/>
        </w:rPr>
        <w:t xml:space="preserve">broj podnesenih </w:t>
      </w:r>
      <w:r w:rsidR="003F47C4" w:rsidRPr="00F6590B">
        <w:rPr>
          <w:szCs w:val="24"/>
          <w:lang w:val="hr-HR"/>
        </w:rPr>
        <w:t>prijedloga za otvaranje</w:t>
      </w:r>
      <w:r w:rsidR="003219ED" w:rsidRPr="00F6590B">
        <w:rPr>
          <w:szCs w:val="24"/>
          <w:lang w:val="hr-HR"/>
        </w:rPr>
        <w:t xml:space="preserve"> predstečajne nagodbe iznosio je 4.719, s prijavljenim potraživanjima u iznosu 47,14 milijardi kuna</w:t>
      </w:r>
      <w:r w:rsidR="003219ED" w:rsidRPr="00F6590B">
        <w:rPr>
          <w:rStyle w:val="FootnoteReference"/>
          <w:szCs w:val="24"/>
          <w:lang w:val="hr-HR"/>
        </w:rPr>
        <w:footnoteReference w:id="8"/>
      </w:r>
      <w:r w:rsidR="003219ED" w:rsidRPr="00F6590B">
        <w:rPr>
          <w:szCs w:val="24"/>
          <w:lang w:val="hr-HR"/>
        </w:rPr>
        <w:t>.</w:t>
      </w:r>
      <w:r w:rsidR="00190102" w:rsidRPr="00F6590B">
        <w:rPr>
          <w:szCs w:val="24"/>
          <w:lang w:val="hr-HR"/>
        </w:rPr>
        <w:t xml:space="preserve"> Uzme li se u obzir kako je priljev novih stečajnih predmeta u cijeloj 2012. godini </w:t>
      </w:r>
      <w:r w:rsidR="00650C99" w:rsidRPr="00F6590B">
        <w:rPr>
          <w:szCs w:val="24"/>
          <w:lang w:val="hr-HR"/>
        </w:rPr>
        <w:t xml:space="preserve">na svim sudovima </w:t>
      </w:r>
      <w:r w:rsidR="00190102" w:rsidRPr="00F6590B">
        <w:rPr>
          <w:szCs w:val="24"/>
          <w:lang w:val="hr-HR"/>
        </w:rPr>
        <w:t>iznosio 2.991</w:t>
      </w:r>
      <w:r w:rsidR="0099474F" w:rsidRPr="00F6590B">
        <w:rPr>
          <w:szCs w:val="24"/>
          <w:lang w:val="hr-HR"/>
        </w:rPr>
        <w:t xml:space="preserve"> (podatak iz BP2)</w:t>
      </w:r>
      <w:r w:rsidR="00190102" w:rsidRPr="00F6590B">
        <w:rPr>
          <w:szCs w:val="24"/>
          <w:lang w:val="hr-HR"/>
        </w:rPr>
        <w:t xml:space="preserve">, jasno je kako će zbog promjene stečajnog sustava </w:t>
      </w:r>
      <w:r w:rsidR="003F47C4" w:rsidRPr="00F6590B">
        <w:rPr>
          <w:szCs w:val="24"/>
          <w:lang w:val="hr-HR"/>
        </w:rPr>
        <w:t xml:space="preserve">statistička </w:t>
      </w:r>
      <w:r w:rsidR="00190102" w:rsidRPr="00F6590B">
        <w:rPr>
          <w:szCs w:val="24"/>
          <w:lang w:val="hr-HR"/>
        </w:rPr>
        <w:t xml:space="preserve">izvješća sa trgovačkih sudova iz godine 2013. i sljedećih biti </w:t>
      </w:r>
      <w:r w:rsidR="00577FE8" w:rsidRPr="00F6590B">
        <w:rPr>
          <w:szCs w:val="24"/>
          <w:lang w:val="hr-HR"/>
        </w:rPr>
        <w:t>umnogome</w:t>
      </w:r>
      <w:r w:rsidR="003F47C4" w:rsidRPr="00F6590B">
        <w:rPr>
          <w:szCs w:val="24"/>
          <w:lang w:val="hr-HR"/>
        </w:rPr>
        <w:t xml:space="preserve"> </w:t>
      </w:r>
      <w:proofErr w:type="spellStart"/>
      <w:r w:rsidR="00190102" w:rsidRPr="00F6590B">
        <w:rPr>
          <w:szCs w:val="24"/>
          <w:lang w:val="hr-HR"/>
        </w:rPr>
        <w:t>nekomparabilna</w:t>
      </w:r>
      <w:proofErr w:type="spellEnd"/>
      <w:r w:rsidR="00190102" w:rsidRPr="00F6590B">
        <w:rPr>
          <w:szCs w:val="24"/>
          <w:lang w:val="hr-HR"/>
        </w:rPr>
        <w:t xml:space="preserve"> sa </w:t>
      </w:r>
      <w:r w:rsidR="00650C99" w:rsidRPr="00F6590B">
        <w:rPr>
          <w:szCs w:val="24"/>
          <w:lang w:val="hr-HR"/>
        </w:rPr>
        <w:t xml:space="preserve">2012. i </w:t>
      </w:r>
      <w:r w:rsidR="00190102" w:rsidRPr="00F6590B">
        <w:rPr>
          <w:szCs w:val="24"/>
          <w:lang w:val="hr-HR"/>
        </w:rPr>
        <w:t>prethodnim godinama.</w:t>
      </w:r>
    </w:p>
    <w:p w14:paraId="1AC03F27" w14:textId="77777777" w:rsidR="00B92CD6" w:rsidRPr="00F6590B" w:rsidRDefault="00B92CD6" w:rsidP="00483743">
      <w:pPr>
        <w:spacing w:line="480" w:lineRule="auto"/>
        <w:rPr>
          <w:rFonts w:cs="Times New Roman"/>
          <w:szCs w:val="24"/>
          <w:lang w:val="hr-HR"/>
        </w:rPr>
      </w:pPr>
    </w:p>
    <w:p w14:paraId="395938AF" w14:textId="3502B437" w:rsidR="00947058" w:rsidRPr="00F6590B" w:rsidRDefault="00B92CD6" w:rsidP="00483743">
      <w:pPr>
        <w:pStyle w:val="ListParagraph"/>
        <w:numPr>
          <w:ilvl w:val="0"/>
          <w:numId w:val="3"/>
        </w:numPr>
        <w:spacing w:line="480" w:lineRule="auto"/>
        <w:rPr>
          <w:rFonts w:cs="Times New Roman"/>
          <w:szCs w:val="24"/>
          <w:lang w:val="hr-HR"/>
        </w:rPr>
      </w:pPr>
      <w:r w:rsidRPr="00F6590B">
        <w:rPr>
          <w:rFonts w:cs="Times New Roman"/>
          <w:szCs w:val="24"/>
          <w:lang w:val="hr-HR"/>
        </w:rPr>
        <w:t>Metodologija</w:t>
      </w:r>
      <w:r w:rsidR="0050245E" w:rsidRPr="00F6590B">
        <w:rPr>
          <w:rFonts w:cs="Times New Roman"/>
          <w:szCs w:val="24"/>
          <w:lang w:val="hr-HR"/>
        </w:rPr>
        <w:t xml:space="preserve"> </w:t>
      </w:r>
    </w:p>
    <w:p w14:paraId="38093BB3" w14:textId="77777777" w:rsidR="00272CF8" w:rsidRPr="00F6590B" w:rsidRDefault="00272CF8" w:rsidP="00483743">
      <w:pPr>
        <w:spacing w:line="480" w:lineRule="auto"/>
        <w:rPr>
          <w:rFonts w:cs="Times New Roman"/>
          <w:szCs w:val="24"/>
          <w:lang w:val="hr-HR"/>
        </w:rPr>
      </w:pPr>
    </w:p>
    <w:p w14:paraId="33BAE365" w14:textId="47B63A11" w:rsidR="00F308FF" w:rsidRPr="00F6590B" w:rsidRDefault="00F308FF" w:rsidP="00483743">
      <w:pPr>
        <w:spacing w:line="480" w:lineRule="auto"/>
        <w:rPr>
          <w:szCs w:val="24"/>
          <w:lang w:val="hr-HR"/>
        </w:rPr>
      </w:pPr>
      <w:r w:rsidRPr="00F6590B">
        <w:rPr>
          <w:szCs w:val="24"/>
          <w:lang w:val="hr-HR"/>
        </w:rPr>
        <w:t xml:space="preserve">Kako je rečeno, pri obradi </w:t>
      </w:r>
      <w:r w:rsidR="00A415CC" w:rsidRPr="00F6590B">
        <w:rPr>
          <w:szCs w:val="24"/>
          <w:lang w:val="hr-HR"/>
        </w:rPr>
        <w:t>BP1</w:t>
      </w:r>
      <w:r w:rsidRPr="00F6590B">
        <w:rPr>
          <w:szCs w:val="24"/>
          <w:lang w:val="hr-HR"/>
        </w:rPr>
        <w:t xml:space="preserve"> upotrijebit će se jednostavnije statističke tehnike</w:t>
      </w:r>
      <w:r w:rsidR="00617FF9" w:rsidRPr="00F6590B">
        <w:rPr>
          <w:szCs w:val="24"/>
          <w:lang w:val="hr-HR"/>
        </w:rPr>
        <w:t xml:space="preserve"> (</w:t>
      </w:r>
      <w:r w:rsidRPr="00F6590B">
        <w:rPr>
          <w:szCs w:val="24"/>
          <w:lang w:val="hr-HR"/>
        </w:rPr>
        <w:t xml:space="preserve">analiza </w:t>
      </w:r>
      <w:r w:rsidR="0071625E" w:rsidRPr="00F6590B">
        <w:rPr>
          <w:szCs w:val="24"/>
          <w:lang w:val="hr-HR"/>
        </w:rPr>
        <w:t>mjera centralne tendencije i varijacije</w:t>
      </w:r>
      <w:r w:rsidRPr="00F6590B">
        <w:rPr>
          <w:szCs w:val="24"/>
          <w:lang w:val="hr-HR"/>
        </w:rPr>
        <w:t xml:space="preserve">, </w:t>
      </w:r>
      <w:r w:rsidR="0071625E" w:rsidRPr="00F6590B">
        <w:rPr>
          <w:szCs w:val="24"/>
          <w:lang w:val="hr-HR"/>
        </w:rPr>
        <w:t xml:space="preserve">analiza </w:t>
      </w:r>
      <w:r w:rsidRPr="00F6590B">
        <w:rPr>
          <w:szCs w:val="24"/>
          <w:lang w:val="hr-HR"/>
        </w:rPr>
        <w:t>varijance</w:t>
      </w:r>
      <w:r w:rsidR="00617FF9" w:rsidRPr="00F6590B">
        <w:rPr>
          <w:szCs w:val="24"/>
          <w:lang w:val="hr-HR"/>
        </w:rPr>
        <w:t xml:space="preserve">, </w:t>
      </w:r>
      <w:r w:rsidRPr="00F6590B">
        <w:rPr>
          <w:szCs w:val="24"/>
          <w:lang w:val="hr-HR"/>
        </w:rPr>
        <w:t>histogram</w:t>
      </w:r>
      <w:r w:rsidR="00617FF9" w:rsidRPr="00F6590B">
        <w:rPr>
          <w:szCs w:val="24"/>
          <w:lang w:val="hr-HR"/>
        </w:rPr>
        <w:t>)</w:t>
      </w:r>
      <w:r w:rsidR="0071625E" w:rsidRPr="00F6590B">
        <w:rPr>
          <w:szCs w:val="24"/>
          <w:lang w:val="hr-HR"/>
        </w:rPr>
        <w:t>.</w:t>
      </w:r>
    </w:p>
    <w:p w14:paraId="037EA688" w14:textId="400AFCF3" w:rsidR="00050699" w:rsidRPr="00F6590B" w:rsidRDefault="00050699" w:rsidP="00483743">
      <w:pPr>
        <w:spacing w:line="480" w:lineRule="auto"/>
        <w:rPr>
          <w:rFonts w:cs="Times New Roman"/>
          <w:szCs w:val="24"/>
          <w:lang w:val="hr-HR"/>
        </w:rPr>
      </w:pPr>
      <w:r w:rsidRPr="00F6590B">
        <w:rPr>
          <w:szCs w:val="24"/>
          <w:lang w:val="hr-HR"/>
        </w:rPr>
        <w:t xml:space="preserve">Za obradu </w:t>
      </w:r>
      <w:r w:rsidR="00A415CC" w:rsidRPr="00F6590B">
        <w:rPr>
          <w:szCs w:val="24"/>
          <w:lang w:val="hr-HR"/>
        </w:rPr>
        <w:t>BP2</w:t>
      </w:r>
      <w:r w:rsidRPr="00F6590B">
        <w:rPr>
          <w:szCs w:val="24"/>
          <w:lang w:val="hr-HR"/>
        </w:rPr>
        <w:t xml:space="preserve"> koristit će se </w:t>
      </w:r>
      <w:r w:rsidR="009A6021" w:rsidRPr="00F6590B">
        <w:rPr>
          <w:szCs w:val="24"/>
          <w:lang w:val="hr-HR"/>
        </w:rPr>
        <w:t xml:space="preserve">analiza </w:t>
      </w:r>
      <w:r w:rsidRPr="00F6590B">
        <w:rPr>
          <w:rFonts w:cs="Times New Roman"/>
          <w:szCs w:val="24"/>
          <w:lang w:val="hr-HR"/>
        </w:rPr>
        <w:t>fiksn</w:t>
      </w:r>
      <w:r w:rsidR="009A6021" w:rsidRPr="00F6590B">
        <w:rPr>
          <w:rFonts w:cs="Times New Roman"/>
          <w:szCs w:val="24"/>
          <w:lang w:val="hr-HR"/>
        </w:rPr>
        <w:t>og</w:t>
      </w:r>
      <w:r w:rsidRPr="00F6590B">
        <w:rPr>
          <w:rFonts w:cs="Times New Roman"/>
          <w:szCs w:val="24"/>
          <w:lang w:val="hr-HR"/>
        </w:rPr>
        <w:t xml:space="preserve"> uravnotežen</w:t>
      </w:r>
      <w:r w:rsidR="009A6021" w:rsidRPr="00F6590B">
        <w:rPr>
          <w:rFonts w:cs="Times New Roman"/>
          <w:szCs w:val="24"/>
          <w:lang w:val="hr-HR"/>
        </w:rPr>
        <w:t>og</w:t>
      </w:r>
      <w:r w:rsidRPr="00F6590B">
        <w:rPr>
          <w:rFonts w:cs="Times New Roman"/>
          <w:szCs w:val="24"/>
          <w:lang w:val="hr-HR"/>
        </w:rPr>
        <w:t xml:space="preserve"> panel</w:t>
      </w:r>
      <w:r w:rsidR="009A6021" w:rsidRPr="00F6590B">
        <w:rPr>
          <w:rFonts w:cs="Times New Roman"/>
          <w:szCs w:val="24"/>
          <w:lang w:val="hr-HR"/>
        </w:rPr>
        <w:t>a</w:t>
      </w:r>
      <w:r w:rsidRPr="00F6590B">
        <w:rPr>
          <w:rFonts w:cs="Times New Roman"/>
          <w:szCs w:val="24"/>
          <w:lang w:val="hr-HR"/>
        </w:rPr>
        <w:t xml:space="preserve"> (</w:t>
      </w:r>
      <w:proofErr w:type="spellStart"/>
      <w:r w:rsidRPr="00F6590B">
        <w:rPr>
          <w:rFonts w:cs="Times New Roman"/>
          <w:i/>
          <w:szCs w:val="24"/>
          <w:lang w:val="hr-HR"/>
        </w:rPr>
        <w:t>fixed</w:t>
      </w:r>
      <w:proofErr w:type="spellEnd"/>
      <w:r w:rsidRPr="00F6590B">
        <w:rPr>
          <w:rFonts w:cs="Times New Roman"/>
          <w:szCs w:val="24"/>
          <w:lang w:val="hr-HR"/>
        </w:rPr>
        <w:t xml:space="preserve"> </w:t>
      </w:r>
      <w:proofErr w:type="spellStart"/>
      <w:r w:rsidRPr="00F6590B">
        <w:rPr>
          <w:rFonts w:cs="Times New Roman"/>
          <w:i/>
          <w:szCs w:val="24"/>
          <w:lang w:val="hr-HR"/>
        </w:rPr>
        <w:t>balanced</w:t>
      </w:r>
      <w:proofErr w:type="spellEnd"/>
      <w:r w:rsidRPr="00F6590B">
        <w:rPr>
          <w:rFonts w:cs="Times New Roman"/>
          <w:i/>
          <w:szCs w:val="24"/>
          <w:lang w:val="hr-HR"/>
        </w:rPr>
        <w:t xml:space="preserve"> panel</w:t>
      </w:r>
      <w:r w:rsidR="00483743" w:rsidRPr="00F6590B">
        <w:rPr>
          <w:rFonts w:cs="Times New Roman"/>
          <w:i/>
          <w:szCs w:val="24"/>
          <w:lang w:val="hr-HR"/>
        </w:rPr>
        <w:t>;</w:t>
      </w:r>
      <w:r w:rsidR="00483743" w:rsidRPr="00F6590B">
        <w:rPr>
          <w:rFonts w:cs="Times New Roman"/>
          <w:szCs w:val="24"/>
          <w:lang w:val="hr-HR"/>
        </w:rPr>
        <w:t xml:space="preserve"> Greene, 2008: 184</w:t>
      </w:r>
      <w:r w:rsidRPr="00F6590B">
        <w:rPr>
          <w:rFonts w:cs="Times New Roman"/>
          <w:szCs w:val="24"/>
          <w:lang w:val="hr-HR"/>
        </w:rPr>
        <w:t xml:space="preserve">) koji se sastoji od sedam objekata istraživanja (sudovi: </w:t>
      </w:r>
      <w:r w:rsidRPr="00F6590B">
        <w:rPr>
          <w:i/>
          <w:szCs w:val="24"/>
          <w:lang w:val="hr-HR"/>
        </w:rPr>
        <w:t>i</w:t>
      </w:r>
      <w:r w:rsidRPr="00F6590B">
        <w:rPr>
          <w:szCs w:val="24"/>
          <w:lang w:val="hr-HR"/>
        </w:rPr>
        <w:t xml:space="preserve"> = 1…7</w:t>
      </w:r>
      <w:r w:rsidRPr="00F6590B">
        <w:rPr>
          <w:rFonts w:cs="Times New Roman"/>
          <w:szCs w:val="24"/>
          <w:lang w:val="hr-HR"/>
        </w:rPr>
        <w:t xml:space="preserve">), </w:t>
      </w:r>
      <w:r w:rsidR="004C5262" w:rsidRPr="00F6590B">
        <w:rPr>
          <w:rFonts w:cs="Times New Roman"/>
          <w:szCs w:val="24"/>
          <w:lang w:val="hr-HR"/>
        </w:rPr>
        <w:t>u razdoblju od</w:t>
      </w:r>
      <w:r w:rsidRPr="00F6590B">
        <w:rPr>
          <w:rFonts w:cs="Times New Roman"/>
          <w:szCs w:val="24"/>
          <w:lang w:val="hr-HR"/>
        </w:rPr>
        <w:t xml:space="preserve"> devet godina (</w:t>
      </w:r>
      <w:r w:rsidRPr="00F6590B">
        <w:rPr>
          <w:i/>
          <w:szCs w:val="24"/>
          <w:lang w:val="hr-HR"/>
        </w:rPr>
        <w:t>t</w:t>
      </w:r>
      <w:r w:rsidRPr="00F6590B">
        <w:rPr>
          <w:szCs w:val="24"/>
          <w:lang w:val="hr-HR"/>
        </w:rPr>
        <w:t xml:space="preserve"> = 2004…2012</w:t>
      </w:r>
      <w:r w:rsidR="009160D3" w:rsidRPr="00F6590B">
        <w:rPr>
          <w:rFonts w:cs="Times New Roman"/>
          <w:szCs w:val="24"/>
          <w:lang w:val="hr-HR"/>
        </w:rPr>
        <w:t xml:space="preserve">), </w:t>
      </w:r>
      <w:r w:rsidR="009F2846" w:rsidRPr="00F6590B">
        <w:rPr>
          <w:rFonts w:cs="Times New Roman"/>
          <w:szCs w:val="24"/>
          <w:lang w:val="hr-HR"/>
        </w:rPr>
        <w:t xml:space="preserve">a strukturiran je </w:t>
      </w:r>
      <w:r w:rsidR="004C5262" w:rsidRPr="00F6590B">
        <w:rPr>
          <w:rFonts w:cs="Times New Roman"/>
          <w:szCs w:val="24"/>
          <w:lang w:val="hr-HR"/>
        </w:rPr>
        <w:t>kroz</w:t>
      </w:r>
      <w:r w:rsidRPr="00F6590B">
        <w:rPr>
          <w:rFonts w:cs="Times New Roman"/>
          <w:szCs w:val="24"/>
          <w:lang w:val="hr-HR"/>
        </w:rPr>
        <w:t xml:space="preserve"> četiri </w:t>
      </w:r>
      <w:r w:rsidR="009160D3" w:rsidRPr="00F6590B">
        <w:rPr>
          <w:rFonts w:cs="Times New Roman"/>
          <w:szCs w:val="24"/>
          <w:lang w:val="hr-HR"/>
        </w:rPr>
        <w:t>varijable:</w:t>
      </w:r>
    </w:p>
    <w:p w14:paraId="6ED0A88F" w14:textId="7C97D0ED" w:rsidR="009160D3" w:rsidRPr="00F6590B" w:rsidRDefault="009160D3" w:rsidP="00483743">
      <w:pPr>
        <w:pStyle w:val="ListParagraph"/>
        <w:numPr>
          <w:ilvl w:val="0"/>
          <w:numId w:val="10"/>
        </w:numPr>
        <w:spacing w:line="480" w:lineRule="auto"/>
        <w:rPr>
          <w:rFonts w:cs="Times New Roman"/>
          <w:szCs w:val="24"/>
          <w:lang w:val="hr-HR"/>
        </w:rPr>
      </w:pPr>
      <w:r w:rsidRPr="00F6590B">
        <w:rPr>
          <w:rFonts w:cs="Times New Roman"/>
          <w:i/>
          <w:szCs w:val="24"/>
          <w:lang w:val="hr-HR"/>
        </w:rPr>
        <w:t>novi</w:t>
      </w:r>
      <w:r w:rsidRPr="00F6590B">
        <w:rPr>
          <w:rFonts w:cs="Times New Roman"/>
          <w:szCs w:val="24"/>
          <w:lang w:val="hr-HR"/>
        </w:rPr>
        <w:t>: priljev novih stečajnih predmeta,</w:t>
      </w:r>
    </w:p>
    <w:p w14:paraId="55DF7660" w14:textId="19DADE55" w:rsidR="009160D3" w:rsidRPr="00F6590B" w:rsidRDefault="009160D3" w:rsidP="00483743">
      <w:pPr>
        <w:pStyle w:val="ListParagraph"/>
        <w:numPr>
          <w:ilvl w:val="0"/>
          <w:numId w:val="10"/>
        </w:numPr>
        <w:spacing w:line="480" w:lineRule="auto"/>
        <w:rPr>
          <w:szCs w:val="24"/>
          <w:lang w:val="hr-HR"/>
        </w:rPr>
      </w:pPr>
      <w:proofErr w:type="spellStart"/>
      <w:r w:rsidRPr="00F6590B">
        <w:rPr>
          <w:i/>
          <w:szCs w:val="24"/>
          <w:lang w:val="hr-HR"/>
        </w:rPr>
        <w:lastRenderedPageBreak/>
        <w:t>nerije</w:t>
      </w:r>
      <w:r w:rsidR="001539FC" w:rsidRPr="00F6590B">
        <w:rPr>
          <w:i/>
          <w:szCs w:val="24"/>
          <w:lang w:val="hr-HR"/>
        </w:rPr>
        <w:t>s</w:t>
      </w:r>
      <w:r w:rsidRPr="00F6590B">
        <w:rPr>
          <w:i/>
          <w:szCs w:val="24"/>
          <w:lang w:val="hr-HR"/>
        </w:rPr>
        <w:t>eni</w:t>
      </w:r>
      <w:proofErr w:type="spellEnd"/>
      <w:r w:rsidRPr="00F6590B">
        <w:rPr>
          <w:szCs w:val="24"/>
          <w:lang w:val="hr-HR"/>
        </w:rPr>
        <w:t xml:space="preserve">: broj stečajnih postupaka koji su na kraju godine </w:t>
      </w:r>
      <w:r w:rsidRPr="00F6590B">
        <w:rPr>
          <w:i/>
          <w:szCs w:val="24"/>
          <w:lang w:val="hr-HR"/>
        </w:rPr>
        <w:t>t</w:t>
      </w:r>
      <w:r w:rsidRPr="00F6590B">
        <w:rPr>
          <w:szCs w:val="24"/>
          <w:lang w:val="hr-HR"/>
        </w:rPr>
        <w:t xml:space="preserve"> još uvijek otvoreni, odnosno nezatvoreni,</w:t>
      </w:r>
    </w:p>
    <w:p w14:paraId="78CD2799" w14:textId="3F79E9F0" w:rsidR="009160D3" w:rsidRPr="00F6590B" w:rsidRDefault="009160D3" w:rsidP="00483743">
      <w:pPr>
        <w:pStyle w:val="ListParagraph"/>
        <w:numPr>
          <w:ilvl w:val="0"/>
          <w:numId w:val="10"/>
        </w:numPr>
        <w:spacing w:line="480" w:lineRule="auto"/>
        <w:rPr>
          <w:szCs w:val="24"/>
          <w:lang w:val="hr-HR"/>
        </w:rPr>
      </w:pPr>
      <w:proofErr w:type="spellStart"/>
      <w:r w:rsidRPr="00F6590B">
        <w:rPr>
          <w:i/>
          <w:szCs w:val="24"/>
          <w:lang w:val="hr-HR"/>
        </w:rPr>
        <w:t>rije</w:t>
      </w:r>
      <w:r w:rsidR="001539FC" w:rsidRPr="00F6590B">
        <w:rPr>
          <w:i/>
          <w:szCs w:val="24"/>
          <w:lang w:val="hr-HR"/>
        </w:rPr>
        <w:t>s</w:t>
      </w:r>
      <w:r w:rsidRPr="00F6590B">
        <w:rPr>
          <w:i/>
          <w:szCs w:val="24"/>
          <w:lang w:val="hr-HR"/>
        </w:rPr>
        <w:t>eni</w:t>
      </w:r>
      <w:proofErr w:type="spellEnd"/>
      <w:r w:rsidRPr="00F6590B">
        <w:rPr>
          <w:szCs w:val="24"/>
          <w:lang w:val="hr-HR"/>
        </w:rPr>
        <w:t xml:space="preserve">: stečajevi koji su zatvoreni u godini </w:t>
      </w:r>
      <w:r w:rsidRPr="00F6590B">
        <w:rPr>
          <w:i/>
          <w:szCs w:val="24"/>
          <w:lang w:val="hr-HR"/>
        </w:rPr>
        <w:t>t</w:t>
      </w:r>
      <w:r w:rsidRPr="00F6590B">
        <w:rPr>
          <w:szCs w:val="24"/>
          <w:lang w:val="hr-HR"/>
        </w:rPr>
        <w:t xml:space="preserve">, </w:t>
      </w:r>
    </w:p>
    <w:p w14:paraId="00B0DFF5" w14:textId="44144883" w:rsidR="009160D3" w:rsidRPr="00F6590B" w:rsidRDefault="009160D3" w:rsidP="00483743">
      <w:pPr>
        <w:pStyle w:val="ListParagraph"/>
        <w:numPr>
          <w:ilvl w:val="0"/>
          <w:numId w:val="10"/>
        </w:numPr>
        <w:spacing w:line="480" w:lineRule="auto"/>
        <w:rPr>
          <w:rFonts w:cs="Times New Roman"/>
          <w:szCs w:val="24"/>
          <w:lang w:val="hr-HR"/>
        </w:rPr>
      </w:pPr>
      <w:r w:rsidRPr="00F6590B">
        <w:rPr>
          <w:i/>
          <w:szCs w:val="24"/>
          <w:lang w:val="hr-HR"/>
        </w:rPr>
        <w:t>suci</w:t>
      </w:r>
      <w:r w:rsidRPr="00F6590B">
        <w:rPr>
          <w:szCs w:val="24"/>
          <w:lang w:val="hr-HR"/>
        </w:rPr>
        <w:t>: broj sudaca na pojedinom trgovačkom sudu</w:t>
      </w:r>
      <w:r w:rsidR="00DD2745" w:rsidRPr="00F6590B">
        <w:rPr>
          <w:szCs w:val="24"/>
          <w:lang w:val="hr-HR"/>
        </w:rPr>
        <w:t xml:space="preserve"> </w:t>
      </w:r>
      <w:r w:rsidR="00DD2745" w:rsidRPr="00F6590B">
        <w:rPr>
          <w:i/>
          <w:szCs w:val="24"/>
          <w:lang w:val="hr-HR"/>
        </w:rPr>
        <w:t>i</w:t>
      </w:r>
      <w:r w:rsidR="004C5262" w:rsidRPr="00F6590B">
        <w:rPr>
          <w:szCs w:val="24"/>
          <w:lang w:val="hr-HR"/>
        </w:rPr>
        <w:t>,</w:t>
      </w:r>
      <w:r w:rsidRPr="00F6590B">
        <w:rPr>
          <w:szCs w:val="24"/>
          <w:lang w:val="hr-HR"/>
        </w:rPr>
        <w:t xml:space="preserve"> u godini </w:t>
      </w:r>
      <w:r w:rsidRPr="00F6590B">
        <w:rPr>
          <w:i/>
          <w:szCs w:val="24"/>
          <w:lang w:val="hr-HR"/>
        </w:rPr>
        <w:t>t.</w:t>
      </w:r>
    </w:p>
    <w:p w14:paraId="24107C2D" w14:textId="78980250" w:rsidR="00D842D9" w:rsidRPr="00F6590B" w:rsidRDefault="00712A78" w:rsidP="00483743">
      <w:pPr>
        <w:spacing w:line="480" w:lineRule="auto"/>
        <w:rPr>
          <w:szCs w:val="24"/>
          <w:lang w:val="hr-HR"/>
        </w:rPr>
      </w:pPr>
      <w:r w:rsidRPr="00F6590B">
        <w:rPr>
          <w:szCs w:val="24"/>
          <w:lang w:val="hr-HR"/>
        </w:rPr>
        <w:t>Podaci strukturirani u obliku panela kombiniraju dvije temeljne ekonometrijske grane: analizu vremenskih serija i prostorne modele (</w:t>
      </w:r>
      <w:proofErr w:type="spellStart"/>
      <w:r w:rsidRPr="00F6590B">
        <w:rPr>
          <w:i/>
          <w:szCs w:val="24"/>
          <w:lang w:val="hr-HR"/>
        </w:rPr>
        <w:t>cross</w:t>
      </w:r>
      <w:proofErr w:type="spellEnd"/>
      <w:r w:rsidRPr="00F6590B">
        <w:rPr>
          <w:i/>
          <w:szCs w:val="24"/>
          <w:lang w:val="hr-HR"/>
        </w:rPr>
        <w:t xml:space="preserve"> </w:t>
      </w:r>
      <w:proofErr w:type="spellStart"/>
      <w:r w:rsidRPr="00F6590B">
        <w:rPr>
          <w:i/>
          <w:szCs w:val="24"/>
          <w:lang w:val="hr-HR"/>
        </w:rPr>
        <w:t>section</w:t>
      </w:r>
      <w:proofErr w:type="spellEnd"/>
      <w:r w:rsidRPr="00F6590B">
        <w:rPr>
          <w:szCs w:val="24"/>
          <w:lang w:val="hr-HR"/>
        </w:rPr>
        <w:t>)</w:t>
      </w:r>
      <w:r w:rsidR="00DE6E46" w:rsidRPr="00F6590B">
        <w:rPr>
          <w:szCs w:val="24"/>
          <w:lang w:val="hr-HR"/>
        </w:rPr>
        <w:t>, te analiza ovakvih longitudinalnih podataka sadrži više varijabilnosti što daje veći spektar mogućnosti istraživanja od analize isključivo vremenskih serija, ili isključivo prostornih modela (Kennedy, 2008).</w:t>
      </w:r>
      <w:r w:rsidR="00F308FF" w:rsidRPr="00F6590B">
        <w:rPr>
          <w:szCs w:val="24"/>
          <w:lang w:val="hr-HR"/>
        </w:rPr>
        <w:t xml:space="preserve"> „Paneli daju informativnije podatke, više varijabilnosti, manju </w:t>
      </w:r>
      <w:proofErr w:type="spellStart"/>
      <w:r w:rsidR="00F308FF" w:rsidRPr="00F6590B">
        <w:rPr>
          <w:szCs w:val="24"/>
          <w:lang w:val="hr-HR"/>
        </w:rPr>
        <w:t>kolinearnost</w:t>
      </w:r>
      <w:proofErr w:type="spellEnd"/>
      <w:r w:rsidR="00F308FF" w:rsidRPr="00F6590B">
        <w:rPr>
          <w:szCs w:val="24"/>
          <w:lang w:val="hr-HR"/>
        </w:rPr>
        <w:t xml:space="preserve"> među varijablama, više stupnjeva slobode i veću učinkovitost.“ (</w:t>
      </w:r>
      <w:proofErr w:type="spellStart"/>
      <w:r w:rsidR="00F308FF" w:rsidRPr="00F6590B">
        <w:rPr>
          <w:rFonts w:ascii="TimesNewRomanPSMT" w:hAnsi="TimesNewRomanPSMT" w:cs="TimesNewRomanPSMT"/>
          <w:szCs w:val="24"/>
          <w:lang w:val="hr-HR"/>
        </w:rPr>
        <w:t>Baltagi</w:t>
      </w:r>
      <w:proofErr w:type="spellEnd"/>
      <w:r w:rsidR="008458AE" w:rsidRPr="00F6590B">
        <w:rPr>
          <w:rFonts w:ascii="TimesNewRomanPSMT" w:hAnsi="TimesNewRomanPSMT" w:cs="TimesNewRomanPSMT"/>
          <w:szCs w:val="24"/>
          <w:lang w:val="hr-HR"/>
        </w:rPr>
        <w:t>,</w:t>
      </w:r>
      <w:r w:rsidR="00F308FF" w:rsidRPr="00F6590B">
        <w:rPr>
          <w:rFonts w:ascii="TimesNewRomanPSMT" w:hAnsi="TimesNewRomanPSMT" w:cs="TimesNewRomanPSMT"/>
          <w:szCs w:val="24"/>
          <w:lang w:val="hr-HR"/>
        </w:rPr>
        <w:t xml:space="preserve"> 2001:6</w:t>
      </w:r>
      <w:r w:rsidR="00F308FF" w:rsidRPr="00F6590B">
        <w:rPr>
          <w:szCs w:val="24"/>
          <w:lang w:val="hr-HR"/>
        </w:rPr>
        <w:t>)</w:t>
      </w:r>
      <w:r w:rsidR="00C8201C" w:rsidRPr="00F6590B">
        <w:rPr>
          <w:szCs w:val="24"/>
          <w:lang w:val="hr-HR"/>
        </w:rPr>
        <w:t>.</w:t>
      </w:r>
    </w:p>
    <w:p w14:paraId="4DA31864" w14:textId="7A9DAC52" w:rsidR="00791BD1" w:rsidRPr="00F6590B" w:rsidRDefault="00791BD1" w:rsidP="00483743">
      <w:pPr>
        <w:spacing w:line="480" w:lineRule="auto"/>
        <w:rPr>
          <w:szCs w:val="24"/>
          <w:lang w:val="hr-HR"/>
        </w:rPr>
      </w:pPr>
      <w:r w:rsidRPr="00F6590B">
        <w:rPr>
          <w:szCs w:val="24"/>
          <w:lang w:val="hr-HR"/>
        </w:rPr>
        <w:t xml:space="preserve">Temeljni model koji se </w:t>
      </w:r>
      <w:r w:rsidR="00C8201C" w:rsidRPr="00F6590B">
        <w:rPr>
          <w:szCs w:val="24"/>
          <w:lang w:val="hr-HR"/>
        </w:rPr>
        <w:t xml:space="preserve">u ovom radu </w:t>
      </w:r>
      <w:r w:rsidRPr="00F6590B">
        <w:rPr>
          <w:szCs w:val="24"/>
          <w:lang w:val="hr-HR"/>
        </w:rPr>
        <w:t>razmatra glasi:</w:t>
      </w:r>
    </w:p>
    <w:p w14:paraId="7DCB4F8B" w14:textId="772C590E" w:rsidR="00791BD1" w:rsidRPr="00F6590B" w:rsidRDefault="00791BD1" w:rsidP="00483743">
      <w:pPr>
        <w:spacing w:line="480" w:lineRule="auto"/>
        <w:rPr>
          <w:szCs w:val="24"/>
          <w:lang w:val="hr-HR"/>
        </w:rPr>
      </w:pPr>
      <w:r w:rsidRPr="00F6590B">
        <w:rPr>
          <w:i/>
          <w:szCs w:val="24"/>
          <w:lang w:val="hr-HR"/>
        </w:rPr>
        <w:t xml:space="preserve">Riješeni </w:t>
      </w:r>
      <w:r w:rsidR="0068272F" w:rsidRPr="00F6590B">
        <w:rPr>
          <w:i/>
          <w:szCs w:val="24"/>
          <w:lang w:val="hr-HR"/>
        </w:rPr>
        <w:t>stečajevi</w:t>
      </w:r>
      <w:r w:rsidRPr="00F6590B">
        <w:rPr>
          <w:szCs w:val="24"/>
          <w:lang w:val="hr-HR"/>
        </w:rPr>
        <w:t xml:space="preserve"> = </w:t>
      </w:r>
      <w:r w:rsidRPr="00F6590B">
        <w:rPr>
          <w:i/>
          <w:szCs w:val="24"/>
          <w:lang w:val="hr-HR"/>
        </w:rPr>
        <w:t xml:space="preserve">f </w:t>
      </w:r>
      <w:r w:rsidRPr="00F6590B">
        <w:rPr>
          <w:szCs w:val="24"/>
          <w:lang w:val="hr-HR"/>
        </w:rPr>
        <w:t>(</w:t>
      </w:r>
      <w:r w:rsidRPr="00F6590B">
        <w:rPr>
          <w:i/>
          <w:szCs w:val="24"/>
          <w:lang w:val="hr-HR"/>
        </w:rPr>
        <w:t xml:space="preserve">novi </w:t>
      </w:r>
      <w:r w:rsidR="0068272F" w:rsidRPr="00F6590B">
        <w:rPr>
          <w:i/>
          <w:szCs w:val="24"/>
          <w:lang w:val="hr-HR"/>
        </w:rPr>
        <w:t>stečajevi</w:t>
      </w:r>
      <w:r w:rsidRPr="00F6590B">
        <w:rPr>
          <w:i/>
          <w:szCs w:val="24"/>
          <w:lang w:val="hr-HR"/>
        </w:rPr>
        <w:t xml:space="preserve">, neriješeni </w:t>
      </w:r>
      <w:r w:rsidR="0068272F" w:rsidRPr="00F6590B">
        <w:rPr>
          <w:i/>
          <w:szCs w:val="24"/>
          <w:lang w:val="hr-HR"/>
        </w:rPr>
        <w:t>stečajevi</w:t>
      </w:r>
      <w:r w:rsidR="00BB3EDF" w:rsidRPr="00F6590B">
        <w:rPr>
          <w:i/>
          <w:szCs w:val="24"/>
          <w:lang w:val="hr-HR"/>
        </w:rPr>
        <w:t xml:space="preserve">, </w:t>
      </w:r>
      <w:r w:rsidR="001214C0" w:rsidRPr="00F6590B">
        <w:rPr>
          <w:i/>
          <w:szCs w:val="24"/>
          <w:lang w:val="hr-HR"/>
        </w:rPr>
        <w:t>broj sudaca</w:t>
      </w:r>
      <w:r w:rsidRPr="00F6590B">
        <w:rPr>
          <w:szCs w:val="24"/>
          <w:lang w:val="hr-HR"/>
        </w:rPr>
        <w:t>)</w:t>
      </w:r>
      <w:r w:rsidRPr="00F6590B">
        <w:rPr>
          <w:szCs w:val="24"/>
          <w:lang w:val="hr-HR"/>
        </w:rPr>
        <w:tab/>
      </w:r>
      <w:r w:rsidRPr="00F6590B">
        <w:rPr>
          <w:szCs w:val="24"/>
          <w:lang w:val="hr-HR"/>
        </w:rPr>
        <w:tab/>
        <w:t>{</w:t>
      </w:r>
      <w:r w:rsidR="001214C0" w:rsidRPr="00F6590B">
        <w:rPr>
          <w:szCs w:val="24"/>
          <w:lang w:val="hr-HR"/>
        </w:rPr>
        <w:t>1</w:t>
      </w:r>
      <w:r w:rsidRPr="00F6590B">
        <w:rPr>
          <w:szCs w:val="24"/>
          <w:lang w:val="hr-HR"/>
        </w:rPr>
        <w:t>}</w:t>
      </w:r>
    </w:p>
    <w:p w14:paraId="11D4BB63" w14:textId="6F402D9C" w:rsidR="001214C0" w:rsidRPr="00F6590B" w:rsidRDefault="00BB3EDF" w:rsidP="00483743">
      <w:pPr>
        <w:spacing w:line="480" w:lineRule="auto"/>
        <w:rPr>
          <w:szCs w:val="24"/>
          <w:lang w:val="hr-HR"/>
        </w:rPr>
      </w:pPr>
      <w:r w:rsidRPr="00F6590B">
        <w:rPr>
          <w:szCs w:val="24"/>
          <w:lang w:val="hr-HR"/>
        </w:rPr>
        <w:t>Izraz {</w:t>
      </w:r>
      <w:r w:rsidR="001214C0" w:rsidRPr="00F6590B">
        <w:rPr>
          <w:szCs w:val="24"/>
          <w:lang w:val="hr-HR"/>
        </w:rPr>
        <w:t>1</w:t>
      </w:r>
      <w:r w:rsidRPr="00F6590B">
        <w:rPr>
          <w:szCs w:val="24"/>
          <w:lang w:val="hr-HR"/>
        </w:rPr>
        <w:t xml:space="preserve">} definira kako broj riješenih stečajnih predmeta </w:t>
      </w:r>
      <w:r w:rsidR="0068272F" w:rsidRPr="00F6590B">
        <w:rPr>
          <w:szCs w:val="24"/>
          <w:lang w:val="hr-HR"/>
        </w:rPr>
        <w:t xml:space="preserve">primarno zavisi o </w:t>
      </w:r>
      <w:r w:rsidR="004C5262" w:rsidRPr="00F6590B">
        <w:rPr>
          <w:szCs w:val="24"/>
          <w:lang w:val="hr-HR"/>
        </w:rPr>
        <w:t>ko</w:t>
      </w:r>
      <w:r w:rsidR="0068272F" w:rsidRPr="00F6590B">
        <w:rPr>
          <w:szCs w:val="24"/>
          <w:lang w:val="hr-HR"/>
        </w:rPr>
        <w:t>ličini priljeva novih predmeta, broju</w:t>
      </w:r>
      <w:r w:rsidRPr="00F6590B">
        <w:rPr>
          <w:szCs w:val="24"/>
          <w:lang w:val="hr-HR"/>
        </w:rPr>
        <w:t xml:space="preserve"> prethodno neriješenih predmeta i </w:t>
      </w:r>
      <w:r w:rsidR="0068272F" w:rsidRPr="00F6590B">
        <w:rPr>
          <w:szCs w:val="24"/>
          <w:lang w:val="hr-HR"/>
        </w:rPr>
        <w:t>broju</w:t>
      </w:r>
      <w:r w:rsidR="001214C0" w:rsidRPr="00F6590B">
        <w:rPr>
          <w:szCs w:val="24"/>
          <w:lang w:val="hr-HR"/>
        </w:rPr>
        <w:t xml:space="preserve"> sudaca</w:t>
      </w:r>
      <w:r w:rsidRPr="00F6590B">
        <w:rPr>
          <w:szCs w:val="24"/>
          <w:lang w:val="hr-HR"/>
        </w:rPr>
        <w:t xml:space="preserve">. </w:t>
      </w:r>
      <w:r w:rsidR="00BE7A48" w:rsidRPr="00F6590B">
        <w:rPr>
          <w:szCs w:val="24"/>
          <w:lang w:val="hr-HR"/>
        </w:rPr>
        <w:t xml:space="preserve">No, opravdano je postaviti pitanje postoji li još neka </w:t>
      </w:r>
      <w:r w:rsidR="00B4659A" w:rsidRPr="00F6590B">
        <w:rPr>
          <w:szCs w:val="24"/>
          <w:lang w:val="hr-HR"/>
        </w:rPr>
        <w:t xml:space="preserve">nezavisna </w:t>
      </w:r>
      <w:r w:rsidR="00BE7A48" w:rsidRPr="00F6590B">
        <w:rPr>
          <w:szCs w:val="24"/>
          <w:lang w:val="hr-HR"/>
        </w:rPr>
        <w:t>varijabla koja ovdje nije uključena, a koja bi (uz navedene) opisivala brojnost riješenih predmeta pojedinog suda? Ovaj rad postavlja hipotezu kako takva nepromatrana varijabla postoji, i naziva ju 'efikasnost suda'.</w:t>
      </w:r>
    </w:p>
    <w:p w14:paraId="126B0398" w14:textId="0C22B4C8" w:rsidR="00791BD1" w:rsidRPr="00F6590B" w:rsidRDefault="00BE7A48" w:rsidP="00483743">
      <w:pPr>
        <w:spacing w:line="480" w:lineRule="auto"/>
        <w:rPr>
          <w:szCs w:val="24"/>
          <w:lang w:val="hr-HR"/>
        </w:rPr>
      </w:pPr>
      <w:r w:rsidRPr="00F6590B">
        <w:rPr>
          <w:szCs w:val="24"/>
          <w:lang w:val="hr-HR"/>
        </w:rPr>
        <w:t>E</w:t>
      </w:r>
      <w:r w:rsidR="00BB3EDF" w:rsidRPr="00F6590B">
        <w:rPr>
          <w:szCs w:val="24"/>
          <w:lang w:val="hr-HR"/>
        </w:rPr>
        <w:t xml:space="preserve">fikasnost suda </w:t>
      </w:r>
      <w:r w:rsidR="00B4659A" w:rsidRPr="00F6590B">
        <w:rPr>
          <w:szCs w:val="24"/>
          <w:lang w:val="hr-HR"/>
        </w:rPr>
        <w:t xml:space="preserve">teoretski bi se </w:t>
      </w:r>
      <w:r w:rsidR="00BB3EDF" w:rsidRPr="00F6590B">
        <w:rPr>
          <w:szCs w:val="24"/>
          <w:lang w:val="hr-HR"/>
        </w:rPr>
        <w:t xml:space="preserve">mogla mjeriti </w:t>
      </w:r>
      <w:r w:rsidR="009A6021" w:rsidRPr="00F6590B">
        <w:rPr>
          <w:szCs w:val="24"/>
          <w:lang w:val="hr-HR"/>
        </w:rPr>
        <w:t xml:space="preserve">agregatnim </w:t>
      </w:r>
      <w:r w:rsidRPr="00F6590B">
        <w:rPr>
          <w:szCs w:val="24"/>
          <w:lang w:val="hr-HR"/>
        </w:rPr>
        <w:t>pokazateljima</w:t>
      </w:r>
      <w:r w:rsidR="00BB3EDF" w:rsidRPr="00F6590B">
        <w:rPr>
          <w:szCs w:val="24"/>
          <w:lang w:val="hr-HR"/>
        </w:rPr>
        <w:t xml:space="preserve"> koje bi stečajne suce opisivala kroz njihovu </w:t>
      </w:r>
      <w:r w:rsidR="004C5262" w:rsidRPr="00F6590B">
        <w:rPr>
          <w:szCs w:val="24"/>
          <w:lang w:val="hr-HR"/>
        </w:rPr>
        <w:t>pojedinačno-</w:t>
      </w:r>
      <w:r w:rsidRPr="00F6590B">
        <w:rPr>
          <w:szCs w:val="24"/>
          <w:lang w:val="hr-HR"/>
        </w:rPr>
        <w:t xml:space="preserve">specifičnu </w:t>
      </w:r>
      <w:r w:rsidR="00BB3EDF" w:rsidRPr="00F6590B">
        <w:rPr>
          <w:szCs w:val="24"/>
          <w:lang w:val="hr-HR"/>
        </w:rPr>
        <w:t xml:space="preserve">motiviranost, ambicioznost, marljivost, razinu ekspertize, </w:t>
      </w:r>
      <w:r w:rsidR="001539FC" w:rsidRPr="00F6590B">
        <w:rPr>
          <w:szCs w:val="24"/>
          <w:lang w:val="hr-HR"/>
        </w:rPr>
        <w:t>količinu</w:t>
      </w:r>
      <w:r w:rsidRPr="00F6590B">
        <w:rPr>
          <w:szCs w:val="24"/>
          <w:lang w:val="hr-HR"/>
        </w:rPr>
        <w:t xml:space="preserve"> radnog iskustva, i</w:t>
      </w:r>
      <w:r w:rsidR="00D76847" w:rsidRPr="00F6590B">
        <w:rPr>
          <w:szCs w:val="24"/>
          <w:lang w:val="hr-HR"/>
        </w:rPr>
        <w:t>td</w:t>
      </w:r>
      <w:r w:rsidR="00BB3EDF" w:rsidRPr="00F6590B">
        <w:rPr>
          <w:szCs w:val="24"/>
          <w:lang w:val="hr-HR"/>
        </w:rPr>
        <w:t xml:space="preserve">. No, </w:t>
      </w:r>
      <w:r w:rsidRPr="00F6590B">
        <w:rPr>
          <w:szCs w:val="24"/>
          <w:lang w:val="hr-HR"/>
        </w:rPr>
        <w:t>navedeni pokazatelji u</w:t>
      </w:r>
      <w:r w:rsidR="00BB3EDF" w:rsidRPr="00F6590B">
        <w:rPr>
          <w:szCs w:val="24"/>
          <w:lang w:val="hr-HR"/>
        </w:rPr>
        <w:t xml:space="preserve"> Hr</w:t>
      </w:r>
      <w:r w:rsidRPr="00F6590B">
        <w:rPr>
          <w:szCs w:val="24"/>
          <w:lang w:val="hr-HR"/>
        </w:rPr>
        <w:t xml:space="preserve">vatskoj su praktično nemjerljivi, </w:t>
      </w:r>
      <w:r w:rsidR="000B37BF" w:rsidRPr="00F6590B">
        <w:rPr>
          <w:szCs w:val="24"/>
          <w:lang w:val="hr-HR"/>
        </w:rPr>
        <w:t>što onemogućuje primjenu klasičnih, jednostavnijih ekonometrijskih modela, a istraživanje vodi u slijepu ulicu, jer ako se bitna komponenta modela (efikasnost) ne može izraziti, onda je model itekako manjkav.</w:t>
      </w:r>
    </w:p>
    <w:p w14:paraId="4D7E35FD" w14:textId="1A0BB59E" w:rsidR="000B37BF" w:rsidRPr="00F6590B" w:rsidRDefault="000B37BF" w:rsidP="00483743">
      <w:pPr>
        <w:spacing w:line="480" w:lineRule="auto"/>
        <w:rPr>
          <w:szCs w:val="24"/>
          <w:lang w:val="hr-HR"/>
        </w:rPr>
      </w:pPr>
      <w:r w:rsidRPr="00F6590B">
        <w:rPr>
          <w:szCs w:val="24"/>
          <w:lang w:val="hr-HR"/>
        </w:rPr>
        <w:lastRenderedPageBreak/>
        <w:t xml:space="preserve">Na sreću, metoda analize panel podataka omogućuje kontroliranje nepromatrane heterogenosti. Premda </w:t>
      </w:r>
      <w:r w:rsidR="006A3BF7" w:rsidRPr="00F6590B">
        <w:rPr>
          <w:szCs w:val="24"/>
          <w:lang w:val="hr-HR"/>
        </w:rPr>
        <w:t xml:space="preserve">može izgledati </w:t>
      </w:r>
      <w:r w:rsidRPr="00F6590B">
        <w:rPr>
          <w:szCs w:val="24"/>
          <w:lang w:val="hr-HR"/>
        </w:rPr>
        <w:t xml:space="preserve">nelogično (kako se može </w:t>
      </w:r>
      <w:r w:rsidR="001214C0" w:rsidRPr="00F6590B">
        <w:rPr>
          <w:szCs w:val="24"/>
          <w:lang w:val="hr-HR"/>
        </w:rPr>
        <w:t xml:space="preserve">kontrolirati nešto </w:t>
      </w:r>
      <w:r w:rsidRPr="00F6590B">
        <w:rPr>
          <w:szCs w:val="24"/>
          <w:lang w:val="hr-HR"/>
        </w:rPr>
        <w:t xml:space="preserve">što se </w:t>
      </w:r>
      <w:r w:rsidR="00BE7A48" w:rsidRPr="00F6590B">
        <w:rPr>
          <w:szCs w:val="24"/>
          <w:lang w:val="hr-HR"/>
        </w:rPr>
        <w:t xml:space="preserve">praktično </w:t>
      </w:r>
      <w:r w:rsidRPr="00F6590B">
        <w:rPr>
          <w:szCs w:val="24"/>
          <w:lang w:val="hr-HR"/>
        </w:rPr>
        <w:t>ne može mjeriti</w:t>
      </w:r>
      <w:r w:rsidR="001214C0" w:rsidRPr="00F6590B">
        <w:rPr>
          <w:szCs w:val="24"/>
          <w:lang w:val="hr-HR"/>
        </w:rPr>
        <w:t>, poput motivacij</w:t>
      </w:r>
      <w:r w:rsidR="00BE7A48" w:rsidRPr="00F6590B">
        <w:rPr>
          <w:szCs w:val="24"/>
          <w:lang w:val="hr-HR"/>
        </w:rPr>
        <w:t>e</w:t>
      </w:r>
      <w:r w:rsidR="001214C0" w:rsidRPr="00F6590B">
        <w:rPr>
          <w:szCs w:val="24"/>
          <w:lang w:val="hr-HR"/>
        </w:rPr>
        <w:t xml:space="preserve"> ili </w:t>
      </w:r>
      <w:r w:rsidR="006A3BF7" w:rsidRPr="00F6590B">
        <w:rPr>
          <w:szCs w:val="24"/>
          <w:lang w:val="hr-HR"/>
        </w:rPr>
        <w:t>ambicij</w:t>
      </w:r>
      <w:r w:rsidR="00BE7A48" w:rsidRPr="00F6590B">
        <w:rPr>
          <w:szCs w:val="24"/>
          <w:lang w:val="hr-HR"/>
        </w:rPr>
        <w:t>e</w:t>
      </w:r>
      <w:r w:rsidR="0071625E" w:rsidRPr="00F6590B">
        <w:rPr>
          <w:szCs w:val="24"/>
          <w:lang w:val="hr-HR"/>
        </w:rPr>
        <w:t>?</w:t>
      </w:r>
      <w:r w:rsidRPr="00F6590B">
        <w:rPr>
          <w:szCs w:val="24"/>
          <w:lang w:val="hr-HR"/>
        </w:rPr>
        <w:t>)</w:t>
      </w:r>
      <w:r w:rsidR="006A3BF7" w:rsidRPr="00F6590B">
        <w:rPr>
          <w:szCs w:val="24"/>
          <w:lang w:val="hr-HR"/>
        </w:rPr>
        <w:t>, analiza panel podataka može se nositi s ovim izazovom stoga što objekt interesa (sud) promatra kroz više vremenskih razdoblja.</w:t>
      </w:r>
      <w:r w:rsidR="00381AF0" w:rsidRPr="00F6590B">
        <w:rPr>
          <w:szCs w:val="24"/>
          <w:lang w:val="hr-HR"/>
        </w:rPr>
        <w:t xml:space="preserve"> Ako se nepromatrana varijabla ne mijenja kroz vrijeme tada se svaka promjena u zavisnoj varijabli mora događati zbog utjecaja koji nisu sadržani u fiksnim karakteristikama. Jednostavnije rečeno, ako sud </w:t>
      </w:r>
      <w:r w:rsidR="00381AF0" w:rsidRPr="00F6590B">
        <w:rPr>
          <w:i/>
          <w:szCs w:val="24"/>
          <w:lang w:val="hr-HR"/>
        </w:rPr>
        <w:t>i</w:t>
      </w:r>
      <w:r w:rsidR="00381AF0" w:rsidRPr="00F6590B">
        <w:rPr>
          <w:szCs w:val="24"/>
          <w:lang w:val="hr-HR"/>
        </w:rPr>
        <w:t xml:space="preserve"> karakterizira </w:t>
      </w:r>
      <w:r w:rsidR="002E0A66" w:rsidRPr="00F6590B">
        <w:rPr>
          <w:szCs w:val="24"/>
          <w:lang w:val="hr-HR"/>
        </w:rPr>
        <w:t xml:space="preserve">specifična </w:t>
      </w:r>
      <w:r w:rsidR="00381AF0" w:rsidRPr="00F6590B">
        <w:rPr>
          <w:szCs w:val="24"/>
          <w:lang w:val="hr-HR"/>
        </w:rPr>
        <w:t xml:space="preserve">činjenica da je </w:t>
      </w:r>
      <w:r w:rsidR="002E0A66" w:rsidRPr="00F6590B">
        <w:rPr>
          <w:szCs w:val="24"/>
          <w:lang w:val="hr-HR"/>
        </w:rPr>
        <w:t xml:space="preserve">on </w:t>
      </w:r>
      <w:r w:rsidR="00381AF0" w:rsidRPr="00F6590B">
        <w:rPr>
          <w:szCs w:val="24"/>
          <w:lang w:val="hr-HR"/>
        </w:rPr>
        <w:t>efikas</w:t>
      </w:r>
      <w:r w:rsidR="0071625E" w:rsidRPr="00F6590B">
        <w:rPr>
          <w:szCs w:val="24"/>
          <w:lang w:val="hr-HR"/>
        </w:rPr>
        <w:t>niji od prosjeka</w:t>
      </w:r>
      <w:r w:rsidR="00381AF0" w:rsidRPr="00F6590B">
        <w:rPr>
          <w:szCs w:val="24"/>
          <w:lang w:val="hr-HR"/>
        </w:rPr>
        <w:t xml:space="preserve"> u rješavanju predmeta, </w:t>
      </w:r>
      <w:r w:rsidR="002E0A66" w:rsidRPr="00F6590B">
        <w:rPr>
          <w:szCs w:val="24"/>
          <w:lang w:val="hr-HR"/>
        </w:rPr>
        <w:t>a</w:t>
      </w:r>
      <w:r w:rsidR="00381AF0" w:rsidRPr="00F6590B">
        <w:rPr>
          <w:szCs w:val="24"/>
          <w:lang w:val="hr-HR"/>
        </w:rPr>
        <w:t xml:space="preserve"> ova njegova odlika je stabilna kroz vrijeme, tada se ova karakteristika ne mora mjeriti, odnosno ne mora biti uključena u model. Dakle, ako je sud </w:t>
      </w:r>
      <w:r w:rsidR="00F43F98" w:rsidRPr="00F6590B">
        <w:rPr>
          <w:i/>
          <w:szCs w:val="24"/>
          <w:lang w:val="hr-HR"/>
        </w:rPr>
        <w:t>i</w:t>
      </w:r>
      <w:r w:rsidR="00F43F98" w:rsidRPr="00F6590B">
        <w:rPr>
          <w:szCs w:val="24"/>
          <w:lang w:val="hr-HR"/>
        </w:rPr>
        <w:t xml:space="preserve"> </w:t>
      </w:r>
      <w:r w:rsidR="00381AF0" w:rsidRPr="00F6590B">
        <w:rPr>
          <w:szCs w:val="24"/>
          <w:lang w:val="hr-HR"/>
        </w:rPr>
        <w:t xml:space="preserve">nadprosječno efikasan u jednom razdoblju, takav će </w:t>
      </w:r>
      <w:r w:rsidR="00F43F98" w:rsidRPr="00F6590B">
        <w:rPr>
          <w:szCs w:val="24"/>
          <w:lang w:val="hr-HR"/>
        </w:rPr>
        <w:t xml:space="preserve">biti i u </w:t>
      </w:r>
      <w:r w:rsidR="0071625E" w:rsidRPr="00F6590B">
        <w:rPr>
          <w:szCs w:val="24"/>
          <w:lang w:val="hr-HR"/>
        </w:rPr>
        <w:t>ostalima</w:t>
      </w:r>
      <w:r w:rsidR="00F43F98" w:rsidRPr="00F6590B">
        <w:rPr>
          <w:szCs w:val="24"/>
          <w:lang w:val="hr-HR"/>
        </w:rPr>
        <w:t xml:space="preserve"> (ima fiksni učinak), a </w:t>
      </w:r>
      <w:r w:rsidR="002E0A66" w:rsidRPr="00F6590B">
        <w:rPr>
          <w:szCs w:val="24"/>
          <w:lang w:val="hr-HR"/>
        </w:rPr>
        <w:t xml:space="preserve">variranje </w:t>
      </w:r>
      <w:r w:rsidR="00F43F98" w:rsidRPr="00F6590B">
        <w:rPr>
          <w:szCs w:val="24"/>
          <w:lang w:val="hr-HR"/>
        </w:rPr>
        <w:t>broj</w:t>
      </w:r>
      <w:r w:rsidR="002E0A66" w:rsidRPr="00F6590B">
        <w:rPr>
          <w:szCs w:val="24"/>
          <w:lang w:val="hr-HR"/>
        </w:rPr>
        <w:t>a</w:t>
      </w:r>
      <w:r w:rsidR="00F43F98" w:rsidRPr="00F6590B">
        <w:rPr>
          <w:szCs w:val="24"/>
          <w:lang w:val="hr-HR"/>
        </w:rPr>
        <w:t xml:space="preserve"> riješenih predmeta ovisit će o preostalim varijablama koje </w:t>
      </w:r>
      <w:r w:rsidR="002E0A66" w:rsidRPr="00F6590B">
        <w:rPr>
          <w:szCs w:val="24"/>
          <w:lang w:val="hr-HR"/>
        </w:rPr>
        <w:t>su uključene i za koje podatci postoje</w:t>
      </w:r>
      <w:r w:rsidR="00F43F98" w:rsidRPr="00F6590B">
        <w:rPr>
          <w:szCs w:val="24"/>
          <w:lang w:val="hr-HR"/>
        </w:rPr>
        <w:t>.</w:t>
      </w:r>
    </w:p>
    <w:p w14:paraId="342661C0" w14:textId="4A1E8C74" w:rsidR="00F43F98" w:rsidRPr="00F6590B" w:rsidRDefault="00F43F98" w:rsidP="00483743">
      <w:pPr>
        <w:spacing w:line="480" w:lineRule="auto"/>
        <w:rPr>
          <w:szCs w:val="24"/>
          <w:lang w:val="hr-HR"/>
        </w:rPr>
      </w:pPr>
      <w:r w:rsidRPr="00F6590B">
        <w:rPr>
          <w:szCs w:val="24"/>
          <w:lang w:val="hr-HR"/>
        </w:rPr>
        <w:t xml:space="preserve">Jasno, moguće je da su sudovi podjednako efikasni, odnosno da njihova efikasnost varira kroz vrijeme, kao i da je njihova nepromatrana heterogenost nasumična. Sve navedene mogućnosti testirat će se različitim specifikacijama </w:t>
      </w:r>
      <w:r w:rsidR="00BE7A48" w:rsidRPr="00F6590B">
        <w:rPr>
          <w:szCs w:val="24"/>
          <w:lang w:val="hr-HR"/>
        </w:rPr>
        <w:t xml:space="preserve">modela panel podataka: </w:t>
      </w:r>
      <w:proofErr w:type="spellStart"/>
      <w:r w:rsidR="00BE7A48" w:rsidRPr="00F6590B">
        <w:rPr>
          <w:i/>
          <w:szCs w:val="24"/>
          <w:lang w:val="hr-HR"/>
        </w:rPr>
        <w:t>pooled</w:t>
      </w:r>
      <w:proofErr w:type="spellEnd"/>
      <w:r w:rsidR="00BE7A48" w:rsidRPr="00F6590B">
        <w:rPr>
          <w:i/>
          <w:szCs w:val="24"/>
          <w:lang w:val="hr-HR"/>
        </w:rPr>
        <w:t xml:space="preserve"> OLS</w:t>
      </w:r>
      <w:r w:rsidR="00BE7A48" w:rsidRPr="00F6590B">
        <w:rPr>
          <w:szCs w:val="24"/>
          <w:lang w:val="hr-HR"/>
        </w:rPr>
        <w:t xml:space="preserve"> modelom, </w:t>
      </w:r>
      <w:r w:rsidR="001539FC" w:rsidRPr="00F6590B">
        <w:rPr>
          <w:szCs w:val="24"/>
          <w:lang w:val="hr-HR"/>
        </w:rPr>
        <w:t>te</w:t>
      </w:r>
      <w:r w:rsidR="00BE7A48" w:rsidRPr="00F6590B">
        <w:rPr>
          <w:szCs w:val="24"/>
          <w:lang w:val="hr-HR"/>
        </w:rPr>
        <w:t xml:space="preserve"> modelima s fiksnim i nasumičnim učincima.</w:t>
      </w:r>
    </w:p>
    <w:p w14:paraId="0B8B9CF2" w14:textId="744BA074" w:rsidR="007E7289" w:rsidRPr="00F6590B" w:rsidRDefault="001C3A23" w:rsidP="00483743">
      <w:pPr>
        <w:spacing w:line="480" w:lineRule="auto"/>
        <w:rPr>
          <w:szCs w:val="24"/>
          <w:lang w:val="hr-HR"/>
        </w:rPr>
      </w:pPr>
      <w:r w:rsidRPr="00E93A03">
        <w:rPr>
          <w:szCs w:val="24"/>
          <w:lang w:val="hr-HR"/>
        </w:rPr>
        <w:t xml:space="preserve">Generalno, </w:t>
      </w:r>
      <w:proofErr w:type="spellStart"/>
      <w:r w:rsidRPr="00E93A03">
        <w:rPr>
          <w:i/>
          <w:szCs w:val="24"/>
          <w:lang w:val="hr-HR"/>
        </w:rPr>
        <w:t>po</w:t>
      </w:r>
      <w:r w:rsidR="00F23820" w:rsidRPr="00E93A03">
        <w:rPr>
          <w:i/>
          <w:szCs w:val="24"/>
          <w:lang w:val="hr-HR"/>
        </w:rPr>
        <w:t>oled</w:t>
      </w:r>
      <w:proofErr w:type="spellEnd"/>
      <w:r w:rsidR="00F23820" w:rsidRPr="00E93A03">
        <w:rPr>
          <w:szCs w:val="24"/>
          <w:lang w:val="hr-HR"/>
        </w:rPr>
        <w:t xml:space="preserve"> OLS model </w:t>
      </w:r>
      <w:r w:rsidR="00EA3897" w:rsidRPr="00E93A03">
        <w:rPr>
          <w:szCs w:val="24"/>
          <w:lang w:val="hr-HR"/>
        </w:rPr>
        <w:t>primjenjuje metodu najmanjih kvadrata (</w:t>
      </w:r>
      <w:proofErr w:type="spellStart"/>
      <w:r w:rsidR="00EA3897" w:rsidRPr="00E93A03">
        <w:rPr>
          <w:i/>
          <w:szCs w:val="24"/>
          <w:lang w:val="hr-HR"/>
        </w:rPr>
        <w:t>Ordinary</w:t>
      </w:r>
      <w:proofErr w:type="spellEnd"/>
      <w:r w:rsidR="00EA3897" w:rsidRPr="00E93A03">
        <w:rPr>
          <w:i/>
          <w:szCs w:val="24"/>
          <w:lang w:val="hr-HR"/>
        </w:rPr>
        <w:t xml:space="preserve"> </w:t>
      </w:r>
      <w:proofErr w:type="spellStart"/>
      <w:r w:rsidR="00EA3897" w:rsidRPr="00E93A03">
        <w:rPr>
          <w:i/>
          <w:szCs w:val="24"/>
          <w:lang w:val="hr-HR"/>
        </w:rPr>
        <w:t>Least</w:t>
      </w:r>
      <w:proofErr w:type="spellEnd"/>
      <w:r w:rsidR="00EA3897" w:rsidRPr="00F6590B">
        <w:rPr>
          <w:i/>
          <w:szCs w:val="24"/>
          <w:lang w:val="hr-HR"/>
        </w:rPr>
        <w:t xml:space="preserve"> </w:t>
      </w:r>
      <w:proofErr w:type="spellStart"/>
      <w:r w:rsidR="00EA3897" w:rsidRPr="00F6590B">
        <w:rPr>
          <w:i/>
          <w:szCs w:val="24"/>
          <w:lang w:val="hr-HR"/>
        </w:rPr>
        <w:t>Squares</w:t>
      </w:r>
      <w:proofErr w:type="spellEnd"/>
      <w:r w:rsidR="00EA3897" w:rsidRPr="00F6590B">
        <w:rPr>
          <w:szCs w:val="24"/>
          <w:lang w:val="hr-HR"/>
        </w:rPr>
        <w:t xml:space="preserve">) na </w:t>
      </w:r>
      <w:r w:rsidR="003340D7">
        <w:rPr>
          <w:szCs w:val="24"/>
          <w:lang w:val="hr-HR"/>
        </w:rPr>
        <w:t>ukupnom</w:t>
      </w:r>
      <w:r w:rsidR="00EA3897" w:rsidRPr="00F6590B">
        <w:rPr>
          <w:szCs w:val="24"/>
          <w:lang w:val="hr-HR"/>
        </w:rPr>
        <w:t xml:space="preserve"> nizu podataka, jer se sve promatrane veličine stavljaju u istu grupu (</w:t>
      </w:r>
      <w:proofErr w:type="spellStart"/>
      <w:r w:rsidR="00EA3897" w:rsidRPr="00F6590B">
        <w:rPr>
          <w:i/>
          <w:szCs w:val="24"/>
          <w:lang w:val="hr-HR"/>
        </w:rPr>
        <w:t>pool</w:t>
      </w:r>
      <w:proofErr w:type="spellEnd"/>
      <w:r w:rsidR="00EA3897" w:rsidRPr="00F6590B">
        <w:rPr>
          <w:szCs w:val="24"/>
          <w:lang w:val="hr-HR"/>
        </w:rPr>
        <w:t xml:space="preserve">). Implicitno, model pretpostavlja kako su koeficijenti (uključujući konstantu) jednaki za sve objekte promatranja. </w:t>
      </w:r>
      <w:r>
        <w:rPr>
          <w:szCs w:val="24"/>
          <w:lang w:val="hr-HR"/>
        </w:rPr>
        <w:t xml:space="preserve">Pri tome se </w:t>
      </w:r>
      <w:proofErr w:type="spellStart"/>
      <w:r w:rsidRPr="001C3A23">
        <w:rPr>
          <w:i/>
          <w:szCs w:val="24"/>
          <w:lang w:val="hr-HR"/>
        </w:rPr>
        <w:t>pooled</w:t>
      </w:r>
      <w:proofErr w:type="spellEnd"/>
      <w:r w:rsidRPr="001C3A23">
        <w:rPr>
          <w:i/>
          <w:szCs w:val="24"/>
          <w:lang w:val="hr-HR"/>
        </w:rPr>
        <w:t xml:space="preserve"> OLS</w:t>
      </w:r>
      <w:r>
        <w:rPr>
          <w:szCs w:val="24"/>
          <w:lang w:val="hr-HR"/>
        </w:rPr>
        <w:t xml:space="preserve"> drži </w:t>
      </w:r>
      <w:r w:rsidRPr="001C3A23">
        <w:rPr>
          <w:szCs w:val="24"/>
          <w:lang w:val="hr-HR"/>
        </w:rPr>
        <w:t>pet osnovnih pretpostavki</w:t>
      </w:r>
      <w:r>
        <w:rPr>
          <w:rStyle w:val="FootnoteReference"/>
          <w:szCs w:val="24"/>
          <w:lang w:val="hr-HR"/>
        </w:rPr>
        <w:footnoteReference w:id="9"/>
      </w:r>
      <w:r w:rsidRPr="001C3A23">
        <w:rPr>
          <w:szCs w:val="24"/>
          <w:lang w:val="hr-HR"/>
        </w:rPr>
        <w:t xml:space="preserve">: a) linearnost, b) egzogenost, c) </w:t>
      </w:r>
      <w:proofErr w:type="spellStart"/>
      <w:r w:rsidRPr="001C3A23">
        <w:rPr>
          <w:szCs w:val="24"/>
          <w:lang w:val="hr-HR"/>
        </w:rPr>
        <w:t>homosk</w:t>
      </w:r>
      <w:r>
        <w:rPr>
          <w:szCs w:val="24"/>
          <w:lang w:val="hr-HR"/>
        </w:rPr>
        <w:t>e</w:t>
      </w:r>
      <w:r w:rsidRPr="001C3A23">
        <w:rPr>
          <w:szCs w:val="24"/>
          <w:lang w:val="hr-HR"/>
        </w:rPr>
        <w:t>dastičnost</w:t>
      </w:r>
      <w:proofErr w:type="spellEnd"/>
      <w:r w:rsidRPr="001C3A23">
        <w:rPr>
          <w:szCs w:val="24"/>
          <w:lang w:val="hr-HR"/>
        </w:rPr>
        <w:t xml:space="preserve"> i ne-</w:t>
      </w:r>
      <w:proofErr w:type="spellStart"/>
      <w:r w:rsidRPr="001C3A23">
        <w:rPr>
          <w:szCs w:val="24"/>
          <w:lang w:val="hr-HR"/>
        </w:rPr>
        <w:t>autokoreliranost</w:t>
      </w:r>
      <w:proofErr w:type="spellEnd"/>
      <w:r w:rsidRPr="001C3A23">
        <w:rPr>
          <w:szCs w:val="24"/>
          <w:lang w:val="hr-HR"/>
        </w:rPr>
        <w:t xml:space="preserve">, d) </w:t>
      </w:r>
      <w:proofErr w:type="spellStart"/>
      <w:r w:rsidRPr="001C3A23">
        <w:rPr>
          <w:szCs w:val="24"/>
          <w:lang w:val="hr-HR"/>
        </w:rPr>
        <w:t>nestohastičnost</w:t>
      </w:r>
      <w:proofErr w:type="spellEnd"/>
      <w:r w:rsidRPr="001C3A23">
        <w:rPr>
          <w:szCs w:val="24"/>
          <w:lang w:val="hr-HR"/>
        </w:rPr>
        <w:t xml:space="preserve"> nezavisnih varijabli,</w:t>
      </w:r>
      <w:r>
        <w:rPr>
          <w:szCs w:val="24"/>
          <w:lang w:val="hr-HR"/>
        </w:rPr>
        <w:t xml:space="preserve"> i</w:t>
      </w:r>
      <w:r w:rsidRPr="001C3A23">
        <w:rPr>
          <w:szCs w:val="24"/>
          <w:lang w:val="hr-HR"/>
        </w:rPr>
        <w:t xml:space="preserve"> e) ne-</w:t>
      </w:r>
      <w:proofErr w:type="spellStart"/>
      <w:r w:rsidRPr="001C3A23">
        <w:rPr>
          <w:szCs w:val="24"/>
          <w:lang w:val="hr-HR"/>
        </w:rPr>
        <w:t>multikolinearnost</w:t>
      </w:r>
      <w:proofErr w:type="spellEnd"/>
      <w:r w:rsidRPr="001C3A23">
        <w:rPr>
          <w:szCs w:val="24"/>
          <w:lang w:val="hr-HR"/>
        </w:rPr>
        <w:t>.</w:t>
      </w:r>
      <w:r>
        <w:rPr>
          <w:szCs w:val="24"/>
          <w:lang w:val="hr-HR"/>
        </w:rPr>
        <w:t xml:space="preserve"> </w:t>
      </w:r>
      <w:r w:rsidR="00EA3897" w:rsidRPr="00F6590B">
        <w:rPr>
          <w:szCs w:val="24"/>
          <w:lang w:val="hr-HR"/>
        </w:rPr>
        <w:t xml:space="preserve">Općenito, </w:t>
      </w:r>
      <w:proofErr w:type="spellStart"/>
      <w:r w:rsidR="00EA3897" w:rsidRPr="00F6590B">
        <w:rPr>
          <w:i/>
          <w:szCs w:val="24"/>
          <w:lang w:val="hr-HR"/>
        </w:rPr>
        <w:t>pooled</w:t>
      </w:r>
      <w:proofErr w:type="spellEnd"/>
      <w:r w:rsidR="00EA3897" w:rsidRPr="00F6590B">
        <w:rPr>
          <w:szCs w:val="24"/>
          <w:lang w:val="hr-HR"/>
        </w:rPr>
        <w:t xml:space="preserve"> OLS izražava se u sljedećoj formi:</w:t>
      </w:r>
    </w:p>
    <w:p w14:paraId="69F36DC7" w14:textId="0F0F5AE8" w:rsidR="00EA3897" w:rsidRDefault="00EA3897" w:rsidP="00EA3897">
      <w:pPr>
        <w:spacing w:line="480" w:lineRule="auto"/>
        <w:ind w:firstLine="0"/>
        <w:rPr>
          <w:szCs w:val="24"/>
          <w:lang w:val="hr-HR"/>
        </w:rPr>
      </w:pPr>
      <w:proofErr w:type="spellStart"/>
      <w:r w:rsidRPr="00382602">
        <w:rPr>
          <w:rFonts w:cs="Times New Roman"/>
          <w:i/>
          <w:szCs w:val="24"/>
          <w:lang w:val="hr-HR"/>
        </w:rPr>
        <w:t>Y</w:t>
      </w:r>
      <w:r w:rsidRPr="00382602">
        <w:rPr>
          <w:rFonts w:cs="Times New Roman"/>
          <w:i/>
          <w:szCs w:val="24"/>
          <w:vertAlign w:val="subscript"/>
          <w:lang w:val="hr-HR"/>
        </w:rPr>
        <w:t>it</w:t>
      </w:r>
      <w:proofErr w:type="spellEnd"/>
      <w:r w:rsidRPr="00382602">
        <w:rPr>
          <w:rFonts w:cs="Times New Roman"/>
          <w:i/>
          <w:szCs w:val="24"/>
          <w:lang w:val="hr-HR"/>
        </w:rPr>
        <w:t xml:space="preserve"> = β</w:t>
      </w:r>
      <w:r w:rsidRPr="00382602">
        <w:rPr>
          <w:rFonts w:cs="Times New Roman"/>
          <w:szCs w:val="24"/>
          <w:vertAlign w:val="subscript"/>
          <w:lang w:val="hr-HR"/>
        </w:rPr>
        <w:t>0</w:t>
      </w:r>
      <w:r w:rsidRPr="00382602">
        <w:rPr>
          <w:rFonts w:cs="Times New Roman"/>
          <w:i/>
          <w:szCs w:val="24"/>
          <w:lang w:val="hr-HR"/>
        </w:rPr>
        <w:t xml:space="preserve"> + β</w:t>
      </w:r>
      <w:r w:rsidRPr="00382602">
        <w:rPr>
          <w:rFonts w:cs="Times New Roman"/>
          <w:szCs w:val="24"/>
          <w:vertAlign w:val="subscript"/>
          <w:lang w:val="hr-HR"/>
        </w:rPr>
        <w:t>1</w:t>
      </w:r>
      <w:r w:rsidRPr="00382602">
        <w:rPr>
          <w:rFonts w:cs="Times New Roman"/>
          <w:i/>
          <w:szCs w:val="24"/>
          <w:lang w:val="hr-HR"/>
        </w:rPr>
        <w:t>X</w:t>
      </w:r>
      <w:r w:rsidRPr="00382602">
        <w:rPr>
          <w:rFonts w:cs="Times New Roman"/>
          <w:szCs w:val="24"/>
          <w:vertAlign w:val="subscript"/>
          <w:lang w:val="hr-HR"/>
        </w:rPr>
        <w:t>1</w:t>
      </w:r>
      <w:r w:rsidRPr="00382602">
        <w:rPr>
          <w:rFonts w:cs="Times New Roman"/>
          <w:i/>
          <w:szCs w:val="24"/>
          <w:vertAlign w:val="subscript"/>
          <w:lang w:val="hr-HR"/>
        </w:rPr>
        <w:t xml:space="preserve">it </w:t>
      </w:r>
      <w:r w:rsidRPr="00382602">
        <w:rPr>
          <w:rFonts w:cs="Times New Roman"/>
          <w:i/>
          <w:szCs w:val="24"/>
          <w:lang w:val="hr-HR"/>
        </w:rPr>
        <w:t xml:space="preserve">+… + </w:t>
      </w:r>
      <w:proofErr w:type="spellStart"/>
      <w:r w:rsidRPr="00382602">
        <w:rPr>
          <w:rFonts w:cs="Times New Roman"/>
          <w:i/>
          <w:szCs w:val="24"/>
          <w:lang w:val="hr-HR"/>
        </w:rPr>
        <w:t>β</w:t>
      </w:r>
      <w:r w:rsidRPr="00382602">
        <w:rPr>
          <w:rFonts w:cs="Times New Roman"/>
          <w:szCs w:val="24"/>
          <w:vertAlign w:val="subscript"/>
          <w:lang w:val="hr-HR"/>
        </w:rPr>
        <w:t>k</w:t>
      </w:r>
      <w:r w:rsidRPr="00382602">
        <w:rPr>
          <w:rFonts w:cs="Times New Roman"/>
          <w:i/>
          <w:szCs w:val="24"/>
          <w:lang w:val="hr-HR"/>
        </w:rPr>
        <w:t>X</w:t>
      </w:r>
      <w:r w:rsidRPr="00382602">
        <w:rPr>
          <w:rFonts w:cs="Times New Roman"/>
          <w:i/>
          <w:szCs w:val="24"/>
          <w:vertAlign w:val="subscript"/>
          <w:lang w:val="hr-HR"/>
        </w:rPr>
        <w:t>kit</w:t>
      </w:r>
      <w:proofErr w:type="spellEnd"/>
      <w:r w:rsidRPr="00382602">
        <w:rPr>
          <w:rFonts w:cs="Times New Roman"/>
          <w:i/>
          <w:szCs w:val="24"/>
          <w:lang w:val="hr-HR"/>
        </w:rPr>
        <w:t xml:space="preserve"> + </w:t>
      </w:r>
      <w:proofErr w:type="spellStart"/>
      <w:r w:rsidRPr="00382602">
        <w:rPr>
          <w:rFonts w:cs="Times New Roman"/>
          <w:i/>
          <w:szCs w:val="24"/>
          <w:lang w:val="hr-HR"/>
        </w:rPr>
        <w:t>ϵ</w:t>
      </w:r>
      <w:r w:rsidRPr="00382602">
        <w:rPr>
          <w:rFonts w:cs="Times New Roman"/>
          <w:i/>
          <w:szCs w:val="24"/>
          <w:vertAlign w:val="subscript"/>
          <w:lang w:val="hr-HR"/>
        </w:rPr>
        <w:t>it</w:t>
      </w:r>
      <w:proofErr w:type="spellEnd"/>
      <w:r w:rsidRPr="00382602">
        <w:rPr>
          <w:rFonts w:cs="Times New Roman"/>
          <w:szCs w:val="24"/>
          <w:lang w:val="hr-HR"/>
        </w:rPr>
        <w:t xml:space="preserve"> , gdje </w:t>
      </w:r>
      <w:r w:rsidRPr="00382602">
        <w:rPr>
          <w:rFonts w:cs="Times New Roman"/>
          <w:i/>
          <w:szCs w:val="24"/>
          <w:lang w:val="hr-HR"/>
        </w:rPr>
        <w:t>i</w:t>
      </w:r>
      <w:r w:rsidRPr="00382602">
        <w:rPr>
          <w:rFonts w:cs="Times New Roman"/>
          <w:szCs w:val="24"/>
          <w:lang w:val="hr-HR"/>
        </w:rPr>
        <w:t xml:space="preserve"> = 1,…N, </w:t>
      </w:r>
      <w:r w:rsidRPr="00382602">
        <w:rPr>
          <w:rFonts w:cs="Times New Roman"/>
          <w:i/>
          <w:szCs w:val="24"/>
          <w:lang w:val="hr-HR"/>
        </w:rPr>
        <w:t>t</w:t>
      </w:r>
      <w:r w:rsidRPr="00382602">
        <w:rPr>
          <w:rFonts w:cs="Times New Roman"/>
          <w:szCs w:val="24"/>
          <w:lang w:val="hr-HR"/>
        </w:rPr>
        <w:t xml:space="preserve"> = 1,…N</w:t>
      </w:r>
      <w:r w:rsidR="00382602" w:rsidRPr="00382602">
        <w:rPr>
          <w:rFonts w:cs="Times New Roman"/>
          <w:szCs w:val="24"/>
          <w:lang w:val="hr-HR"/>
        </w:rPr>
        <w:t xml:space="preserve">, </w:t>
      </w:r>
      <w:proofErr w:type="spellStart"/>
      <w:r w:rsidR="00382602" w:rsidRPr="00382602">
        <w:rPr>
          <w:rFonts w:cs="Times New Roman"/>
          <w:i/>
          <w:szCs w:val="24"/>
          <w:lang w:val="hr-HR"/>
        </w:rPr>
        <w:t>u</w:t>
      </w:r>
      <w:r w:rsidR="00382602" w:rsidRPr="00382602">
        <w:rPr>
          <w:rFonts w:cs="Times New Roman"/>
          <w:i/>
          <w:szCs w:val="24"/>
          <w:vertAlign w:val="subscript"/>
          <w:lang w:val="hr-HR"/>
        </w:rPr>
        <w:t>i</w:t>
      </w:r>
      <w:r w:rsidR="001C3A23">
        <w:rPr>
          <w:rFonts w:cs="Times New Roman"/>
          <w:i/>
          <w:szCs w:val="24"/>
          <w:vertAlign w:val="subscript"/>
          <w:lang w:val="hr-HR"/>
        </w:rPr>
        <w:t>t</w:t>
      </w:r>
      <w:proofErr w:type="spellEnd"/>
      <w:r w:rsidR="00382602" w:rsidRPr="00382602">
        <w:rPr>
          <w:rFonts w:cs="Times New Roman"/>
          <w:szCs w:val="24"/>
          <w:lang w:val="hr-HR"/>
        </w:rPr>
        <w:t xml:space="preserve"> = 0.</w:t>
      </w:r>
      <w:r w:rsidRPr="00382602">
        <w:rPr>
          <w:rFonts w:cs="Times New Roman"/>
          <w:szCs w:val="24"/>
          <w:lang w:val="hr-HR"/>
        </w:rPr>
        <w:tab/>
      </w:r>
      <w:r w:rsidR="00086D65" w:rsidRPr="00382602">
        <w:rPr>
          <w:rFonts w:cs="Times New Roman"/>
          <w:szCs w:val="24"/>
          <w:lang w:val="hr-HR"/>
        </w:rPr>
        <w:tab/>
      </w:r>
      <w:r w:rsidRPr="00F6590B">
        <w:rPr>
          <w:szCs w:val="24"/>
          <w:lang w:val="hr-HR"/>
        </w:rPr>
        <w:tab/>
        <w:t>{2}</w:t>
      </w:r>
    </w:p>
    <w:p w14:paraId="6C8BED00" w14:textId="11FC302C" w:rsidR="001C3A23" w:rsidRPr="00F6590B" w:rsidRDefault="001C3A23" w:rsidP="001C3A23">
      <w:pPr>
        <w:spacing w:line="480" w:lineRule="auto"/>
        <w:ind w:firstLine="0"/>
        <w:rPr>
          <w:szCs w:val="24"/>
          <w:lang w:val="hr-HR"/>
        </w:rPr>
      </w:pPr>
      <w:r>
        <w:rPr>
          <w:szCs w:val="24"/>
          <w:lang w:val="hr-HR"/>
        </w:rPr>
        <w:tab/>
      </w:r>
    </w:p>
    <w:p w14:paraId="777BB26C" w14:textId="3F88D4F0" w:rsidR="00086D65" w:rsidRPr="00F6590B" w:rsidRDefault="003340D7" w:rsidP="00086D65">
      <w:pPr>
        <w:spacing w:line="480" w:lineRule="auto"/>
        <w:rPr>
          <w:szCs w:val="24"/>
          <w:lang w:val="hr-HR"/>
        </w:rPr>
      </w:pPr>
      <w:r>
        <w:rPr>
          <w:szCs w:val="24"/>
          <w:lang w:val="hr-HR"/>
        </w:rPr>
        <w:lastRenderedPageBreak/>
        <w:t>Kod m</w:t>
      </w:r>
      <w:r w:rsidR="00F23820" w:rsidRPr="003340D7">
        <w:rPr>
          <w:szCs w:val="24"/>
          <w:lang w:val="hr-HR"/>
        </w:rPr>
        <w:t>odel</w:t>
      </w:r>
      <w:r>
        <w:rPr>
          <w:szCs w:val="24"/>
          <w:lang w:val="hr-HR"/>
        </w:rPr>
        <w:t>a</w:t>
      </w:r>
      <w:r w:rsidR="00F23820" w:rsidRPr="003340D7">
        <w:rPr>
          <w:szCs w:val="24"/>
          <w:lang w:val="hr-HR"/>
        </w:rPr>
        <w:t xml:space="preserve"> s fiksnim učincima (</w:t>
      </w:r>
      <w:r w:rsidR="00F23820" w:rsidRPr="003340D7">
        <w:rPr>
          <w:i/>
          <w:szCs w:val="24"/>
          <w:lang w:val="hr-HR"/>
        </w:rPr>
        <w:t xml:space="preserve">panel </w:t>
      </w:r>
      <w:proofErr w:type="spellStart"/>
      <w:r w:rsidR="00F23820" w:rsidRPr="003340D7">
        <w:rPr>
          <w:i/>
          <w:szCs w:val="24"/>
          <w:lang w:val="hr-HR"/>
        </w:rPr>
        <w:t>data</w:t>
      </w:r>
      <w:proofErr w:type="spellEnd"/>
      <w:r w:rsidR="00F23820" w:rsidRPr="003340D7">
        <w:rPr>
          <w:i/>
          <w:szCs w:val="24"/>
          <w:lang w:val="hr-HR"/>
        </w:rPr>
        <w:t xml:space="preserve"> </w:t>
      </w:r>
      <w:proofErr w:type="spellStart"/>
      <w:r w:rsidR="00F23820" w:rsidRPr="003340D7">
        <w:rPr>
          <w:i/>
          <w:szCs w:val="24"/>
          <w:lang w:val="hr-HR"/>
        </w:rPr>
        <w:t>with</w:t>
      </w:r>
      <w:proofErr w:type="spellEnd"/>
      <w:r w:rsidR="00F23820" w:rsidRPr="003340D7">
        <w:rPr>
          <w:i/>
          <w:szCs w:val="24"/>
          <w:lang w:val="hr-HR"/>
        </w:rPr>
        <w:t xml:space="preserve"> </w:t>
      </w:r>
      <w:proofErr w:type="spellStart"/>
      <w:r w:rsidR="00F23820" w:rsidRPr="003340D7">
        <w:rPr>
          <w:i/>
          <w:szCs w:val="24"/>
          <w:lang w:val="hr-HR"/>
        </w:rPr>
        <w:t>fixed</w:t>
      </w:r>
      <w:proofErr w:type="spellEnd"/>
      <w:r w:rsidR="00F23820" w:rsidRPr="003340D7">
        <w:rPr>
          <w:i/>
          <w:szCs w:val="24"/>
          <w:lang w:val="hr-HR"/>
        </w:rPr>
        <w:t xml:space="preserve"> </w:t>
      </w:r>
      <w:proofErr w:type="spellStart"/>
      <w:r w:rsidR="00F23820" w:rsidRPr="003340D7">
        <w:rPr>
          <w:i/>
          <w:szCs w:val="24"/>
          <w:lang w:val="hr-HR"/>
        </w:rPr>
        <w:t>effects</w:t>
      </w:r>
      <w:proofErr w:type="spellEnd"/>
      <w:r w:rsidR="00F23820" w:rsidRPr="003340D7">
        <w:rPr>
          <w:szCs w:val="24"/>
          <w:lang w:val="hr-HR"/>
        </w:rPr>
        <w:t>)</w:t>
      </w:r>
      <w:r>
        <w:rPr>
          <w:szCs w:val="24"/>
          <w:lang w:val="hr-HR"/>
        </w:rPr>
        <w:t xml:space="preserve"> </w:t>
      </w:r>
      <w:r w:rsidRPr="003340D7">
        <w:rPr>
          <w:szCs w:val="24"/>
          <w:lang w:val="hr-HR"/>
        </w:rPr>
        <w:t>ispituju se individualne razlike u konstantama, pretpostavljajući iste nagibe i konstantnu varijancu kroz grupe.</w:t>
      </w:r>
      <w:r>
        <w:rPr>
          <w:szCs w:val="24"/>
          <w:lang w:val="hr-HR"/>
        </w:rPr>
        <w:t xml:space="preserve"> </w:t>
      </w:r>
      <w:r w:rsidRPr="003340D7">
        <w:rPr>
          <w:szCs w:val="24"/>
          <w:lang w:val="hr-HR"/>
        </w:rPr>
        <w:t xml:space="preserve">Budući da je individualni specifični učinak dio </w:t>
      </w:r>
      <w:r w:rsidR="007805A6">
        <w:rPr>
          <w:szCs w:val="24"/>
          <w:lang w:val="hr-HR"/>
        </w:rPr>
        <w:t>konstante</w:t>
      </w:r>
      <w:r w:rsidRPr="003340D7">
        <w:rPr>
          <w:szCs w:val="24"/>
          <w:lang w:val="hr-HR"/>
        </w:rPr>
        <w:t xml:space="preserve">, on </w:t>
      </w:r>
      <w:r>
        <w:rPr>
          <w:szCs w:val="24"/>
          <w:lang w:val="hr-HR"/>
        </w:rPr>
        <w:t>smij</w:t>
      </w:r>
      <w:r w:rsidR="007805A6">
        <w:rPr>
          <w:szCs w:val="24"/>
          <w:lang w:val="hr-HR"/>
        </w:rPr>
        <w:t>e</w:t>
      </w:r>
      <w:r w:rsidRPr="003340D7">
        <w:rPr>
          <w:szCs w:val="24"/>
          <w:lang w:val="hr-HR"/>
        </w:rPr>
        <w:t xml:space="preserve"> biti koreliran s drugim regresorima.</w:t>
      </w:r>
      <w:r>
        <w:rPr>
          <w:szCs w:val="24"/>
          <w:lang w:val="hr-HR"/>
        </w:rPr>
        <w:t xml:space="preserve"> </w:t>
      </w:r>
      <w:r w:rsidR="001C3A23">
        <w:rPr>
          <w:szCs w:val="24"/>
          <w:lang w:val="hr-HR"/>
        </w:rPr>
        <w:t xml:space="preserve">Standardni </w:t>
      </w:r>
      <w:r w:rsidR="00EE1ABC">
        <w:rPr>
          <w:szCs w:val="24"/>
          <w:lang w:val="hr-HR"/>
        </w:rPr>
        <w:t>m</w:t>
      </w:r>
      <w:r w:rsidR="00EE1ABC" w:rsidRPr="00EE1ABC">
        <w:rPr>
          <w:szCs w:val="24"/>
          <w:lang w:val="hr-HR"/>
        </w:rPr>
        <w:t>odel s fiksnim učincima</w:t>
      </w:r>
      <w:r w:rsidR="00EE1ABC" w:rsidRPr="00F6590B">
        <w:rPr>
          <w:szCs w:val="24"/>
          <w:lang w:val="hr-HR"/>
        </w:rPr>
        <w:t xml:space="preserve"> </w:t>
      </w:r>
      <w:r w:rsidR="001C3A23">
        <w:rPr>
          <w:szCs w:val="24"/>
          <w:lang w:val="hr-HR"/>
        </w:rPr>
        <w:t>može se izraziti</w:t>
      </w:r>
      <w:r w:rsidR="00086D65" w:rsidRPr="00F6590B">
        <w:rPr>
          <w:szCs w:val="24"/>
          <w:lang w:val="hr-HR"/>
        </w:rPr>
        <w:t xml:space="preserve"> u sljedećoj formi:</w:t>
      </w:r>
    </w:p>
    <w:p w14:paraId="5F78BEC3" w14:textId="5B1F2569" w:rsidR="00086D65" w:rsidRPr="00F6590B" w:rsidRDefault="00086D65" w:rsidP="00086D65">
      <w:pPr>
        <w:spacing w:line="480" w:lineRule="auto"/>
        <w:ind w:firstLine="0"/>
        <w:rPr>
          <w:szCs w:val="24"/>
          <w:lang w:val="hr-HR"/>
        </w:rPr>
      </w:pPr>
      <w:proofErr w:type="spellStart"/>
      <w:r w:rsidRPr="00F6590B">
        <w:rPr>
          <w:i/>
          <w:szCs w:val="24"/>
          <w:lang w:val="hr-HR"/>
        </w:rPr>
        <w:t>Y</w:t>
      </w:r>
      <w:r w:rsidRPr="00F6590B">
        <w:rPr>
          <w:i/>
          <w:szCs w:val="24"/>
          <w:vertAlign w:val="subscript"/>
          <w:lang w:val="hr-HR"/>
        </w:rPr>
        <w:t>it</w:t>
      </w:r>
      <w:proofErr w:type="spellEnd"/>
      <w:r w:rsidRPr="00F6590B">
        <w:rPr>
          <w:i/>
          <w:szCs w:val="24"/>
          <w:lang w:val="hr-HR"/>
        </w:rPr>
        <w:t xml:space="preserve"> = </w:t>
      </w:r>
      <w:r w:rsidR="00382602">
        <w:rPr>
          <w:szCs w:val="24"/>
          <w:lang w:val="hr-HR"/>
        </w:rPr>
        <w:t>(</w:t>
      </w:r>
      <w:r w:rsidRPr="00F6590B">
        <w:rPr>
          <w:i/>
          <w:szCs w:val="24"/>
          <w:lang w:val="hr-HR"/>
        </w:rPr>
        <w:t>β</w:t>
      </w:r>
      <w:r w:rsidRPr="00F6590B">
        <w:rPr>
          <w:szCs w:val="24"/>
          <w:vertAlign w:val="subscript"/>
          <w:lang w:val="hr-HR"/>
        </w:rPr>
        <w:t>0</w:t>
      </w:r>
      <w:r w:rsidRPr="00F6590B">
        <w:rPr>
          <w:i/>
          <w:szCs w:val="24"/>
          <w:lang w:val="hr-HR"/>
        </w:rPr>
        <w:t xml:space="preserve"> </w:t>
      </w:r>
      <w:r w:rsidR="00382602">
        <w:rPr>
          <w:szCs w:val="24"/>
          <w:lang w:val="hr-HR"/>
        </w:rPr>
        <w:t xml:space="preserve">+ </w:t>
      </w:r>
      <w:proofErr w:type="spellStart"/>
      <w:r w:rsidR="00382602" w:rsidRPr="00382602">
        <w:rPr>
          <w:i/>
          <w:szCs w:val="24"/>
          <w:lang w:val="hr-HR"/>
        </w:rPr>
        <w:t>u</w:t>
      </w:r>
      <w:r w:rsidR="00382602" w:rsidRPr="00382602">
        <w:rPr>
          <w:i/>
          <w:szCs w:val="24"/>
          <w:vertAlign w:val="subscript"/>
          <w:lang w:val="hr-HR"/>
        </w:rPr>
        <w:t>i</w:t>
      </w:r>
      <w:r w:rsidR="001C3A23">
        <w:rPr>
          <w:i/>
          <w:szCs w:val="24"/>
          <w:vertAlign w:val="subscript"/>
          <w:lang w:val="hr-HR"/>
        </w:rPr>
        <w:t>t</w:t>
      </w:r>
      <w:proofErr w:type="spellEnd"/>
      <w:r w:rsidR="00382602">
        <w:rPr>
          <w:szCs w:val="24"/>
          <w:lang w:val="hr-HR"/>
        </w:rPr>
        <w:t xml:space="preserve"> ) </w:t>
      </w:r>
      <w:r w:rsidRPr="00F6590B">
        <w:rPr>
          <w:i/>
          <w:szCs w:val="24"/>
          <w:lang w:val="hr-HR"/>
        </w:rPr>
        <w:t>+ β</w:t>
      </w:r>
      <w:r w:rsidRPr="00F6590B">
        <w:rPr>
          <w:szCs w:val="24"/>
          <w:vertAlign w:val="subscript"/>
          <w:lang w:val="hr-HR"/>
        </w:rPr>
        <w:t>1</w:t>
      </w:r>
      <w:r w:rsidRPr="00F6590B">
        <w:rPr>
          <w:i/>
          <w:szCs w:val="24"/>
          <w:lang w:val="hr-HR"/>
        </w:rPr>
        <w:t>X</w:t>
      </w:r>
      <w:r w:rsidRPr="00F6590B">
        <w:rPr>
          <w:szCs w:val="24"/>
          <w:vertAlign w:val="subscript"/>
          <w:lang w:val="hr-HR"/>
        </w:rPr>
        <w:t>1</w:t>
      </w:r>
      <w:r w:rsidRPr="00F6590B">
        <w:rPr>
          <w:i/>
          <w:szCs w:val="24"/>
          <w:vertAlign w:val="subscript"/>
          <w:lang w:val="hr-HR"/>
        </w:rPr>
        <w:t xml:space="preserve">it </w:t>
      </w:r>
      <w:r w:rsidRPr="00F6590B">
        <w:rPr>
          <w:i/>
          <w:szCs w:val="24"/>
          <w:lang w:val="hr-HR"/>
        </w:rPr>
        <w:t xml:space="preserve">+… + </w:t>
      </w:r>
      <w:proofErr w:type="spellStart"/>
      <w:r w:rsidRPr="00F6590B">
        <w:rPr>
          <w:i/>
          <w:szCs w:val="24"/>
          <w:lang w:val="hr-HR"/>
        </w:rPr>
        <w:t>β</w:t>
      </w:r>
      <w:r w:rsidRPr="00F6590B">
        <w:rPr>
          <w:szCs w:val="24"/>
          <w:vertAlign w:val="subscript"/>
          <w:lang w:val="hr-HR"/>
        </w:rPr>
        <w:t>k</w:t>
      </w:r>
      <w:r w:rsidRPr="00F6590B">
        <w:rPr>
          <w:i/>
          <w:szCs w:val="24"/>
          <w:lang w:val="hr-HR"/>
        </w:rPr>
        <w:t>X</w:t>
      </w:r>
      <w:r w:rsidRPr="00F6590B">
        <w:rPr>
          <w:i/>
          <w:szCs w:val="24"/>
          <w:vertAlign w:val="subscript"/>
          <w:lang w:val="hr-HR"/>
        </w:rPr>
        <w:t>kit</w:t>
      </w:r>
      <w:proofErr w:type="spellEnd"/>
      <w:r w:rsidRPr="00F6590B">
        <w:rPr>
          <w:i/>
          <w:szCs w:val="24"/>
          <w:lang w:val="hr-HR"/>
        </w:rPr>
        <w:t xml:space="preserve"> + </w:t>
      </w:r>
      <w:r w:rsidR="00382602" w:rsidRPr="00F6590B">
        <w:rPr>
          <w:i/>
          <w:szCs w:val="24"/>
          <w:lang w:val="hr-HR"/>
        </w:rPr>
        <w:t>v</w:t>
      </w:r>
      <w:r w:rsidRPr="00F6590B">
        <w:rPr>
          <w:i/>
          <w:szCs w:val="24"/>
          <w:vertAlign w:val="subscript"/>
          <w:lang w:val="hr-HR"/>
        </w:rPr>
        <w:t>it</w:t>
      </w:r>
      <w:r w:rsidRPr="00F6590B">
        <w:rPr>
          <w:szCs w:val="24"/>
          <w:lang w:val="hr-HR"/>
        </w:rPr>
        <w:t xml:space="preserve"> , gdje </w:t>
      </w:r>
      <w:r w:rsidRPr="00F6590B">
        <w:rPr>
          <w:i/>
          <w:szCs w:val="24"/>
          <w:lang w:val="hr-HR"/>
        </w:rPr>
        <w:t>i</w:t>
      </w:r>
      <w:r w:rsidRPr="00F6590B">
        <w:rPr>
          <w:szCs w:val="24"/>
          <w:lang w:val="hr-HR"/>
        </w:rPr>
        <w:t xml:space="preserve"> = 1,…N, </w:t>
      </w:r>
      <w:r w:rsidRPr="00F6590B">
        <w:rPr>
          <w:i/>
          <w:szCs w:val="24"/>
          <w:lang w:val="hr-HR"/>
        </w:rPr>
        <w:t>t</w:t>
      </w:r>
      <w:r w:rsidRPr="00F6590B">
        <w:rPr>
          <w:szCs w:val="24"/>
          <w:lang w:val="hr-HR"/>
        </w:rPr>
        <w:t xml:space="preserve"> = 1,…N</w:t>
      </w:r>
      <w:r w:rsidRPr="00F6590B">
        <w:rPr>
          <w:szCs w:val="24"/>
          <w:lang w:val="hr-HR"/>
        </w:rPr>
        <w:tab/>
      </w:r>
      <w:r w:rsidR="001C3A23">
        <w:rPr>
          <w:szCs w:val="24"/>
          <w:lang w:val="hr-HR"/>
        </w:rPr>
        <w:t>.</w:t>
      </w:r>
      <w:r w:rsidRPr="00F6590B">
        <w:rPr>
          <w:szCs w:val="24"/>
          <w:lang w:val="hr-HR"/>
        </w:rPr>
        <w:tab/>
      </w:r>
      <w:r w:rsidRPr="00F6590B">
        <w:rPr>
          <w:szCs w:val="24"/>
          <w:lang w:val="hr-HR"/>
        </w:rPr>
        <w:tab/>
      </w:r>
      <w:r w:rsidRPr="00F6590B">
        <w:rPr>
          <w:szCs w:val="24"/>
          <w:lang w:val="hr-HR"/>
        </w:rPr>
        <w:tab/>
        <w:t>{3}</w:t>
      </w:r>
    </w:p>
    <w:p w14:paraId="14E6949C" w14:textId="220E480F" w:rsidR="00086D65" w:rsidRPr="00F6590B" w:rsidRDefault="00F23820" w:rsidP="00086D65">
      <w:pPr>
        <w:spacing w:line="480" w:lineRule="auto"/>
        <w:rPr>
          <w:szCs w:val="24"/>
          <w:lang w:val="hr-HR"/>
        </w:rPr>
      </w:pPr>
      <w:r w:rsidRPr="007805A6">
        <w:rPr>
          <w:szCs w:val="24"/>
          <w:lang w:val="hr-HR"/>
        </w:rPr>
        <w:t>Model s nasumičnim učincima (</w:t>
      </w:r>
      <w:r w:rsidRPr="007805A6">
        <w:rPr>
          <w:i/>
          <w:szCs w:val="24"/>
          <w:lang w:val="hr-HR"/>
        </w:rPr>
        <w:t xml:space="preserve">panel </w:t>
      </w:r>
      <w:proofErr w:type="spellStart"/>
      <w:r w:rsidRPr="007805A6">
        <w:rPr>
          <w:i/>
          <w:szCs w:val="24"/>
          <w:lang w:val="hr-HR"/>
        </w:rPr>
        <w:t>data</w:t>
      </w:r>
      <w:proofErr w:type="spellEnd"/>
      <w:r w:rsidRPr="007805A6">
        <w:rPr>
          <w:i/>
          <w:szCs w:val="24"/>
          <w:lang w:val="hr-HR"/>
        </w:rPr>
        <w:t xml:space="preserve"> </w:t>
      </w:r>
      <w:proofErr w:type="spellStart"/>
      <w:r w:rsidRPr="007805A6">
        <w:rPr>
          <w:i/>
          <w:szCs w:val="24"/>
          <w:lang w:val="hr-HR"/>
        </w:rPr>
        <w:t>with</w:t>
      </w:r>
      <w:proofErr w:type="spellEnd"/>
      <w:r w:rsidRPr="007805A6">
        <w:rPr>
          <w:i/>
          <w:szCs w:val="24"/>
          <w:lang w:val="hr-HR"/>
        </w:rPr>
        <w:t xml:space="preserve"> </w:t>
      </w:r>
      <w:proofErr w:type="spellStart"/>
      <w:r w:rsidRPr="007805A6">
        <w:rPr>
          <w:i/>
          <w:szCs w:val="24"/>
          <w:lang w:val="hr-HR"/>
        </w:rPr>
        <w:t>random</w:t>
      </w:r>
      <w:proofErr w:type="spellEnd"/>
      <w:r w:rsidRPr="007805A6">
        <w:rPr>
          <w:i/>
          <w:szCs w:val="24"/>
          <w:lang w:val="hr-HR"/>
        </w:rPr>
        <w:t xml:space="preserve"> </w:t>
      </w:r>
      <w:proofErr w:type="spellStart"/>
      <w:r w:rsidRPr="007805A6">
        <w:rPr>
          <w:i/>
          <w:szCs w:val="24"/>
          <w:lang w:val="hr-HR"/>
        </w:rPr>
        <w:t>effects</w:t>
      </w:r>
      <w:proofErr w:type="spellEnd"/>
      <w:r w:rsidRPr="007805A6">
        <w:rPr>
          <w:szCs w:val="24"/>
          <w:lang w:val="hr-HR"/>
        </w:rPr>
        <w:t>)</w:t>
      </w:r>
      <w:r w:rsidR="003340D7">
        <w:rPr>
          <w:szCs w:val="24"/>
          <w:lang w:val="hr-HR"/>
        </w:rPr>
        <w:t xml:space="preserve"> </w:t>
      </w:r>
      <w:r w:rsidR="008925EC" w:rsidRPr="007805A6">
        <w:rPr>
          <w:szCs w:val="24"/>
          <w:lang w:val="hr-HR"/>
        </w:rPr>
        <w:t>pretpostavlja</w:t>
      </w:r>
      <w:r w:rsidR="007805A6" w:rsidRPr="007805A6">
        <w:rPr>
          <w:szCs w:val="24"/>
          <w:lang w:val="hr-HR"/>
        </w:rPr>
        <w:t xml:space="preserve"> da individualni učinci nisu korelirani s regresorima, te da su individualni specifični učinci nasumično heterogeni, odnosno čine dio pogreške.</w:t>
      </w:r>
      <w:r w:rsidR="007805A6">
        <w:rPr>
          <w:szCs w:val="24"/>
          <w:lang w:val="hr-HR"/>
        </w:rPr>
        <w:t xml:space="preserve"> Dakle, k</w:t>
      </w:r>
      <w:r w:rsidR="003340D7" w:rsidRPr="003340D7">
        <w:rPr>
          <w:szCs w:val="24"/>
          <w:lang w:val="hr-HR"/>
        </w:rPr>
        <w:t xml:space="preserve">ljučna razlika između fiksnih i nasumičnih učinaka je u tome što je kod fiksnih učinaka procjena </w:t>
      </w:r>
      <w:proofErr w:type="spellStart"/>
      <w:r w:rsidR="003340D7" w:rsidRPr="007805A6">
        <w:rPr>
          <w:i/>
          <w:szCs w:val="24"/>
          <w:lang w:val="hr-HR"/>
        </w:rPr>
        <w:t>dummy</w:t>
      </w:r>
      <w:proofErr w:type="spellEnd"/>
      <w:r w:rsidR="003340D7" w:rsidRPr="003340D7">
        <w:rPr>
          <w:szCs w:val="24"/>
          <w:lang w:val="hr-HR"/>
        </w:rPr>
        <w:t xml:space="preserve"> varijable dio </w:t>
      </w:r>
      <w:r w:rsidR="008925EC">
        <w:rPr>
          <w:szCs w:val="24"/>
          <w:lang w:val="hr-HR"/>
        </w:rPr>
        <w:t>intercep</w:t>
      </w:r>
      <w:bookmarkStart w:id="0" w:name="_GoBack"/>
      <w:bookmarkEnd w:id="0"/>
      <w:r w:rsidR="007805A6">
        <w:rPr>
          <w:szCs w:val="24"/>
          <w:lang w:val="hr-HR"/>
        </w:rPr>
        <w:t>ta</w:t>
      </w:r>
      <w:r w:rsidR="003340D7" w:rsidRPr="003340D7">
        <w:rPr>
          <w:szCs w:val="24"/>
          <w:lang w:val="hr-HR"/>
        </w:rPr>
        <w:t>, a kod nasumičnih je komponenta greške.</w:t>
      </w:r>
      <w:r w:rsidR="007805A6">
        <w:rPr>
          <w:szCs w:val="24"/>
          <w:lang w:val="hr-HR"/>
        </w:rPr>
        <w:t xml:space="preserve"> </w:t>
      </w:r>
      <w:r w:rsidR="00EE1ABC">
        <w:rPr>
          <w:szCs w:val="24"/>
          <w:lang w:val="hr-HR"/>
        </w:rPr>
        <w:t>M</w:t>
      </w:r>
      <w:r w:rsidR="00EE1ABC" w:rsidRPr="00EE1ABC">
        <w:rPr>
          <w:szCs w:val="24"/>
          <w:lang w:val="hr-HR"/>
        </w:rPr>
        <w:t xml:space="preserve">odel s </w:t>
      </w:r>
      <w:r w:rsidR="00EE1ABC">
        <w:rPr>
          <w:szCs w:val="24"/>
          <w:lang w:val="hr-HR"/>
        </w:rPr>
        <w:t xml:space="preserve">nasumičnim </w:t>
      </w:r>
      <w:r w:rsidR="00EE1ABC" w:rsidRPr="00EE1ABC">
        <w:rPr>
          <w:szCs w:val="24"/>
          <w:lang w:val="hr-HR"/>
        </w:rPr>
        <w:t>učincima</w:t>
      </w:r>
      <w:r w:rsidR="00EE1ABC">
        <w:rPr>
          <w:szCs w:val="24"/>
          <w:lang w:val="hr-HR"/>
        </w:rPr>
        <w:t xml:space="preserve"> </w:t>
      </w:r>
      <w:r w:rsidR="001C3A23">
        <w:rPr>
          <w:szCs w:val="24"/>
          <w:lang w:val="hr-HR"/>
        </w:rPr>
        <w:t>može se općenito izraziti ovako</w:t>
      </w:r>
      <w:r w:rsidR="00086D65" w:rsidRPr="00F6590B">
        <w:rPr>
          <w:szCs w:val="24"/>
          <w:lang w:val="hr-HR"/>
        </w:rPr>
        <w:t>:</w:t>
      </w:r>
    </w:p>
    <w:p w14:paraId="6CDFDC7E" w14:textId="54EB10A6" w:rsidR="00086D65" w:rsidRPr="00F6590B" w:rsidRDefault="00382602" w:rsidP="00086D65">
      <w:pPr>
        <w:spacing w:line="480" w:lineRule="auto"/>
        <w:ind w:firstLine="0"/>
        <w:rPr>
          <w:szCs w:val="24"/>
          <w:lang w:val="hr-HR"/>
        </w:rPr>
      </w:pPr>
      <w:proofErr w:type="spellStart"/>
      <w:r w:rsidRPr="00F6590B">
        <w:rPr>
          <w:i/>
          <w:szCs w:val="24"/>
          <w:lang w:val="hr-HR"/>
        </w:rPr>
        <w:t>Y</w:t>
      </w:r>
      <w:r w:rsidRPr="00F6590B">
        <w:rPr>
          <w:i/>
          <w:szCs w:val="24"/>
          <w:vertAlign w:val="subscript"/>
          <w:lang w:val="hr-HR"/>
        </w:rPr>
        <w:t>it</w:t>
      </w:r>
      <w:proofErr w:type="spellEnd"/>
      <w:r w:rsidRPr="00F6590B">
        <w:rPr>
          <w:i/>
          <w:szCs w:val="24"/>
          <w:lang w:val="hr-HR"/>
        </w:rPr>
        <w:t xml:space="preserve"> =</w:t>
      </w:r>
      <w:r>
        <w:rPr>
          <w:i/>
          <w:szCs w:val="24"/>
          <w:lang w:val="hr-HR"/>
        </w:rPr>
        <w:t xml:space="preserve"> </w:t>
      </w:r>
      <w:r w:rsidRPr="00F6590B">
        <w:rPr>
          <w:i/>
          <w:szCs w:val="24"/>
          <w:lang w:val="hr-HR"/>
        </w:rPr>
        <w:t>β</w:t>
      </w:r>
      <w:r w:rsidRPr="00F6590B">
        <w:rPr>
          <w:szCs w:val="24"/>
          <w:vertAlign w:val="subscript"/>
          <w:lang w:val="hr-HR"/>
        </w:rPr>
        <w:t>0</w:t>
      </w:r>
      <w:r w:rsidRPr="00F6590B">
        <w:rPr>
          <w:i/>
          <w:szCs w:val="24"/>
          <w:lang w:val="hr-HR"/>
        </w:rPr>
        <w:t xml:space="preserve"> + β</w:t>
      </w:r>
      <w:r w:rsidRPr="00F6590B">
        <w:rPr>
          <w:szCs w:val="24"/>
          <w:vertAlign w:val="subscript"/>
          <w:lang w:val="hr-HR"/>
        </w:rPr>
        <w:t>1</w:t>
      </w:r>
      <w:r w:rsidRPr="00F6590B">
        <w:rPr>
          <w:i/>
          <w:szCs w:val="24"/>
          <w:lang w:val="hr-HR"/>
        </w:rPr>
        <w:t>X</w:t>
      </w:r>
      <w:r w:rsidRPr="00F6590B">
        <w:rPr>
          <w:szCs w:val="24"/>
          <w:vertAlign w:val="subscript"/>
          <w:lang w:val="hr-HR"/>
        </w:rPr>
        <w:t>1</w:t>
      </w:r>
      <w:r w:rsidRPr="00F6590B">
        <w:rPr>
          <w:i/>
          <w:szCs w:val="24"/>
          <w:vertAlign w:val="subscript"/>
          <w:lang w:val="hr-HR"/>
        </w:rPr>
        <w:t xml:space="preserve">it </w:t>
      </w:r>
      <w:r w:rsidRPr="00F6590B">
        <w:rPr>
          <w:i/>
          <w:szCs w:val="24"/>
          <w:lang w:val="hr-HR"/>
        </w:rPr>
        <w:t xml:space="preserve">+… + </w:t>
      </w:r>
      <w:proofErr w:type="spellStart"/>
      <w:r w:rsidRPr="00F6590B">
        <w:rPr>
          <w:i/>
          <w:szCs w:val="24"/>
          <w:lang w:val="hr-HR"/>
        </w:rPr>
        <w:t>β</w:t>
      </w:r>
      <w:r w:rsidRPr="00F6590B">
        <w:rPr>
          <w:szCs w:val="24"/>
          <w:vertAlign w:val="subscript"/>
          <w:lang w:val="hr-HR"/>
        </w:rPr>
        <w:t>k</w:t>
      </w:r>
      <w:r w:rsidRPr="00F6590B">
        <w:rPr>
          <w:i/>
          <w:szCs w:val="24"/>
          <w:lang w:val="hr-HR"/>
        </w:rPr>
        <w:t>X</w:t>
      </w:r>
      <w:r w:rsidRPr="00F6590B">
        <w:rPr>
          <w:i/>
          <w:szCs w:val="24"/>
          <w:vertAlign w:val="subscript"/>
          <w:lang w:val="hr-HR"/>
        </w:rPr>
        <w:t>kit</w:t>
      </w:r>
      <w:proofErr w:type="spellEnd"/>
      <w:r w:rsidRPr="00F6590B">
        <w:rPr>
          <w:i/>
          <w:szCs w:val="24"/>
          <w:lang w:val="hr-HR"/>
        </w:rPr>
        <w:t xml:space="preserve"> +</w:t>
      </w:r>
      <w:r>
        <w:rPr>
          <w:i/>
          <w:szCs w:val="24"/>
          <w:lang w:val="hr-HR"/>
        </w:rPr>
        <w:t xml:space="preserve"> </w:t>
      </w:r>
      <w:r>
        <w:rPr>
          <w:szCs w:val="24"/>
          <w:lang w:val="hr-HR"/>
        </w:rPr>
        <w:t>(</w:t>
      </w:r>
      <w:proofErr w:type="spellStart"/>
      <w:r w:rsidRPr="00382602">
        <w:rPr>
          <w:i/>
          <w:szCs w:val="24"/>
          <w:lang w:val="hr-HR"/>
        </w:rPr>
        <w:t>u</w:t>
      </w:r>
      <w:r w:rsidRPr="00382602">
        <w:rPr>
          <w:i/>
          <w:szCs w:val="24"/>
          <w:vertAlign w:val="subscript"/>
          <w:lang w:val="hr-HR"/>
        </w:rPr>
        <w:t>i</w:t>
      </w:r>
      <w:r w:rsidR="001C3A23">
        <w:rPr>
          <w:i/>
          <w:szCs w:val="24"/>
          <w:vertAlign w:val="subscript"/>
          <w:lang w:val="hr-HR"/>
        </w:rPr>
        <w:t>t</w:t>
      </w:r>
      <w:proofErr w:type="spellEnd"/>
      <w:r>
        <w:rPr>
          <w:i/>
          <w:szCs w:val="24"/>
          <w:lang w:val="hr-HR"/>
        </w:rPr>
        <w:t xml:space="preserve"> </w:t>
      </w:r>
      <w:r>
        <w:rPr>
          <w:szCs w:val="24"/>
          <w:lang w:val="hr-HR"/>
        </w:rPr>
        <w:t>+</w:t>
      </w:r>
      <w:r w:rsidRPr="00F6590B">
        <w:rPr>
          <w:i/>
          <w:szCs w:val="24"/>
          <w:lang w:val="hr-HR"/>
        </w:rPr>
        <w:t xml:space="preserve"> v</w:t>
      </w:r>
      <w:r w:rsidRPr="00F6590B">
        <w:rPr>
          <w:i/>
          <w:szCs w:val="24"/>
          <w:vertAlign w:val="subscript"/>
          <w:lang w:val="hr-HR"/>
        </w:rPr>
        <w:t>it</w:t>
      </w:r>
      <w:r>
        <w:rPr>
          <w:szCs w:val="24"/>
          <w:lang w:val="hr-HR"/>
        </w:rPr>
        <w:t>)</w:t>
      </w:r>
      <w:r w:rsidRPr="00F6590B">
        <w:rPr>
          <w:szCs w:val="24"/>
          <w:lang w:val="hr-HR"/>
        </w:rPr>
        <w:t xml:space="preserve"> , gdje </w:t>
      </w:r>
      <w:r w:rsidRPr="00F6590B">
        <w:rPr>
          <w:i/>
          <w:szCs w:val="24"/>
          <w:lang w:val="hr-HR"/>
        </w:rPr>
        <w:t>i</w:t>
      </w:r>
      <w:r w:rsidRPr="00F6590B">
        <w:rPr>
          <w:szCs w:val="24"/>
          <w:lang w:val="hr-HR"/>
        </w:rPr>
        <w:t xml:space="preserve"> = 1,…N, </w:t>
      </w:r>
      <w:r w:rsidRPr="00F6590B">
        <w:rPr>
          <w:i/>
          <w:szCs w:val="24"/>
          <w:lang w:val="hr-HR"/>
        </w:rPr>
        <w:t>t</w:t>
      </w:r>
      <w:r w:rsidRPr="00F6590B">
        <w:rPr>
          <w:szCs w:val="24"/>
          <w:lang w:val="hr-HR"/>
        </w:rPr>
        <w:t xml:space="preserve"> = 1,…N</w:t>
      </w:r>
      <w:r w:rsidRPr="00F6590B">
        <w:rPr>
          <w:szCs w:val="24"/>
          <w:lang w:val="hr-HR"/>
        </w:rPr>
        <w:tab/>
      </w:r>
      <w:r w:rsidR="001C3A23">
        <w:rPr>
          <w:szCs w:val="24"/>
          <w:lang w:val="hr-HR"/>
        </w:rPr>
        <w:t>.</w:t>
      </w:r>
      <w:r w:rsidR="00086D65" w:rsidRPr="00F6590B">
        <w:rPr>
          <w:szCs w:val="24"/>
          <w:lang w:val="hr-HR"/>
        </w:rPr>
        <w:tab/>
      </w:r>
      <w:r w:rsidR="00086D65" w:rsidRPr="00F6590B">
        <w:rPr>
          <w:szCs w:val="24"/>
          <w:lang w:val="hr-HR"/>
        </w:rPr>
        <w:tab/>
      </w:r>
      <w:r w:rsidR="00086D65" w:rsidRPr="00F6590B">
        <w:rPr>
          <w:szCs w:val="24"/>
          <w:lang w:val="hr-HR"/>
        </w:rPr>
        <w:tab/>
        <w:t>{4}</w:t>
      </w:r>
    </w:p>
    <w:p w14:paraId="44872374" w14:textId="191E92EE" w:rsidR="00791BD1" w:rsidRPr="00F6590B" w:rsidRDefault="001C3A23" w:rsidP="00483743">
      <w:pPr>
        <w:spacing w:line="480" w:lineRule="auto"/>
        <w:rPr>
          <w:szCs w:val="24"/>
          <w:lang w:val="hr-HR"/>
        </w:rPr>
      </w:pPr>
      <w:r w:rsidRPr="001C3A23">
        <w:rPr>
          <w:szCs w:val="24"/>
          <w:lang w:val="hr-HR"/>
        </w:rPr>
        <w:t>U ovom radu</w:t>
      </w:r>
      <w:r w:rsidRPr="001C3A23">
        <w:rPr>
          <w:i/>
          <w:szCs w:val="24"/>
          <w:lang w:val="hr-HR"/>
        </w:rPr>
        <w:t xml:space="preserve"> </w:t>
      </w:r>
      <w:proofErr w:type="spellStart"/>
      <w:r w:rsidRPr="001C3A23">
        <w:rPr>
          <w:i/>
          <w:szCs w:val="24"/>
          <w:lang w:val="hr-HR"/>
        </w:rPr>
        <w:t>p</w:t>
      </w:r>
      <w:r w:rsidR="00975672" w:rsidRPr="001C3A23">
        <w:rPr>
          <w:i/>
          <w:szCs w:val="24"/>
          <w:lang w:val="hr-HR"/>
        </w:rPr>
        <w:t>ooled</w:t>
      </w:r>
      <w:proofErr w:type="spellEnd"/>
      <w:r w:rsidR="00975672" w:rsidRPr="00F6590B">
        <w:rPr>
          <w:i/>
          <w:szCs w:val="24"/>
          <w:lang w:val="hr-HR"/>
        </w:rPr>
        <w:t xml:space="preserve"> OLS</w:t>
      </w:r>
      <w:r w:rsidR="00FF0324" w:rsidRPr="00F6590B">
        <w:rPr>
          <w:szCs w:val="24"/>
          <w:lang w:val="hr-HR"/>
        </w:rPr>
        <w:t xml:space="preserve"> </w:t>
      </w:r>
      <w:r w:rsidR="004C5262" w:rsidRPr="00F6590B">
        <w:rPr>
          <w:szCs w:val="24"/>
          <w:lang w:val="hr-HR"/>
        </w:rPr>
        <w:t xml:space="preserve">model </w:t>
      </w:r>
      <w:r w:rsidR="00FF0324" w:rsidRPr="00F6590B">
        <w:rPr>
          <w:szCs w:val="24"/>
          <w:lang w:val="hr-HR"/>
        </w:rPr>
        <w:t>specificiran je izrazom</w:t>
      </w:r>
      <w:r w:rsidR="00975672" w:rsidRPr="00F6590B">
        <w:rPr>
          <w:szCs w:val="24"/>
          <w:lang w:val="hr-HR"/>
        </w:rPr>
        <w:t>:</w:t>
      </w:r>
    </w:p>
    <w:p w14:paraId="0B18D25E" w14:textId="113A9A97" w:rsidR="00975672" w:rsidRPr="00F6590B" w:rsidRDefault="00975672" w:rsidP="00483743">
      <w:pPr>
        <w:spacing w:line="480" w:lineRule="auto"/>
        <w:ind w:firstLine="0"/>
        <w:rPr>
          <w:szCs w:val="24"/>
          <w:lang w:val="hr-HR"/>
        </w:rPr>
      </w:pPr>
      <w:proofErr w:type="spellStart"/>
      <w:r w:rsidRPr="00F6590B">
        <w:rPr>
          <w:i/>
          <w:szCs w:val="24"/>
          <w:lang w:val="hr-HR"/>
        </w:rPr>
        <w:t>lnRIJESENI</w:t>
      </w:r>
      <w:r w:rsidRPr="00F6590B">
        <w:rPr>
          <w:i/>
          <w:szCs w:val="24"/>
          <w:vertAlign w:val="subscript"/>
          <w:lang w:val="hr-HR"/>
        </w:rPr>
        <w:t>it</w:t>
      </w:r>
      <w:proofErr w:type="spellEnd"/>
      <w:r w:rsidRPr="00F6590B">
        <w:rPr>
          <w:i/>
          <w:szCs w:val="24"/>
          <w:lang w:val="hr-HR"/>
        </w:rPr>
        <w:t xml:space="preserve"> = β</w:t>
      </w:r>
      <w:r w:rsidRPr="00F6590B">
        <w:rPr>
          <w:szCs w:val="24"/>
          <w:vertAlign w:val="subscript"/>
          <w:lang w:val="hr-HR"/>
        </w:rPr>
        <w:t>0</w:t>
      </w:r>
      <w:r w:rsidRPr="00F6590B">
        <w:rPr>
          <w:i/>
          <w:szCs w:val="24"/>
          <w:lang w:val="hr-HR"/>
        </w:rPr>
        <w:t xml:space="preserve"> + β</w:t>
      </w:r>
      <w:r w:rsidRPr="00F6590B">
        <w:rPr>
          <w:szCs w:val="24"/>
          <w:vertAlign w:val="subscript"/>
          <w:lang w:val="hr-HR"/>
        </w:rPr>
        <w:t>1</w:t>
      </w:r>
      <w:r w:rsidRPr="00F6590B">
        <w:rPr>
          <w:i/>
          <w:szCs w:val="24"/>
          <w:lang w:val="hr-HR"/>
        </w:rPr>
        <w:t>lnNOVI</w:t>
      </w:r>
      <w:r w:rsidRPr="00F6590B">
        <w:rPr>
          <w:i/>
          <w:szCs w:val="24"/>
          <w:vertAlign w:val="subscript"/>
          <w:lang w:val="hr-HR"/>
        </w:rPr>
        <w:t xml:space="preserve">it </w:t>
      </w:r>
      <w:r w:rsidRPr="00F6590B">
        <w:rPr>
          <w:i/>
          <w:szCs w:val="24"/>
          <w:lang w:val="hr-HR"/>
        </w:rPr>
        <w:t>+</w:t>
      </w:r>
      <w:r w:rsidR="001214C0" w:rsidRPr="00F6590B">
        <w:rPr>
          <w:i/>
          <w:szCs w:val="24"/>
          <w:lang w:val="hr-HR"/>
        </w:rPr>
        <w:t xml:space="preserve"> β</w:t>
      </w:r>
      <w:r w:rsidR="001214C0" w:rsidRPr="00F6590B">
        <w:rPr>
          <w:szCs w:val="24"/>
          <w:vertAlign w:val="subscript"/>
          <w:lang w:val="hr-HR"/>
        </w:rPr>
        <w:t>2</w:t>
      </w:r>
      <w:r w:rsidR="001214C0" w:rsidRPr="00F6590B">
        <w:rPr>
          <w:i/>
          <w:szCs w:val="24"/>
          <w:lang w:val="hr-HR"/>
        </w:rPr>
        <w:t>lnSUCI</w:t>
      </w:r>
      <w:r w:rsidR="001214C0" w:rsidRPr="00F6590B">
        <w:rPr>
          <w:i/>
          <w:szCs w:val="24"/>
          <w:vertAlign w:val="subscript"/>
          <w:lang w:val="hr-HR"/>
        </w:rPr>
        <w:t xml:space="preserve">it </w:t>
      </w:r>
      <w:r w:rsidRPr="00F6590B">
        <w:rPr>
          <w:i/>
          <w:szCs w:val="24"/>
          <w:lang w:val="hr-HR"/>
        </w:rPr>
        <w:t xml:space="preserve"> </w:t>
      </w:r>
      <w:r w:rsidR="001214C0" w:rsidRPr="00F6590B">
        <w:rPr>
          <w:i/>
          <w:szCs w:val="24"/>
          <w:lang w:val="hr-HR"/>
        </w:rPr>
        <w:t xml:space="preserve">+ </w:t>
      </w:r>
      <w:r w:rsidRPr="00F6590B">
        <w:rPr>
          <w:i/>
          <w:szCs w:val="24"/>
          <w:lang w:val="hr-HR"/>
        </w:rPr>
        <w:t>β</w:t>
      </w:r>
      <w:r w:rsidR="001214C0" w:rsidRPr="00F6590B">
        <w:rPr>
          <w:szCs w:val="24"/>
          <w:vertAlign w:val="subscript"/>
          <w:lang w:val="hr-HR"/>
        </w:rPr>
        <w:t>3</w:t>
      </w:r>
      <w:r w:rsidRPr="00F6590B">
        <w:rPr>
          <w:i/>
          <w:szCs w:val="24"/>
          <w:lang w:val="hr-HR"/>
        </w:rPr>
        <w:t>lnNERIJESENI</w:t>
      </w:r>
      <w:r w:rsidRPr="00F6590B">
        <w:rPr>
          <w:i/>
          <w:szCs w:val="24"/>
          <w:vertAlign w:val="subscript"/>
          <w:lang w:val="hr-HR"/>
        </w:rPr>
        <w:t>it-1</w:t>
      </w:r>
      <w:r w:rsidRPr="00F6590B">
        <w:rPr>
          <w:i/>
          <w:szCs w:val="24"/>
          <w:lang w:val="hr-HR"/>
        </w:rPr>
        <w:t xml:space="preserve"> + </w:t>
      </w:r>
      <w:proofErr w:type="spellStart"/>
      <w:r w:rsidR="00D20725" w:rsidRPr="00F6590B">
        <w:rPr>
          <w:rFonts w:cs="Times New Roman"/>
          <w:i/>
          <w:szCs w:val="24"/>
          <w:lang w:val="hr-HR"/>
        </w:rPr>
        <w:t>ε</w:t>
      </w:r>
      <w:r w:rsidRPr="00F6590B">
        <w:rPr>
          <w:i/>
          <w:szCs w:val="24"/>
          <w:vertAlign w:val="subscript"/>
          <w:lang w:val="hr-HR"/>
        </w:rPr>
        <w:t>it</w:t>
      </w:r>
      <w:proofErr w:type="spellEnd"/>
      <w:r w:rsidRPr="00F6590B">
        <w:rPr>
          <w:szCs w:val="24"/>
          <w:lang w:val="hr-HR"/>
        </w:rPr>
        <w:t xml:space="preserve"> </w:t>
      </w:r>
      <w:r w:rsidRPr="00F6590B">
        <w:rPr>
          <w:szCs w:val="24"/>
          <w:lang w:val="hr-HR"/>
        </w:rPr>
        <w:tab/>
      </w:r>
      <w:r w:rsidR="0071625E" w:rsidRPr="00F6590B">
        <w:rPr>
          <w:szCs w:val="24"/>
          <w:lang w:val="hr-HR"/>
        </w:rPr>
        <w:tab/>
      </w:r>
      <w:r w:rsidR="0071625E" w:rsidRPr="00F6590B">
        <w:rPr>
          <w:szCs w:val="24"/>
          <w:lang w:val="hr-HR"/>
        </w:rPr>
        <w:tab/>
      </w:r>
      <w:r w:rsidRPr="00F6590B">
        <w:rPr>
          <w:szCs w:val="24"/>
          <w:lang w:val="hr-HR"/>
        </w:rPr>
        <w:t>{</w:t>
      </w:r>
      <w:r w:rsidR="00E93A03">
        <w:rPr>
          <w:szCs w:val="24"/>
          <w:lang w:val="hr-HR"/>
        </w:rPr>
        <w:t>5</w:t>
      </w:r>
      <w:r w:rsidRPr="00F6590B">
        <w:rPr>
          <w:szCs w:val="24"/>
          <w:lang w:val="hr-HR"/>
        </w:rPr>
        <w:t>}</w:t>
      </w:r>
    </w:p>
    <w:p w14:paraId="26BEC942" w14:textId="6FA400DE" w:rsidR="00975672" w:rsidRPr="00F6590B" w:rsidRDefault="00E93A03" w:rsidP="00483743">
      <w:pPr>
        <w:spacing w:line="480" w:lineRule="auto"/>
        <w:rPr>
          <w:szCs w:val="24"/>
          <w:lang w:val="hr-HR"/>
        </w:rPr>
      </w:pPr>
      <w:r w:rsidRPr="00F6590B">
        <w:rPr>
          <w:szCs w:val="24"/>
          <w:lang w:val="hr-HR"/>
        </w:rPr>
        <w:t xml:space="preserve">pri čemu su </w:t>
      </w:r>
      <w:r w:rsidRPr="00F6590B">
        <w:rPr>
          <w:i/>
          <w:szCs w:val="24"/>
          <w:lang w:val="hr-HR"/>
        </w:rPr>
        <w:t>i</w:t>
      </w:r>
      <w:r w:rsidRPr="00F6590B">
        <w:rPr>
          <w:szCs w:val="24"/>
          <w:lang w:val="hr-HR"/>
        </w:rPr>
        <w:t xml:space="preserve"> = 1, 2…7, </w:t>
      </w:r>
      <w:r w:rsidRPr="00F6590B">
        <w:rPr>
          <w:i/>
          <w:szCs w:val="24"/>
          <w:lang w:val="hr-HR"/>
        </w:rPr>
        <w:t>t</w:t>
      </w:r>
      <w:r w:rsidRPr="00F6590B">
        <w:rPr>
          <w:szCs w:val="24"/>
          <w:lang w:val="hr-HR"/>
        </w:rPr>
        <w:t xml:space="preserve"> = 2004, 2005</w:t>
      </w:r>
      <w:r>
        <w:rPr>
          <w:szCs w:val="24"/>
          <w:lang w:val="hr-HR"/>
        </w:rPr>
        <w:t xml:space="preserve">…2012, a </w:t>
      </w:r>
      <w:r w:rsidR="00D20725" w:rsidRPr="00F6590B">
        <w:rPr>
          <w:rFonts w:ascii="TimesNewRomanPSMT" w:hAnsi="TimesNewRomanPSMT" w:cs="TimesNewRomanPSMT"/>
          <w:szCs w:val="24"/>
          <w:lang w:val="hr-HR"/>
        </w:rPr>
        <w:t xml:space="preserve">individualni učinci ne postoje </w:t>
      </w:r>
      <w:r w:rsidR="007D13ED" w:rsidRPr="00F6590B">
        <w:rPr>
          <w:rFonts w:ascii="TimesNewRomanPSMT" w:hAnsi="TimesNewRomanPSMT" w:cs="TimesNewRomanPSMT"/>
          <w:szCs w:val="24"/>
          <w:lang w:val="hr-HR"/>
        </w:rPr>
        <w:t>(</w:t>
      </w:r>
      <w:proofErr w:type="spellStart"/>
      <w:r w:rsidR="00D20725" w:rsidRPr="00F6590B">
        <w:rPr>
          <w:i/>
          <w:szCs w:val="24"/>
          <w:lang w:val="hr-HR"/>
        </w:rPr>
        <w:t>u</w:t>
      </w:r>
      <w:r w:rsidR="00D20725" w:rsidRPr="00F6590B">
        <w:rPr>
          <w:i/>
          <w:szCs w:val="24"/>
          <w:vertAlign w:val="subscript"/>
          <w:lang w:val="hr-HR"/>
        </w:rPr>
        <w:t>i</w:t>
      </w:r>
      <w:proofErr w:type="spellEnd"/>
      <w:r w:rsidR="00D20725" w:rsidRPr="00F6590B">
        <w:rPr>
          <w:rFonts w:ascii="TimesNewRomanPS-ItalicMT" w:hAnsi="TimesNewRomanPS-ItalicMT" w:cs="TimesNewRomanPS-ItalicMT"/>
          <w:i/>
          <w:iCs/>
          <w:szCs w:val="24"/>
          <w:lang w:val="hr-HR"/>
        </w:rPr>
        <w:t xml:space="preserve"> </w:t>
      </w:r>
      <w:r w:rsidR="00D20725" w:rsidRPr="00F6590B">
        <w:rPr>
          <w:rFonts w:ascii="TimesNewRomanPSMT" w:hAnsi="TimesNewRomanPSMT" w:cs="TimesNewRomanPSMT"/>
          <w:szCs w:val="24"/>
          <w:lang w:val="hr-HR"/>
        </w:rPr>
        <w:t>= 0</w:t>
      </w:r>
      <w:r w:rsidR="007D13ED" w:rsidRPr="00F6590B">
        <w:rPr>
          <w:rFonts w:ascii="TimesNewRomanPSMT" w:hAnsi="TimesNewRomanPSMT" w:cs="TimesNewRomanPSMT"/>
          <w:szCs w:val="24"/>
          <w:lang w:val="hr-HR"/>
        </w:rPr>
        <w:t>), odnosno ne postoji nepromatrana heterogenost, a sve individualne specifične karakteristike sudova sadržane su u regresorima.</w:t>
      </w:r>
      <w:r w:rsidR="001C3A23">
        <w:rPr>
          <w:rFonts w:ascii="TimesNewRomanPSMT" w:hAnsi="TimesNewRomanPSMT" w:cs="TimesNewRomanPSMT"/>
          <w:szCs w:val="24"/>
          <w:lang w:val="hr-HR"/>
        </w:rPr>
        <w:t xml:space="preserve"> </w:t>
      </w:r>
      <w:r w:rsidRPr="00F6590B">
        <w:rPr>
          <w:szCs w:val="24"/>
          <w:lang w:val="hr-HR"/>
        </w:rPr>
        <w:t>Neriješeni stečajni predmeti imaju pomak za jedno vremensko razdoblje (</w:t>
      </w:r>
      <w:proofErr w:type="spellStart"/>
      <w:r w:rsidRPr="00F6590B">
        <w:rPr>
          <w:i/>
          <w:szCs w:val="24"/>
          <w:lang w:val="hr-HR"/>
        </w:rPr>
        <w:t>lag</w:t>
      </w:r>
      <w:proofErr w:type="spellEnd"/>
      <w:r w:rsidRPr="00F6590B">
        <w:rPr>
          <w:szCs w:val="24"/>
          <w:lang w:val="hr-HR"/>
        </w:rPr>
        <w:t xml:space="preserve">), odnosno koristi se broj neriješenih predmeta iz prethodne godine. To je zato što se želi procijeniti utjecaj samo prethodno neriješenih predmeta, inače bi se stečajni postupak koji je otvoren u godini </w:t>
      </w:r>
      <w:r w:rsidRPr="00F6590B">
        <w:rPr>
          <w:i/>
          <w:szCs w:val="24"/>
          <w:lang w:val="hr-HR"/>
        </w:rPr>
        <w:t>t,</w:t>
      </w:r>
      <w:r w:rsidRPr="00F6590B">
        <w:rPr>
          <w:szCs w:val="24"/>
          <w:lang w:val="hr-HR"/>
        </w:rPr>
        <w:t xml:space="preserve"> a u godini </w:t>
      </w:r>
      <w:r w:rsidRPr="00F6590B">
        <w:rPr>
          <w:i/>
          <w:szCs w:val="24"/>
          <w:lang w:val="hr-HR"/>
        </w:rPr>
        <w:t>t</w:t>
      </w:r>
      <w:r w:rsidRPr="00F6590B">
        <w:rPr>
          <w:szCs w:val="24"/>
          <w:lang w:val="hr-HR"/>
        </w:rPr>
        <w:t xml:space="preserve"> nije zatvoren brojio dvostruko: i u grupi novih predmeta za godinu </w:t>
      </w:r>
      <w:r w:rsidRPr="00F6590B">
        <w:rPr>
          <w:i/>
          <w:szCs w:val="24"/>
          <w:lang w:val="hr-HR"/>
        </w:rPr>
        <w:t>t</w:t>
      </w:r>
      <w:r w:rsidRPr="00F6590B">
        <w:rPr>
          <w:szCs w:val="24"/>
          <w:lang w:val="hr-HR"/>
        </w:rPr>
        <w:t xml:space="preserve">, i u grupi neriješenih za godinu </w:t>
      </w:r>
      <w:r w:rsidRPr="00F6590B">
        <w:rPr>
          <w:i/>
          <w:szCs w:val="24"/>
          <w:lang w:val="hr-HR"/>
        </w:rPr>
        <w:t>t</w:t>
      </w:r>
      <w:r w:rsidRPr="00F6590B">
        <w:rPr>
          <w:szCs w:val="24"/>
          <w:lang w:val="hr-HR"/>
        </w:rPr>
        <w:t>. Također, podaci su transformirani prirodnim logaritmom.</w:t>
      </w:r>
      <w:r>
        <w:rPr>
          <w:szCs w:val="24"/>
          <w:lang w:val="hr-HR"/>
        </w:rPr>
        <w:t xml:space="preserve"> </w:t>
      </w:r>
      <w:proofErr w:type="spellStart"/>
      <w:r w:rsidR="001C3A23">
        <w:rPr>
          <w:rFonts w:ascii="TimesNewRomanPSMT" w:hAnsi="TimesNewRomanPSMT" w:cs="TimesNewRomanPSMT"/>
          <w:i/>
          <w:szCs w:val="24"/>
          <w:lang w:val="hr-HR"/>
        </w:rPr>
        <w:t>P</w:t>
      </w:r>
      <w:r w:rsidR="00FF79DA" w:rsidRPr="00F6590B">
        <w:rPr>
          <w:rFonts w:ascii="TimesNewRomanPSMT" w:hAnsi="TimesNewRomanPSMT" w:cs="TimesNewRomanPSMT"/>
          <w:i/>
          <w:szCs w:val="24"/>
          <w:lang w:val="hr-HR"/>
        </w:rPr>
        <w:t>ooled</w:t>
      </w:r>
      <w:proofErr w:type="spellEnd"/>
      <w:r w:rsidR="00FF79DA" w:rsidRPr="00F6590B">
        <w:rPr>
          <w:rFonts w:ascii="TimesNewRomanPSMT" w:hAnsi="TimesNewRomanPSMT" w:cs="TimesNewRomanPSMT"/>
          <w:i/>
          <w:szCs w:val="24"/>
          <w:lang w:val="hr-HR"/>
        </w:rPr>
        <w:t xml:space="preserve"> OLS</w:t>
      </w:r>
      <w:r w:rsidR="00FF79DA" w:rsidRPr="00F6590B">
        <w:rPr>
          <w:rFonts w:ascii="TimesNewRomanPSMT" w:hAnsi="TimesNewRomanPSMT" w:cs="TimesNewRomanPSMT"/>
          <w:szCs w:val="24"/>
          <w:lang w:val="hr-HR"/>
        </w:rPr>
        <w:t xml:space="preserve"> ima samo jedan odsječak (</w:t>
      </w:r>
      <w:proofErr w:type="spellStart"/>
      <w:r w:rsidR="00FF79DA" w:rsidRPr="00F6590B">
        <w:rPr>
          <w:rFonts w:ascii="TimesNewRomanPSMT" w:hAnsi="TimesNewRomanPSMT" w:cs="TimesNewRomanPSMT"/>
          <w:i/>
          <w:szCs w:val="24"/>
          <w:lang w:val="hr-HR"/>
        </w:rPr>
        <w:t>intercept</w:t>
      </w:r>
      <w:proofErr w:type="spellEnd"/>
      <w:r w:rsidR="00FF79DA" w:rsidRPr="00F6590B">
        <w:rPr>
          <w:rFonts w:ascii="TimesNewRomanPSMT" w:hAnsi="TimesNewRomanPSMT" w:cs="TimesNewRomanPSMT"/>
          <w:szCs w:val="24"/>
          <w:lang w:val="hr-HR"/>
        </w:rPr>
        <w:t xml:space="preserve">) koji izražava da svi sudovi imaju jednu te istu konstantu u rješavanju stečajnih predmeta. </w:t>
      </w:r>
      <w:r w:rsidR="007D13ED" w:rsidRPr="00F6590B">
        <w:rPr>
          <w:rFonts w:ascii="TimesNewRomanPSMT" w:hAnsi="TimesNewRomanPSMT" w:cs="TimesNewRomanPSMT"/>
          <w:szCs w:val="24"/>
          <w:lang w:val="hr-HR"/>
        </w:rPr>
        <w:t xml:space="preserve">Stoga </w:t>
      </w:r>
      <w:r w:rsidR="00FF79DA" w:rsidRPr="00F6590B">
        <w:rPr>
          <w:rFonts w:ascii="TimesNewRomanPSMT" w:hAnsi="TimesNewRomanPSMT" w:cs="TimesNewRomanPSMT"/>
          <w:szCs w:val="24"/>
          <w:lang w:val="hr-HR"/>
        </w:rPr>
        <w:t>ovaj</w:t>
      </w:r>
      <w:r w:rsidR="007D13ED" w:rsidRPr="00F6590B">
        <w:rPr>
          <w:rFonts w:ascii="TimesNewRomanPSMT" w:hAnsi="TimesNewRomanPSMT" w:cs="TimesNewRomanPSMT"/>
          <w:szCs w:val="24"/>
          <w:lang w:val="hr-HR"/>
        </w:rPr>
        <w:t xml:space="preserve"> model izražava homogenost sudova, odnosno nepostojanje signifikantnih razlika i odsustvo jedinstvenih osobina kod sudova </w:t>
      </w:r>
      <w:r w:rsidR="007D13ED" w:rsidRPr="00F6590B">
        <w:rPr>
          <w:rFonts w:ascii="TimesNewRomanPSMT" w:hAnsi="TimesNewRomanPSMT" w:cs="TimesNewRomanPSMT"/>
          <w:szCs w:val="24"/>
          <w:lang w:val="hr-HR"/>
        </w:rPr>
        <w:lastRenderedPageBreak/>
        <w:t xml:space="preserve">koje bi dovele do većeg broja riješenih predmeta na efikasnijem sudu, tj. manjeg broja riješenih predmeta na </w:t>
      </w:r>
      <w:r w:rsidR="00131497" w:rsidRPr="00F6590B">
        <w:rPr>
          <w:rFonts w:ascii="TimesNewRomanPSMT" w:hAnsi="TimesNewRomanPSMT" w:cs="TimesNewRomanPSMT"/>
          <w:szCs w:val="24"/>
          <w:lang w:val="hr-HR"/>
        </w:rPr>
        <w:t>manje efikasnom sudu</w:t>
      </w:r>
      <w:r w:rsidR="007D13ED" w:rsidRPr="00F6590B">
        <w:rPr>
          <w:rFonts w:ascii="TimesNewRomanPSMT" w:hAnsi="TimesNewRomanPSMT" w:cs="TimesNewRomanPSMT"/>
          <w:szCs w:val="24"/>
          <w:lang w:val="hr-HR"/>
        </w:rPr>
        <w:t>.</w:t>
      </w:r>
      <w:r w:rsidR="00FF79DA" w:rsidRPr="00F6590B">
        <w:rPr>
          <w:rFonts w:ascii="TimesNewRomanPSMT" w:hAnsi="TimesNewRomanPSMT" w:cs="TimesNewRomanPSMT"/>
          <w:szCs w:val="24"/>
          <w:lang w:val="hr-HR"/>
        </w:rPr>
        <w:t xml:space="preserve"> </w:t>
      </w:r>
      <w:r>
        <w:rPr>
          <w:rFonts w:ascii="TimesNewRomanPSMT" w:hAnsi="TimesNewRomanPSMT" w:cs="TimesNewRomanPSMT"/>
          <w:szCs w:val="24"/>
          <w:lang w:val="hr-HR"/>
        </w:rPr>
        <w:t xml:space="preserve">Ovdje </w:t>
      </w:r>
      <w:proofErr w:type="spellStart"/>
      <w:r>
        <w:rPr>
          <w:rFonts w:ascii="TimesNewRomanPSMT" w:hAnsi="TimesNewRomanPSMT" w:cs="TimesNewRomanPSMT"/>
          <w:i/>
          <w:szCs w:val="24"/>
          <w:lang w:val="hr-HR"/>
        </w:rPr>
        <w:t>p</w:t>
      </w:r>
      <w:r w:rsidR="001214C0" w:rsidRPr="00F6590B">
        <w:rPr>
          <w:rFonts w:ascii="TimesNewRomanPSMT" w:hAnsi="TimesNewRomanPSMT" w:cs="TimesNewRomanPSMT"/>
          <w:i/>
          <w:szCs w:val="24"/>
          <w:lang w:val="hr-HR"/>
        </w:rPr>
        <w:t>ooled</w:t>
      </w:r>
      <w:proofErr w:type="spellEnd"/>
      <w:r w:rsidR="001214C0" w:rsidRPr="00F6590B">
        <w:rPr>
          <w:rFonts w:ascii="TimesNewRomanPSMT" w:hAnsi="TimesNewRomanPSMT" w:cs="TimesNewRomanPSMT"/>
          <w:i/>
          <w:szCs w:val="24"/>
          <w:lang w:val="hr-HR"/>
        </w:rPr>
        <w:t xml:space="preserve"> OLS</w:t>
      </w:r>
      <w:r w:rsidR="001214C0" w:rsidRPr="00F6590B">
        <w:rPr>
          <w:rFonts w:ascii="TimesNewRomanPSMT" w:hAnsi="TimesNewRomanPSMT" w:cs="TimesNewRomanPSMT"/>
          <w:szCs w:val="24"/>
          <w:lang w:val="hr-HR"/>
        </w:rPr>
        <w:t xml:space="preserve"> izvire iz izraza </w:t>
      </w:r>
      <w:r w:rsidRPr="00F6590B">
        <w:rPr>
          <w:szCs w:val="24"/>
          <w:lang w:val="hr-HR"/>
        </w:rPr>
        <w:t>{</w:t>
      </w:r>
      <w:r>
        <w:rPr>
          <w:szCs w:val="24"/>
          <w:lang w:val="hr-HR"/>
        </w:rPr>
        <w:t>1</w:t>
      </w:r>
      <w:r w:rsidRPr="00F6590B">
        <w:rPr>
          <w:szCs w:val="24"/>
          <w:lang w:val="hr-HR"/>
        </w:rPr>
        <w:t>}</w:t>
      </w:r>
      <w:r>
        <w:rPr>
          <w:szCs w:val="24"/>
          <w:lang w:val="hr-HR"/>
        </w:rPr>
        <w:t xml:space="preserve"> i </w:t>
      </w:r>
      <w:r w:rsidR="001214C0" w:rsidRPr="00F6590B">
        <w:rPr>
          <w:szCs w:val="24"/>
          <w:lang w:val="hr-HR"/>
        </w:rPr>
        <w:t>{</w:t>
      </w:r>
      <w:r w:rsidR="001C3A23">
        <w:rPr>
          <w:szCs w:val="24"/>
          <w:lang w:val="hr-HR"/>
        </w:rPr>
        <w:t>2</w:t>
      </w:r>
      <w:r w:rsidR="001214C0" w:rsidRPr="00F6590B">
        <w:rPr>
          <w:szCs w:val="24"/>
          <w:lang w:val="hr-HR"/>
        </w:rPr>
        <w:t>}, i smatra da su sve bitne varijable uključene u model, odnosno da nema preostale nepromatrane heterogenosti.</w:t>
      </w:r>
    </w:p>
    <w:p w14:paraId="524B0C95" w14:textId="2A93A9D3" w:rsidR="00975672" w:rsidRPr="00F6590B" w:rsidRDefault="00FF0324" w:rsidP="00483743">
      <w:pPr>
        <w:spacing w:line="480" w:lineRule="auto"/>
        <w:rPr>
          <w:szCs w:val="24"/>
          <w:lang w:val="hr-HR"/>
        </w:rPr>
      </w:pPr>
      <w:r w:rsidRPr="00F6590B">
        <w:rPr>
          <w:szCs w:val="24"/>
          <w:lang w:val="hr-HR"/>
        </w:rPr>
        <w:t>Panel s f</w:t>
      </w:r>
      <w:r w:rsidR="00975672" w:rsidRPr="00F6590B">
        <w:rPr>
          <w:szCs w:val="24"/>
          <w:lang w:val="hr-HR"/>
        </w:rPr>
        <w:t>iksni</w:t>
      </w:r>
      <w:r w:rsidR="001539FC" w:rsidRPr="00F6590B">
        <w:rPr>
          <w:szCs w:val="24"/>
          <w:lang w:val="hr-HR"/>
        </w:rPr>
        <w:t>m</w:t>
      </w:r>
      <w:r w:rsidR="00975672" w:rsidRPr="00F6590B">
        <w:rPr>
          <w:szCs w:val="24"/>
          <w:lang w:val="hr-HR"/>
        </w:rPr>
        <w:t xml:space="preserve"> učinci</w:t>
      </w:r>
      <w:r w:rsidRPr="00F6590B">
        <w:rPr>
          <w:szCs w:val="24"/>
          <w:lang w:val="hr-HR"/>
        </w:rPr>
        <w:t>ma može se izraziti na sljedeći način</w:t>
      </w:r>
      <w:r w:rsidR="00975672" w:rsidRPr="00F6590B">
        <w:rPr>
          <w:szCs w:val="24"/>
          <w:lang w:val="hr-HR"/>
        </w:rPr>
        <w:t>:</w:t>
      </w:r>
    </w:p>
    <w:p w14:paraId="13F0234D" w14:textId="4B3F91DE" w:rsidR="00975672" w:rsidRPr="00F6590B" w:rsidRDefault="00975672" w:rsidP="00483743">
      <w:pPr>
        <w:spacing w:line="480" w:lineRule="auto"/>
        <w:ind w:firstLine="0"/>
        <w:rPr>
          <w:szCs w:val="24"/>
          <w:lang w:val="hr-HR"/>
        </w:rPr>
      </w:pPr>
      <w:proofErr w:type="spellStart"/>
      <w:r w:rsidRPr="00F6590B">
        <w:rPr>
          <w:i/>
          <w:szCs w:val="24"/>
          <w:lang w:val="hr-HR"/>
        </w:rPr>
        <w:t>lnRIJESENI</w:t>
      </w:r>
      <w:r w:rsidRPr="00F6590B">
        <w:rPr>
          <w:i/>
          <w:szCs w:val="24"/>
          <w:vertAlign w:val="subscript"/>
          <w:lang w:val="hr-HR"/>
        </w:rPr>
        <w:t>it</w:t>
      </w:r>
      <w:proofErr w:type="spellEnd"/>
      <w:r w:rsidRPr="00F6590B">
        <w:rPr>
          <w:i/>
          <w:szCs w:val="24"/>
          <w:lang w:val="hr-HR"/>
        </w:rPr>
        <w:t xml:space="preserve"> = </w:t>
      </w:r>
      <w:r w:rsidR="00370A76" w:rsidRPr="00F6590B">
        <w:rPr>
          <w:szCs w:val="24"/>
          <w:lang w:val="hr-HR"/>
        </w:rPr>
        <w:t>(</w:t>
      </w:r>
      <w:r w:rsidRPr="00F6590B">
        <w:rPr>
          <w:rFonts w:cs="Times New Roman"/>
          <w:i/>
          <w:szCs w:val="24"/>
          <w:lang w:val="hr-HR"/>
        </w:rPr>
        <w:t>α</w:t>
      </w:r>
      <w:r w:rsidRPr="00F6590B">
        <w:rPr>
          <w:rFonts w:cs="Times New Roman"/>
          <w:szCs w:val="24"/>
          <w:lang w:val="hr-HR"/>
        </w:rPr>
        <w:t xml:space="preserve"> </w:t>
      </w:r>
      <w:r w:rsidRPr="00F6590B">
        <w:rPr>
          <w:szCs w:val="24"/>
          <w:lang w:val="hr-HR"/>
        </w:rPr>
        <w:t xml:space="preserve">+ </w:t>
      </w:r>
      <w:proofErr w:type="spellStart"/>
      <w:r w:rsidRPr="00F6590B">
        <w:rPr>
          <w:i/>
          <w:szCs w:val="24"/>
          <w:lang w:val="hr-HR"/>
        </w:rPr>
        <w:t>u</w:t>
      </w:r>
      <w:r w:rsidRPr="00F6590B">
        <w:rPr>
          <w:i/>
          <w:szCs w:val="24"/>
          <w:vertAlign w:val="subscript"/>
          <w:lang w:val="hr-HR"/>
        </w:rPr>
        <w:t>i</w:t>
      </w:r>
      <w:r w:rsidR="003340D7">
        <w:rPr>
          <w:i/>
          <w:szCs w:val="24"/>
          <w:vertAlign w:val="subscript"/>
          <w:lang w:val="hr-HR"/>
        </w:rPr>
        <w:t>t</w:t>
      </w:r>
      <w:proofErr w:type="spellEnd"/>
      <w:r w:rsidR="00370A76" w:rsidRPr="00F6590B">
        <w:rPr>
          <w:szCs w:val="24"/>
          <w:lang w:val="hr-HR"/>
        </w:rPr>
        <w:t xml:space="preserve">) </w:t>
      </w:r>
      <w:r w:rsidRPr="00F6590B">
        <w:rPr>
          <w:i/>
          <w:szCs w:val="24"/>
          <w:lang w:val="hr-HR"/>
        </w:rPr>
        <w:t xml:space="preserve">+ </w:t>
      </w:r>
      <w:r w:rsidR="001214C0" w:rsidRPr="00F6590B">
        <w:rPr>
          <w:i/>
          <w:szCs w:val="24"/>
          <w:lang w:val="hr-HR"/>
        </w:rPr>
        <w:t>β</w:t>
      </w:r>
      <w:r w:rsidR="001214C0" w:rsidRPr="00F6590B">
        <w:rPr>
          <w:szCs w:val="24"/>
          <w:vertAlign w:val="subscript"/>
          <w:lang w:val="hr-HR"/>
        </w:rPr>
        <w:t>1</w:t>
      </w:r>
      <w:r w:rsidR="001214C0" w:rsidRPr="00F6590B">
        <w:rPr>
          <w:i/>
          <w:szCs w:val="24"/>
          <w:lang w:val="hr-HR"/>
        </w:rPr>
        <w:t>lnNOVI</w:t>
      </w:r>
      <w:r w:rsidR="001214C0" w:rsidRPr="00F6590B">
        <w:rPr>
          <w:i/>
          <w:szCs w:val="24"/>
          <w:vertAlign w:val="subscript"/>
          <w:lang w:val="hr-HR"/>
        </w:rPr>
        <w:t xml:space="preserve">it </w:t>
      </w:r>
      <w:r w:rsidR="001214C0" w:rsidRPr="00F6590B">
        <w:rPr>
          <w:i/>
          <w:szCs w:val="24"/>
          <w:lang w:val="hr-HR"/>
        </w:rPr>
        <w:t>+ β</w:t>
      </w:r>
      <w:r w:rsidR="001214C0" w:rsidRPr="00F6590B">
        <w:rPr>
          <w:szCs w:val="24"/>
          <w:vertAlign w:val="subscript"/>
          <w:lang w:val="hr-HR"/>
        </w:rPr>
        <w:t>2</w:t>
      </w:r>
      <w:r w:rsidR="001214C0" w:rsidRPr="00F6590B">
        <w:rPr>
          <w:i/>
          <w:szCs w:val="24"/>
          <w:lang w:val="hr-HR"/>
        </w:rPr>
        <w:t>lnSUCI</w:t>
      </w:r>
      <w:r w:rsidR="001214C0" w:rsidRPr="00F6590B">
        <w:rPr>
          <w:i/>
          <w:szCs w:val="24"/>
          <w:vertAlign w:val="subscript"/>
          <w:lang w:val="hr-HR"/>
        </w:rPr>
        <w:t xml:space="preserve">it </w:t>
      </w:r>
      <w:r w:rsidR="001214C0" w:rsidRPr="00F6590B">
        <w:rPr>
          <w:i/>
          <w:szCs w:val="24"/>
          <w:lang w:val="hr-HR"/>
        </w:rPr>
        <w:t xml:space="preserve"> + β</w:t>
      </w:r>
      <w:r w:rsidR="001214C0" w:rsidRPr="00F6590B">
        <w:rPr>
          <w:szCs w:val="24"/>
          <w:vertAlign w:val="subscript"/>
          <w:lang w:val="hr-HR"/>
        </w:rPr>
        <w:t>3</w:t>
      </w:r>
      <w:r w:rsidR="001214C0" w:rsidRPr="00F6590B">
        <w:rPr>
          <w:i/>
          <w:szCs w:val="24"/>
          <w:lang w:val="hr-HR"/>
        </w:rPr>
        <w:t>lnNERIJESENI</w:t>
      </w:r>
      <w:r w:rsidR="001214C0" w:rsidRPr="00F6590B">
        <w:rPr>
          <w:i/>
          <w:szCs w:val="24"/>
          <w:vertAlign w:val="subscript"/>
          <w:lang w:val="hr-HR"/>
        </w:rPr>
        <w:t>it-1</w:t>
      </w:r>
      <w:r w:rsidR="001214C0" w:rsidRPr="00F6590B">
        <w:rPr>
          <w:i/>
          <w:szCs w:val="24"/>
          <w:lang w:val="hr-HR"/>
        </w:rPr>
        <w:t xml:space="preserve"> </w:t>
      </w:r>
      <w:r w:rsidRPr="00F6590B">
        <w:rPr>
          <w:i/>
          <w:szCs w:val="24"/>
          <w:lang w:val="hr-HR"/>
        </w:rPr>
        <w:t>+ v</w:t>
      </w:r>
      <w:r w:rsidRPr="00F6590B">
        <w:rPr>
          <w:i/>
          <w:szCs w:val="24"/>
          <w:vertAlign w:val="subscript"/>
          <w:lang w:val="hr-HR"/>
        </w:rPr>
        <w:t>it</w:t>
      </w:r>
      <w:r w:rsidR="001214C0" w:rsidRPr="00F6590B">
        <w:rPr>
          <w:i/>
          <w:szCs w:val="24"/>
          <w:vertAlign w:val="subscript"/>
          <w:lang w:val="hr-HR"/>
        </w:rPr>
        <w:t xml:space="preserve"> </w:t>
      </w:r>
      <w:r w:rsidR="0071625E" w:rsidRPr="00F6590B">
        <w:rPr>
          <w:szCs w:val="24"/>
          <w:lang w:val="hr-HR"/>
        </w:rPr>
        <w:tab/>
      </w:r>
      <w:r w:rsidR="0071625E" w:rsidRPr="00F6590B">
        <w:rPr>
          <w:szCs w:val="24"/>
          <w:lang w:val="hr-HR"/>
        </w:rPr>
        <w:tab/>
        <w:t>{</w:t>
      </w:r>
      <w:r w:rsidR="00E93A03">
        <w:rPr>
          <w:szCs w:val="24"/>
          <w:lang w:val="hr-HR"/>
        </w:rPr>
        <w:t>6</w:t>
      </w:r>
      <w:r w:rsidRPr="00F6590B">
        <w:rPr>
          <w:szCs w:val="24"/>
          <w:lang w:val="hr-HR"/>
        </w:rPr>
        <w:t>}</w:t>
      </w:r>
    </w:p>
    <w:p w14:paraId="63A504EA" w14:textId="50983C3E" w:rsidR="0050245E" w:rsidRPr="00F6590B" w:rsidRDefault="00975672" w:rsidP="00483743">
      <w:pPr>
        <w:spacing w:line="480" w:lineRule="auto"/>
        <w:rPr>
          <w:szCs w:val="24"/>
          <w:lang w:val="hr-HR"/>
        </w:rPr>
      </w:pPr>
      <w:r w:rsidRPr="00F6590B">
        <w:rPr>
          <w:szCs w:val="24"/>
          <w:lang w:val="hr-HR"/>
        </w:rPr>
        <w:t xml:space="preserve">pri čemu su </w:t>
      </w:r>
      <w:proofErr w:type="spellStart"/>
      <w:r w:rsidRPr="00F6590B">
        <w:rPr>
          <w:i/>
          <w:szCs w:val="24"/>
          <w:lang w:val="hr-HR"/>
        </w:rPr>
        <w:t>u</w:t>
      </w:r>
      <w:r w:rsidRPr="00F6590B">
        <w:rPr>
          <w:i/>
          <w:szCs w:val="24"/>
          <w:vertAlign w:val="subscript"/>
          <w:lang w:val="hr-HR"/>
        </w:rPr>
        <w:t>i</w:t>
      </w:r>
      <w:proofErr w:type="spellEnd"/>
      <w:r w:rsidRPr="00F6590B">
        <w:rPr>
          <w:szCs w:val="24"/>
          <w:lang w:val="hr-HR"/>
        </w:rPr>
        <w:t xml:space="preserve">  fiksni učinci specifični</w:t>
      </w:r>
      <w:r w:rsidR="00994600" w:rsidRPr="00F6590B">
        <w:rPr>
          <w:szCs w:val="24"/>
          <w:lang w:val="hr-HR"/>
        </w:rPr>
        <w:t xml:space="preserve"> za svaki sud</w:t>
      </w:r>
      <w:r w:rsidRPr="00F6590B">
        <w:rPr>
          <w:szCs w:val="24"/>
          <w:lang w:val="hr-HR"/>
        </w:rPr>
        <w:t>.</w:t>
      </w:r>
      <w:r w:rsidR="00FF79DA" w:rsidRPr="00F6590B">
        <w:rPr>
          <w:szCs w:val="24"/>
          <w:lang w:val="hr-HR"/>
        </w:rPr>
        <w:t xml:space="preserve"> Ovdje je </w:t>
      </w:r>
      <w:r w:rsidR="0028139F" w:rsidRPr="00F6590B">
        <w:rPr>
          <w:szCs w:val="24"/>
          <w:lang w:val="hr-HR"/>
        </w:rPr>
        <w:t>vidljivo</w:t>
      </w:r>
      <w:r w:rsidR="00FF79DA" w:rsidRPr="00F6590B">
        <w:rPr>
          <w:szCs w:val="24"/>
          <w:lang w:val="hr-HR"/>
        </w:rPr>
        <w:t xml:space="preserve"> kako svaki sud ima zasebni, specifični, individualni odsječak (</w:t>
      </w:r>
      <w:proofErr w:type="spellStart"/>
      <w:r w:rsidR="00FF79DA" w:rsidRPr="00F6590B">
        <w:rPr>
          <w:i/>
          <w:szCs w:val="24"/>
          <w:lang w:val="hr-HR"/>
        </w:rPr>
        <w:t>u</w:t>
      </w:r>
      <w:r w:rsidR="00FF79DA" w:rsidRPr="00F6590B">
        <w:rPr>
          <w:i/>
          <w:szCs w:val="24"/>
          <w:vertAlign w:val="subscript"/>
          <w:lang w:val="hr-HR"/>
        </w:rPr>
        <w:t>i</w:t>
      </w:r>
      <w:proofErr w:type="spellEnd"/>
      <w:r w:rsidR="00FF79DA" w:rsidRPr="00F6590B">
        <w:rPr>
          <w:szCs w:val="24"/>
          <w:lang w:val="hr-HR"/>
        </w:rPr>
        <w:t>), odnosno vlastitu konstantu u rješavanju predmeta</w:t>
      </w:r>
      <w:r w:rsidR="0028139F" w:rsidRPr="00F6590B">
        <w:rPr>
          <w:szCs w:val="24"/>
          <w:lang w:val="hr-HR"/>
        </w:rPr>
        <w:t xml:space="preserve"> koja se pridodaje univerzalnoj, zajedničkoj (</w:t>
      </w:r>
      <w:r w:rsidR="0028139F" w:rsidRPr="00F6590B">
        <w:rPr>
          <w:rFonts w:cs="Times New Roman"/>
          <w:i/>
          <w:szCs w:val="24"/>
          <w:lang w:val="hr-HR"/>
        </w:rPr>
        <w:t>α</w:t>
      </w:r>
      <w:r w:rsidR="0028139F" w:rsidRPr="00F6590B">
        <w:rPr>
          <w:szCs w:val="24"/>
          <w:lang w:val="hr-HR"/>
        </w:rPr>
        <w:t>)</w:t>
      </w:r>
      <w:r w:rsidR="00FF79DA" w:rsidRPr="00F6590B">
        <w:rPr>
          <w:szCs w:val="24"/>
          <w:lang w:val="hr-HR"/>
        </w:rPr>
        <w:t xml:space="preserve">. Što je </w:t>
      </w:r>
      <w:proofErr w:type="spellStart"/>
      <w:r w:rsidR="0028139F" w:rsidRPr="00F6590B">
        <w:rPr>
          <w:i/>
          <w:szCs w:val="24"/>
          <w:lang w:val="hr-HR"/>
        </w:rPr>
        <w:t>u</w:t>
      </w:r>
      <w:r w:rsidR="0028139F" w:rsidRPr="00F6590B">
        <w:rPr>
          <w:i/>
          <w:szCs w:val="24"/>
          <w:vertAlign w:val="subscript"/>
          <w:lang w:val="hr-HR"/>
        </w:rPr>
        <w:t>i</w:t>
      </w:r>
      <w:proofErr w:type="spellEnd"/>
      <w:r w:rsidR="0028139F" w:rsidRPr="00F6590B">
        <w:rPr>
          <w:szCs w:val="24"/>
          <w:lang w:val="hr-HR"/>
        </w:rPr>
        <w:t xml:space="preserve"> </w:t>
      </w:r>
      <w:r w:rsidR="00FF79DA" w:rsidRPr="00F6590B">
        <w:rPr>
          <w:szCs w:val="24"/>
          <w:lang w:val="hr-HR"/>
        </w:rPr>
        <w:t>već</w:t>
      </w:r>
      <w:r w:rsidR="0028139F" w:rsidRPr="00F6590B">
        <w:rPr>
          <w:szCs w:val="24"/>
          <w:lang w:val="hr-HR"/>
        </w:rPr>
        <w:t>i</w:t>
      </w:r>
      <w:r w:rsidR="00FF79DA" w:rsidRPr="00F6590B">
        <w:rPr>
          <w:szCs w:val="24"/>
          <w:lang w:val="hr-HR"/>
        </w:rPr>
        <w:t xml:space="preserve"> može se reći kako sud </w:t>
      </w:r>
      <w:r w:rsidR="00FF79DA" w:rsidRPr="00F6590B">
        <w:rPr>
          <w:i/>
          <w:szCs w:val="24"/>
          <w:lang w:val="hr-HR"/>
        </w:rPr>
        <w:t>i</w:t>
      </w:r>
      <w:r w:rsidR="00FF79DA" w:rsidRPr="00F6590B">
        <w:rPr>
          <w:szCs w:val="24"/>
          <w:lang w:val="hr-HR"/>
        </w:rPr>
        <w:t xml:space="preserve"> (uz ostale uvjete neizmijenjene) konstantno rješava više predmeta u odnosu na ostale sudove, </w:t>
      </w:r>
      <w:r w:rsidR="00873CE6" w:rsidRPr="00F6590B">
        <w:rPr>
          <w:szCs w:val="24"/>
          <w:lang w:val="hr-HR"/>
        </w:rPr>
        <w:t xml:space="preserve">bez obzira na količinu priljeva, </w:t>
      </w:r>
      <w:r w:rsidR="00FF79DA" w:rsidRPr="00F6590B">
        <w:rPr>
          <w:szCs w:val="24"/>
          <w:lang w:val="hr-HR"/>
        </w:rPr>
        <w:t>broj prethodno neriješenih predmeta</w:t>
      </w:r>
      <w:r w:rsidR="00873CE6" w:rsidRPr="00F6590B">
        <w:rPr>
          <w:szCs w:val="24"/>
          <w:lang w:val="hr-HR"/>
        </w:rPr>
        <w:t>, i broj sudaca</w:t>
      </w:r>
      <w:r w:rsidR="00FF79DA" w:rsidRPr="00F6590B">
        <w:rPr>
          <w:szCs w:val="24"/>
          <w:lang w:val="hr-HR"/>
        </w:rPr>
        <w:t>.</w:t>
      </w:r>
      <w:r w:rsidR="0028139F" w:rsidRPr="00F6590B">
        <w:rPr>
          <w:szCs w:val="24"/>
          <w:lang w:val="hr-HR"/>
        </w:rPr>
        <w:t xml:space="preserve"> Dakle, </w:t>
      </w:r>
      <w:proofErr w:type="spellStart"/>
      <w:r w:rsidR="0028139F" w:rsidRPr="00F6590B">
        <w:rPr>
          <w:i/>
          <w:szCs w:val="24"/>
          <w:lang w:val="hr-HR"/>
        </w:rPr>
        <w:t>u</w:t>
      </w:r>
      <w:r w:rsidR="0028139F" w:rsidRPr="00F6590B">
        <w:rPr>
          <w:i/>
          <w:szCs w:val="24"/>
          <w:vertAlign w:val="subscript"/>
          <w:lang w:val="hr-HR"/>
        </w:rPr>
        <w:t>i</w:t>
      </w:r>
      <w:proofErr w:type="spellEnd"/>
      <w:r w:rsidR="0028139F" w:rsidRPr="00F6590B">
        <w:rPr>
          <w:szCs w:val="24"/>
          <w:lang w:val="hr-HR"/>
        </w:rPr>
        <w:t xml:space="preserve"> se može promatrati kao </w:t>
      </w:r>
      <w:r w:rsidR="00BB0F48" w:rsidRPr="00F6590B">
        <w:rPr>
          <w:szCs w:val="24"/>
          <w:lang w:val="hr-HR"/>
        </w:rPr>
        <w:t xml:space="preserve">fiksni </w:t>
      </w:r>
      <w:r w:rsidR="0028139F" w:rsidRPr="00F6590B">
        <w:rPr>
          <w:szCs w:val="24"/>
          <w:lang w:val="hr-HR"/>
        </w:rPr>
        <w:t xml:space="preserve">čimbenik „proizvodnje“ koji ne varira kroz vrijeme, te se za sud </w:t>
      </w:r>
      <w:r w:rsidR="0028139F" w:rsidRPr="00F6590B">
        <w:rPr>
          <w:i/>
          <w:szCs w:val="24"/>
          <w:lang w:val="hr-HR"/>
        </w:rPr>
        <w:t>i</w:t>
      </w:r>
      <w:r w:rsidR="0028139F" w:rsidRPr="00F6590B">
        <w:rPr>
          <w:szCs w:val="24"/>
          <w:lang w:val="hr-HR"/>
        </w:rPr>
        <w:t xml:space="preserve"> koji ima visok </w:t>
      </w:r>
      <w:proofErr w:type="spellStart"/>
      <w:r w:rsidR="0028139F" w:rsidRPr="00F6590B">
        <w:rPr>
          <w:i/>
          <w:szCs w:val="24"/>
          <w:lang w:val="hr-HR"/>
        </w:rPr>
        <w:t>u</w:t>
      </w:r>
      <w:r w:rsidR="0028139F" w:rsidRPr="00F6590B">
        <w:rPr>
          <w:i/>
          <w:szCs w:val="24"/>
          <w:vertAlign w:val="subscript"/>
          <w:lang w:val="hr-HR"/>
        </w:rPr>
        <w:t>i</w:t>
      </w:r>
      <w:proofErr w:type="spellEnd"/>
      <w:r w:rsidR="0028139F" w:rsidRPr="00F6590B">
        <w:rPr>
          <w:szCs w:val="24"/>
          <w:lang w:val="hr-HR"/>
        </w:rPr>
        <w:t xml:space="preserve"> može reći da konstantno „proizvodi“ više riješenih predmeta, </w:t>
      </w:r>
      <w:r w:rsidR="00757FB3" w:rsidRPr="00F6590B">
        <w:rPr>
          <w:szCs w:val="24"/>
          <w:lang w:val="hr-HR"/>
        </w:rPr>
        <w:t xml:space="preserve">a </w:t>
      </w:r>
      <w:r w:rsidR="00BB0F48" w:rsidRPr="00F6590B">
        <w:rPr>
          <w:szCs w:val="24"/>
          <w:lang w:val="hr-HR"/>
        </w:rPr>
        <w:t xml:space="preserve">pri tome ovaj individualni učinak </w:t>
      </w:r>
      <w:r w:rsidR="00757FB3" w:rsidRPr="00F6590B">
        <w:rPr>
          <w:szCs w:val="24"/>
          <w:lang w:val="hr-HR"/>
        </w:rPr>
        <w:t xml:space="preserve">smije biti koreliran s ostalim </w:t>
      </w:r>
      <w:r w:rsidR="0028139F" w:rsidRPr="00F6590B">
        <w:rPr>
          <w:szCs w:val="24"/>
          <w:lang w:val="hr-HR"/>
        </w:rPr>
        <w:t>regresor</w:t>
      </w:r>
      <w:r w:rsidR="00757FB3" w:rsidRPr="00F6590B">
        <w:rPr>
          <w:szCs w:val="24"/>
          <w:lang w:val="hr-HR"/>
        </w:rPr>
        <w:t>ima.</w:t>
      </w:r>
    </w:p>
    <w:p w14:paraId="70284D18" w14:textId="6DDB9C70" w:rsidR="00994600" w:rsidRPr="00F6590B" w:rsidRDefault="00994600" w:rsidP="00483743">
      <w:pPr>
        <w:spacing w:line="480" w:lineRule="auto"/>
        <w:rPr>
          <w:szCs w:val="24"/>
          <w:lang w:val="hr-HR"/>
        </w:rPr>
      </w:pPr>
      <w:r w:rsidRPr="00F6590B">
        <w:rPr>
          <w:szCs w:val="24"/>
          <w:lang w:val="hr-HR"/>
        </w:rPr>
        <w:t>Fiksni učinci mogu se specificirati i za vremenska razdoblja</w:t>
      </w:r>
      <w:r w:rsidR="00943451" w:rsidRPr="00F6590B">
        <w:rPr>
          <w:szCs w:val="24"/>
          <w:lang w:val="hr-HR"/>
        </w:rPr>
        <w:t xml:space="preserve"> (</w:t>
      </w:r>
      <w:proofErr w:type="spellStart"/>
      <w:r w:rsidR="00943451" w:rsidRPr="00F6590B">
        <w:rPr>
          <w:i/>
          <w:szCs w:val="24"/>
          <w:lang w:val="hr-HR"/>
        </w:rPr>
        <w:t>u</w:t>
      </w:r>
      <w:r w:rsidR="00943451" w:rsidRPr="00F6590B">
        <w:rPr>
          <w:i/>
          <w:szCs w:val="24"/>
          <w:vertAlign w:val="subscript"/>
          <w:lang w:val="hr-HR"/>
        </w:rPr>
        <w:t>t</w:t>
      </w:r>
      <w:proofErr w:type="spellEnd"/>
      <w:r w:rsidR="00943451" w:rsidRPr="00F6590B">
        <w:rPr>
          <w:szCs w:val="24"/>
          <w:lang w:val="hr-HR"/>
        </w:rPr>
        <w:t>)</w:t>
      </w:r>
      <w:r w:rsidRPr="00F6590B">
        <w:rPr>
          <w:szCs w:val="24"/>
          <w:lang w:val="hr-HR"/>
        </w:rPr>
        <w:t>. Ukoliko postoje signifikantni fiksni učinci kod vremenskih razdoblja, tada oni izražavaju kako sva promatrana razdoblja nisu homogena, odnosno kako se u nekim vremenskim razdobljima rješavalo više predmeta (bez obzira na sud)</w:t>
      </w:r>
      <w:r w:rsidR="005716E2" w:rsidRPr="00F6590B">
        <w:rPr>
          <w:szCs w:val="24"/>
          <w:lang w:val="hr-HR"/>
        </w:rPr>
        <w:t>, a u drugima se rješavalo manje predmeta.</w:t>
      </w:r>
    </w:p>
    <w:p w14:paraId="701881C5" w14:textId="7C4F45CD" w:rsidR="00BD2E9D" w:rsidRPr="00F6590B" w:rsidRDefault="00BD2E9D" w:rsidP="00483743">
      <w:pPr>
        <w:spacing w:line="480" w:lineRule="auto"/>
        <w:rPr>
          <w:szCs w:val="24"/>
          <w:lang w:val="hr-HR"/>
        </w:rPr>
      </w:pPr>
      <w:r w:rsidRPr="00F6590B">
        <w:rPr>
          <w:szCs w:val="24"/>
          <w:lang w:val="hr-HR"/>
        </w:rPr>
        <w:t xml:space="preserve">F-testom </w:t>
      </w:r>
      <w:r w:rsidR="005E397F" w:rsidRPr="00F6590B">
        <w:rPr>
          <w:szCs w:val="24"/>
          <w:lang w:val="hr-HR"/>
        </w:rPr>
        <w:t xml:space="preserve">i </w:t>
      </w:r>
      <w:r w:rsidR="005E397F" w:rsidRPr="00F6590B">
        <w:rPr>
          <w:rFonts w:cs="Times New Roman"/>
          <w:szCs w:val="24"/>
          <w:lang w:val="hr-HR"/>
        </w:rPr>
        <w:t>χ</w:t>
      </w:r>
      <w:r w:rsidR="005E397F" w:rsidRPr="00F6590B">
        <w:rPr>
          <w:szCs w:val="24"/>
          <w:vertAlign w:val="superscript"/>
          <w:lang w:val="hr-HR"/>
        </w:rPr>
        <w:t>2</w:t>
      </w:r>
      <w:r w:rsidR="005E397F" w:rsidRPr="00F6590B">
        <w:rPr>
          <w:szCs w:val="24"/>
          <w:lang w:val="hr-HR"/>
        </w:rPr>
        <w:t xml:space="preserve"> testom </w:t>
      </w:r>
      <w:r w:rsidRPr="00F6590B">
        <w:rPr>
          <w:szCs w:val="24"/>
          <w:lang w:val="hr-HR"/>
        </w:rPr>
        <w:t xml:space="preserve">ispitat </w:t>
      </w:r>
      <w:r w:rsidR="005E397F" w:rsidRPr="00F6590B">
        <w:rPr>
          <w:szCs w:val="24"/>
          <w:lang w:val="hr-HR"/>
        </w:rPr>
        <w:t xml:space="preserve">će se </w:t>
      </w:r>
      <w:r w:rsidRPr="00F6590B">
        <w:rPr>
          <w:szCs w:val="24"/>
          <w:lang w:val="hr-HR"/>
        </w:rPr>
        <w:t>hipoteza da su svi specifični odsječci jednaki nula</w:t>
      </w:r>
      <w:r w:rsidR="005E397F" w:rsidRPr="00F6590B">
        <w:rPr>
          <w:szCs w:val="24"/>
          <w:lang w:val="hr-HR"/>
        </w:rPr>
        <w:t>, i to odvojeno za sudove i za vremenska razdoblja, kao i zajedno (zajednička signifikantnost svih fiksnih učinaka)</w:t>
      </w:r>
      <w:r w:rsidRPr="00F6590B">
        <w:rPr>
          <w:szCs w:val="24"/>
          <w:lang w:val="hr-HR"/>
        </w:rPr>
        <w:t xml:space="preserve">. Ukoliko se ova hipoteza odbaci (odnosno ukoliko postoji barem jedan specifični odsječak </w:t>
      </w:r>
      <w:proofErr w:type="spellStart"/>
      <w:r w:rsidRPr="00F6590B">
        <w:rPr>
          <w:i/>
          <w:szCs w:val="24"/>
          <w:lang w:val="hr-HR"/>
        </w:rPr>
        <w:t>u</w:t>
      </w:r>
      <w:r w:rsidRPr="00F6590B">
        <w:rPr>
          <w:i/>
          <w:szCs w:val="24"/>
          <w:vertAlign w:val="subscript"/>
          <w:lang w:val="hr-HR"/>
        </w:rPr>
        <w:t>i</w:t>
      </w:r>
      <w:proofErr w:type="spellEnd"/>
      <w:r w:rsidRPr="00F6590B">
        <w:rPr>
          <w:szCs w:val="24"/>
          <w:lang w:val="hr-HR"/>
        </w:rPr>
        <w:t xml:space="preserve"> </w:t>
      </w:r>
      <w:r w:rsidR="00873CE6" w:rsidRPr="00F6590B">
        <w:rPr>
          <w:szCs w:val="24"/>
          <w:lang w:val="hr-HR"/>
        </w:rPr>
        <w:t xml:space="preserve">ili </w:t>
      </w:r>
      <w:proofErr w:type="spellStart"/>
      <w:r w:rsidR="00873CE6" w:rsidRPr="00F6590B">
        <w:rPr>
          <w:i/>
          <w:szCs w:val="24"/>
          <w:lang w:val="hr-HR"/>
        </w:rPr>
        <w:t>u</w:t>
      </w:r>
      <w:r w:rsidR="00873CE6" w:rsidRPr="00F6590B">
        <w:rPr>
          <w:i/>
          <w:szCs w:val="24"/>
          <w:vertAlign w:val="subscript"/>
          <w:lang w:val="hr-HR"/>
        </w:rPr>
        <w:t>t</w:t>
      </w:r>
      <w:proofErr w:type="spellEnd"/>
      <w:r w:rsidR="00873CE6" w:rsidRPr="00F6590B">
        <w:rPr>
          <w:szCs w:val="24"/>
          <w:lang w:val="hr-HR"/>
        </w:rPr>
        <w:t xml:space="preserve"> </w:t>
      </w:r>
      <w:r w:rsidRPr="00F6590B">
        <w:rPr>
          <w:szCs w:val="24"/>
          <w:lang w:val="hr-HR"/>
        </w:rPr>
        <w:t xml:space="preserve">koji nije nula), tada se može smatrati kako je model s fiksnim učincima prikladniji od </w:t>
      </w:r>
      <w:proofErr w:type="spellStart"/>
      <w:r w:rsidRPr="00F6590B">
        <w:rPr>
          <w:i/>
          <w:szCs w:val="24"/>
          <w:lang w:val="hr-HR"/>
        </w:rPr>
        <w:t>pooled</w:t>
      </w:r>
      <w:proofErr w:type="spellEnd"/>
      <w:r w:rsidRPr="00F6590B">
        <w:rPr>
          <w:i/>
          <w:szCs w:val="24"/>
          <w:lang w:val="hr-HR"/>
        </w:rPr>
        <w:t xml:space="preserve"> OLS</w:t>
      </w:r>
      <w:r w:rsidR="005E397F" w:rsidRPr="00F6590B">
        <w:rPr>
          <w:szCs w:val="24"/>
          <w:lang w:val="hr-HR"/>
        </w:rPr>
        <w:t xml:space="preserve"> modela koji ima samo jednu, </w:t>
      </w:r>
      <w:r w:rsidR="00873CE6" w:rsidRPr="00F6590B">
        <w:rPr>
          <w:szCs w:val="24"/>
          <w:lang w:val="hr-HR"/>
        </w:rPr>
        <w:t>univerzalnu</w:t>
      </w:r>
      <w:r w:rsidR="005E397F" w:rsidRPr="00F6590B">
        <w:rPr>
          <w:szCs w:val="24"/>
          <w:lang w:val="hr-HR"/>
        </w:rPr>
        <w:t xml:space="preserve"> konstantu.</w:t>
      </w:r>
    </w:p>
    <w:p w14:paraId="6B155423" w14:textId="70623972" w:rsidR="00370A76" w:rsidRPr="00F6590B" w:rsidRDefault="00FF0324" w:rsidP="00483743">
      <w:pPr>
        <w:spacing w:line="480" w:lineRule="auto"/>
        <w:rPr>
          <w:szCs w:val="24"/>
          <w:lang w:val="hr-HR"/>
        </w:rPr>
      </w:pPr>
      <w:r w:rsidRPr="00F6590B">
        <w:rPr>
          <w:szCs w:val="24"/>
          <w:lang w:val="hr-HR"/>
        </w:rPr>
        <w:t>Panel s n</w:t>
      </w:r>
      <w:r w:rsidR="00370A76" w:rsidRPr="00F6590B">
        <w:rPr>
          <w:szCs w:val="24"/>
          <w:lang w:val="hr-HR"/>
        </w:rPr>
        <w:t>asumični</w:t>
      </w:r>
      <w:r w:rsidR="008C0BA1" w:rsidRPr="00F6590B">
        <w:rPr>
          <w:szCs w:val="24"/>
          <w:lang w:val="hr-HR"/>
        </w:rPr>
        <w:t>m</w:t>
      </w:r>
      <w:r w:rsidR="00370A76" w:rsidRPr="00F6590B">
        <w:rPr>
          <w:szCs w:val="24"/>
          <w:lang w:val="hr-HR"/>
        </w:rPr>
        <w:t xml:space="preserve"> učinci</w:t>
      </w:r>
      <w:r w:rsidRPr="00F6590B">
        <w:rPr>
          <w:szCs w:val="24"/>
          <w:lang w:val="hr-HR"/>
        </w:rPr>
        <w:t>ma definiran je izrazom</w:t>
      </w:r>
      <w:r w:rsidR="00370A76" w:rsidRPr="00F6590B">
        <w:rPr>
          <w:szCs w:val="24"/>
          <w:lang w:val="hr-HR"/>
        </w:rPr>
        <w:t>:</w:t>
      </w:r>
    </w:p>
    <w:p w14:paraId="2C49B6C8" w14:textId="60CBD3A7" w:rsidR="00370A76" w:rsidRPr="00F6590B" w:rsidRDefault="00370A76" w:rsidP="00483743">
      <w:pPr>
        <w:spacing w:line="480" w:lineRule="auto"/>
        <w:ind w:firstLine="0"/>
        <w:rPr>
          <w:szCs w:val="24"/>
          <w:lang w:val="hr-HR"/>
        </w:rPr>
      </w:pPr>
      <w:proofErr w:type="spellStart"/>
      <w:r w:rsidRPr="00F6590B">
        <w:rPr>
          <w:i/>
          <w:szCs w:val="24"/>
          <w:lang w:val="hr-HR"/>
        </w:rPr>
        <w:t>lnRIJESENI</w:t>
      </w:r>
      <w:r w:rsidRPr="00F6590B">
        <w:rPr>
          <w:i/>
          <w:szCs w:val="24"/>
          <w:vertAlign w:val="subscript"/>
          <w:lang w:val="hr-HR"/>
        </w:rPr>
        <w:t>it</w:t>
      </w:r>
      <w:proofErr w:type="spellEnd"/>
      <w:r w:rsidRPr="00F6590B">
        <w:rPr>
          <w:i/>
          <w:szCs w:val="24"/>
          <w:lang w:val="hr-HR"/>
        </w:rPr>
        <w:t xml:space="preserve"> = </w:t>
      </w:r>
      <w:r w:rsidRPr="00F6590B">
        <w:rPr>
          <w:rFonts w:cs="Times New Roman"/>
          <w:i/>
          <w:szCs w:val="24"/>
          <w:lang w:val="hr-HR"/>
        </w:rPr>
        <w:t>α</w:t>
      </w:r>
      <w:r w:rsidRPr="00F6590B">
        <w:rPr>
          <w:rFonts w:cs="Times New Roman"/>
          <w:szCs w:val="24"/>
          <w:lang w:val="hr-HR"/>
        </w:rPr>
        <w:t xml:space="preserve"> </w:t>
      </w:r>
      <w:r w:rsidRPr="00F6590B">
        <w:rPr>
          <w:i/>
          <w:szCs w:val="24"/>
          <w:lang w:val="hr-HR"/>
        </w:rPr>
        <w:t xml:space="preserve">+ </w:t>
      </w:r>
      <w:r w:rsidR="001214C0" w:rsidRPr="00F6590B">
        <w:rPr>
          <w:i/>
          <w:szCs w:val="24"/>
          <w:lang w:val="hr-HR"/>
        </w:rPr>
        <w:t>β</w:t>
      </w:r>
      <w:r w:rsidR="001214C0" w:rsidRPr="00F6590B">
        <w:rPr>
          <w:szCs w:val="24"/>
          <w:vertAlign w:val="subscript"/>
          <w:lang w:val="hr-HR"/>
        </w:rPr>
        <w:t>1</w:t>
      </w:r>
      <w:r w:rsidR="001214C0" w:rsidRPr="00F6590B">
        <w:rPr>
          <w:i/>
          <w:szCs w:val="24"/>
          <w:lang w:val="hr-HR"/>
        </w:rPr>
        <w:t>lnNOVI</w:t>
      </w:r>
      <w:r w:rsidR="001214C0" w:rsidRPr="00F6590B">
        <w:rPr>
          <w:i/>
          <w:szCs w:val="24"/>
          <w:vertAlign w:val="subscript"/>
          <w:lang w:val="hr-HR"/>
        </w:rPr>
        <w:t xml:space="preserve">it </w:t>
      </w:r>
      <w:r w:rsidR="001214C0" w:rsidRPr="00F6590B">
        <w:rPr>
          <w:i/>
          <w:szCs w:val="24"/>
          <w:lang w:val="hr-HR"/>
        </w:rPr>
        <w:t>+ β</w:t>
      </w:r>
      <w:r w:rsidR="001214C0" w:rsidRPr="00F6590B">
        <w:rPr>
          <w:szCs w:val="24"/>
          <w:vertAlign w:val="subscript"/>
          <w:lang w:val="hr-HR"/>
        </w:rPr>
        <w:t>2</w:t>
      </w:r>
      <w:r w:rsidR="001214C0" w:rsidRPr="00F6590B">
        <w:rPr>
          <w:i/>
          <w:szCs w:val="24"/>
          <w:lang w:val="hr-HR"/>
        </w:rPr>
        <w:t>lnSUCI</w:t>
      </w:r>
      <w:r w:rsidR="001214C0" w:rsidRPr="00F6590B">
        <w:rPr>
          <w:i/>
          <w:szCs w:val="24"/>
          <w:vertAlign w:val="subscript"/>
          <w:lang w:val="hr-HR"/>
        </w:rPr>
        <w:t xml:space="preserve">it </w:t>
      </w:r>
      <w:r w:rsidR="001214C0" w:rsidRPr="00F6590B">
        <w:rPr>
          <w:i/>
          <w:szCs w:val="24"/>
          <w:lang w:val="hr-HR"/>
        </w:rPr>
        <w:t xml:space="preserve"> + β</w:t>
      </w:r>
      <w:r w:rsidR="001214C0" w:rsidRPr="00F6590B">
        <w:rPr>
          <w:szCs w:val="24"/>
          <w:vertAlign w:val="subscript"/>
          <w:lang w:val="hr-HR"/>
        </w:rPr>
        <w:t>3</w:t>
      </w:r>
      <w:r w:rsidR="001214C0" w:rsidRPr="00F6590B">
        <w:rPr>
          <w:i/>
          <w:szCs w:val="24"/>
          <w:lang w:val="hr-HR"/>
        </w:rPr>
        <w:t>lnNERIJESENI</w:t>
      </w:r>
      <w:r w:rsidR="001214C0" w:rsidRPr="00F6590B">
        <w:rPr>
          <w:i/>
          <w:szCs w:val="24"/>
          <w:vertAlign w:val="subscript"/>
          <w:lang w:val="hr-HR"/>
        </w:rPr>
        <w:t>it-1</w:t>
      </w:r>
      <w:r w:rsidR="001214C0" w:rsidRPr="00F6590B">
        <w:rPr>
          <w:i/>
          <w:szCs w:val="24"/>
          <w:lang w:val="hr-HR"/>
        </w:rPr>
        <w:t xml:space="preserve"> </w:t>
      </w:r>
      <w:r w:rsidRPr="00F6590B">
        <w:rPr>
          <w:i/>
          <w:szCs w:val="24"/>
          <w:lang w:val="hr-HR"/>
        </w:rPr>
        <w:t>+</w:t>
      </w:r>
      <w:r w:rsidRPr="00F6590B">
        <w:rPr>
          <w:szCs w:val="24"/>
          <w:lang w:val="hr-HR"/>
        </w:rPr>
        <w:t xml:space="preserve"> (</w:t>
      </w:r>
      <w:proofErr w:type="spellStart"/>
      <w:r w:rsidRPr="00F6590B">
        <w:rPr>
          <w:i/>
          <w:szCs w:val="24"/>
          <w:lang w:val="hr-HR"/>
        </w:rPr>
        <w:t>u</w:t>
      </w:r>
      <w:r w:rsidRPr="00F6590B">
        <w:rPr>
          <w:i/>
          <w:szCs w:val="24"/>
          <w:vertAlign w:val="subscript"/>
          <w:lang w:val="hr-HR"/>
        </w:rPr>
        <w:t>i</w:t>
      </w:r>
      <w:r w:rsidR="003340D7">
        <w:rPr>
          <w:i/>
          <w:szCs w:val="24"/>
          <w:vertAlign w:val="subscript"/>
          <w:lang w:val="hr-HR"/>
        </w:rPr>
        <w:t>t</w:t>
      </w:r>
      <w:proofErr w:type="spellEnd"/>
      <w:r w:rsidRPr="00F6590B">
        <w:rPr>
          <w:i/>
          <w:szCs w:val="24"/>
          <w:lang w:val="hr-HR"/>
        </w:rPr>
        <w:t xml:space="preserve"> + v</w:t>
      </w:r>
      <w:r w:rsidRPr="00F6590B">
        <w:rPr>
          <w:i/>
          <w:szCs w:val="24"/>
          <w:vertAlign w:val="subscript"/>
          <w:lang w:val="hr-HR"/>
        </w:rPr>
        <w:t>it</w:t>
      </w:r>
      <w:r w:rsidRPr="00F6590B">
        <w:rPr>
          <w:szCs w:val="24"/>
          <w:lang w:val="hr-HR"/>
        </w:rPr>
        <w:t>)</w:t>
      </w:r>
      <w:r w:rsidR="001214C0" w:rsidRPr="00F6590B">
        <w:rPr>
          <w:szCs w:val="24"/>
          <w:lang w:val="hr-HR"/>
        </w:rPr>
        <w:t xml:space="preserve"> </w:t>
      </w:r>
      <w:r w:rsidR="0071625E" w:rsidRPr="00F6590B">
        <w:rPr>
          <w:szCs w:val="24"/>
          <w:lang w:val="hr-HR"/>
        </w:rPr>
        <w:tab/>
      </w:r>
      <w:r w:rsidR="0071625E" w:rsidRPr="00F6590B">
        <w:rPr>
          <w:szCs w:val="24"/>
          <w:lang w:val="hr-HR"/>
        </w:rPr>
        <w:tab/>
      </w:r>
      <w:r w:rsidRPr="00F6590B">
        <w:rPr>
          <w:szCs w:val="24"/>
          <w:lang w:val="hr-HR"/>
        </w:rPr>
        <w:t>{</w:t>
      </w:r>
      <w:r w:rsidR="00E93A03">
        <w:rPr>
          <w:szCs w:val="24"/>
          <w:lang w:val="hr-HR"/>
        </w:rPr>
        <w:t>7</w:t>
      </w:r>
      <w:r w:rsidRPr="00F6590B">
        <w:rPr>
          <w:szCs w:val="24"/>
          <w:lang w:val="hr-HR"/>
        </w:rPr>
        <w:t>}</w:t>
      </w:r>
    </w:p>
    <w:p w14:paraId="3DA9F4EC" w14:textId="4B7CF8BB" w:rsidR="002A197B" w:rsidRPr="00F6590B" w:rsidRDefault="00370A76" w:rsidP="00483743">
      <w:pPr>
        <w:spacing w:line="480" w:lineRule="auto"/>
        <w:rPr>
          <w:szCs w:val="24"/>
          <w:lang w:val="hr-HR"/>
        </w:rPr>
      </w:pPr>
      <w:r w:rsidRPr="00F6590B">
        <w:rPr>
          <w:szCs w:val="24"/>
          <w:lang w:val="hr-HR"/>
        </w:rPr>
        <w:lastRenderedPageBreak/>
        <w:t xml:space="preserve">pri čemu su </w:t>
      </w:r>
      <w:proofErr w:type="spellStart"/>
      <w:r w:rsidRPr="00F6590B">
        <w:rPr>
          <w:i/>
          <w:szCs w:val="24"/>
          <w:lang w:val="hr-HR"/>
        </w:rPr>
        <w:t>u</w:t>
      </w:r>
      <w:r w:rsidRPr="00F6590B">
        <w:rPr>
          <w:i/>
          <w:szCs w:val="24"/>
          <w:vertAlign w:val="subscript"/>
          <w:lang w:val="hr-HR"/>
        </w:rPr>
        <w:t>i</w:t>
      </w:r>
      <w:proofErr w:type="spellEnd"/>
      <w:r w:rsidRPr="00F6590B">
        <w:rPr>
          <w:szCs w:val="24"/>
          <w:lang w:val="hr-HR"/>
        </w:rPr>
        <w:t xml:space="preserve"> nasumični učinci specifični za svaki sud. Model s nasumičnim učincima pretpostavlja </w:t>
      </w:r>
      <w:r w:rsidR="008C0BA1" w:rsidRPr="00F6590B">
        <w:rPr>
          <w:szCs w:val="24"/>
          <w:lang w:val="hr-HR"/>
        </w:rPr>
        <w:t>kako</w:t>
      </w:r>
      <w:r w:rsidRPr="00F6590B">
        <w:rPr>
          <w:szCs w:val="24"/>
          <w:lang w:val="hr-HR"/>
        </w:rPr>
        <w:t xml:space="preserve"> postoje specifične individualne karakteristike svakog suda, ali da su one nasumične („slučajne“), i kao takve čine dio greške</w:t>
      </w:r>
      <w:r w:rsidR="00873CE6" w:rsidRPr="00F6590B">
        <w:rPr>
          <w:szCs w:val="24"/>
          <w:lang w:val="hr-HR"/>
        </w:rPr>
        <w:t>,</w:t>
      </w:r>
      <w:r w:rsidRPr="00F6590B">
        <w:rPr>
          <w:szCs w:val="24"/>
          <w:lang w:val="hr-HR"/>
        </w:rPr>
        <w:t xml:space="preserve"> a ne konstante. </w:t>
      </w:r>
      <w:r w:rsidR="0098144A" w:rsidRPr="00F6590B">
        <w:rPr>
          <w:szCs w:val="24"/>
          <w:lang w:val="hr-HR"/>
        </w:rPr>
        <w:t>Dakle, r</w:t>
      </w:r>
      <w:r w:rsidRPr="00F6590B">
        <w:rPr>
          <w:szCs w:val="24"/>
          <w:lang w:val="hr-HR"/>
        </w:rPr>
        <w:t xml:space="preserve">azlike između sudova ovdje ne leže u konstantama, nego u greškama. Jedna od ključnih razlika između modela fiksnih i nasumičnih učinaka jest u korelaciji nepromatrane heterogenosti sa regresorima. </w:t>
      </w:r>
    </w:p>
    <w:p w14:paraId="6DC28605" w14:textId="305744CB" w:rsidR="00370A76" w:rsidRPr="00F6590B" w:rsidRDefault="00370A76" w:rsidP="00483743">
      <w:pPr>
        <w:spacing w:line="480" w:lineRule="auto"/>
        <w:rPr>
          <w:szCs w:val="24"/>
          <w:lang w:val="hr-HR"/>
        </w:rPr>
      </w:pPr>
      <w:r w:rsidRPr="00F6590B">
        <w:rPr>
          <w:szCs w:val="24"/>
          <w:lang w:val="hr-HR"/>
        </w:rPr>
        <w:t xml:space="preserve">Ako </w:t>
      </w:r>
      <w:r w:rsidR="00574A29" w:rsidRPr="00F6590B">
        <w:rPr>
          <w:szCs w:val="24"/>
          <w:lang w:val="hr-HR"/>
        </w:rPr>
        <w:t xml:space="preserve">se smatra da je </w:t>
      </w:r>
      <w:r w:rsidRPr="00F6590B">
        <w:rPr>
          <w:szCs w:val="24"/>
          <w:lang w:val="hr-HR"/>
        </w:rPr>
        <w:t xml:space="preserve">nepromatrana heterogenost </w:t>
      </w:r>
      <w:r w:rsidR="00574A29" w:rsidRPr="00F6590B">
        <w:rPr>
          <w:szCs w:val="24"/>
          <w:lang w:val="hr-HR"/>
        </w:rPr>
        <w:t xml:space="preserve">korelirana sa regresorima primijenit će se </w:t>
      </w:r>
      <w:r w:rsidR="008C0BA1" w:rsidRPr="00F6590B">
        <w:rPr>
          <w:szCs w:val="24"/>
          <w:lang w:val="hr-HR"/>
        </w:rPr>
        <w:t xml:space="preserve">model s </w:t>
      </w:r>
      <w:r w:rsidR="00574A29" w:rsidRPr="00F6590B">
        <w:rPr>
          <w:szCs w:val="24"/>
          <w:lang w:val="hr-HR"/>
        </w:rPr>
        <w:t>fiksni</w:t>
      </w:r>
      <w:r w:rsidR="008C0BA1" w:rsidRPr="00F6590B">
        <w:rPr>
          <w:szCs w:val="24"/>
          <w:lang w:val="hr-HR"/>
        </w:rPr>
        <w:t>m</w:t>
      </w:r>
      <w:r w:rsidR="00574A29" w:rsidRPr="00F6590B">
        <w:rPr>
          <w:szCs w:val="24"/>
          <w:lang w:val="hr-HR"/>
        </w:rPr>
        <w:t xml:space="preserve"> učinci</w:t>
      </w:r>
      <w:r w:rsidR="008C0BA1" w:rsidRPr="00F6590B">
        <w:rPr>
          <w:szCs w:val="24"/>
          <w:lang w:val="hr-HR"/>
        </w:rPr>
        <w:t>ma</w:t>
      </w:r>
      <w:r w:rsidR="00574A29" w:rsidRPr="00F6590B">
        <w:rPr>
          <w:szCs w:val="24"/>
          <w:lang w:val="hr-HR"/>
        </w:rPr>
        <w:t>; ako se smatra da nije korelirana primijenit će se nasumični učinci. U ovom radu pre</w:t>
      </w:r>
      <w:r w:rsidR="002A197B" w:rsidRPr="00F6590B">
        <w:rPr>
          <w:szCs w:val="24"/>
          <w:lang w:val="hr-HR"/>
        </w:rPr>
        <w:t>t</w:t>
      </w:r>
      <w:r w:rsidR="00574A29" w:rsidRPr="00F6590B">
        <w:rPr>
          <w:szCs w:val="24"/>
          <w:lang w:val="hr-HR"/>
        </w:rPr>
        <w:t xml:space="preserve">postavlja se da je efikasnost trgovačkih sudova korelirana s brojem neriješenih predmeta, što znači da se očekuju fiksni učinci, no </w:t>
      </w:r>
      <w:proofErr w:type="spellStart"/>
      <w:r w:rsidR="00574A29" w:rsidRPr="00F6590B">
        <w:rPr>
          <w:szCs w:val="24"/>
          <w:lang w:val="hr-HR"/>
        </w:rPr>
        <w:t>Hausmanov</w:t>
      </w:r>
      <w:proofErr w:type="spellEnd"/>
      <w:r w:rsidR="00574A29" w:rsidRPr="00F6590B">
        <w:rPr>
          <w:szCs w:val="24"/>
          <w:lang w:val="hr-HR"/>
        </w:rPr>
        <w:t xml:space="preserve"> test </w:t>
      </w:r>
      <w:r w:rsidR="00587E00" w:rsidRPr="00F6590B">
        <w:rPr>
          <w:szCs w:val="24"/>
          <w:lang w:val="hr-HR"/>
        </w:rPr>
        <w:t xml:space="preserve">(1978) </w:t>
      </w:r>
      <w:r w:rsidR="00574A29" w:rsidRPr="00F6590B">
        <w:rPr>
          <w:szCs w:val="24"/>
          <w:lang w:val="hr-HR"/>
        </w:rPr>
        <w:t xml:space="preserve">će pokazati koji su učinci prikladniji jer je moguća </w:t>
      </w:r>
      <w:r w:rsidR="002A197B" w:rsidRPr="00F6590B">
        <w:rPr>
          <w:szCs w:val="24"/>
          <w:lang w:val="hr-HR"/>
        </w:rPr>
        <w:t xml:space="preserve">i </w:t>
      </w:r>
      <w:r w:rsidR="00574A29" w:rsidRPr="00F6590B">
        <w:rPr>
          <w:szCs w:val="24"/>
          <w:lang w:val="hr-HR"/>
        </w:rPr>
        <w:t>alternativna hipoteza: ona koja tvrdi kako su razlike u efikasnosti nasumične.</w:t>
      </w:r>
    </w:p>
    <w:p w14:paraId="49C09D3C" w14:textId="2769F149" w:rsidR="007F1E33" w:rsidRPr="00F6590B" w:rsidRDefault="007F1E33" w:rsidP="00483743">
      <w:pPr>
        <w:spacing w:line="480" w:lineRule="auto"/>
        <w:rPr>
          <w:szCs w:val="24"/>
          <w:lang w:val="hr-HR"/>
        </w:rPr>
      </w:pPr>
      <w:proofErr w:type="spellStart"/>
      <w:r w:rsidRPr="00F6590B">
        <w:rPr>
          <w:szCs w:val="24"/>
          <w:lang w:val="hr-HR"/>
        </w:rPr>
        <w:t>Breusch</w:t>
      </w:r>
      <w:proofErr w:type="spellEnd"/>
      <w:r w:rsidRPr="00F6590B">
        <w:rPr>
          <w:szCs w:val="24"/>
          <w:lang w:val="hr-HR"/>
        </w:rPr>
        <w:t xml:space="preserve"> i </w:t>
      </w:r>
      <w:proofErr w:type="spellStart"/>
      <w:r w:rsidRPr="00F6590B">
        <w:rPr>
          <w:szCs w:val="24"/>
          <w:lang w:val="hr-HR"/>
        </w:rPr>
        <w:t>Pagan</w:t>
      </w:r>
      <w:proofErr w:type="spellEnd"/>
      <w:r w:rsidRPr="00F6590B">
        <w:rPr>
          <w:szCs w:val="24"/>
          <w:lang w:val="hr-HR"/>
        </w:rPr>
        <w:t xml:space="preserve"> (1980) </w:t>
      </w:r>
      <w:proofErr w:type="spellStart"/>
      <w:r w:rsidRPr="00F6590B">
        <w:rPr>
          <w:szCs w:val="24"/>
          <w:lang w:val="hr-HR"/>
        </w:rPr>
        <w:t>Lagrange</w:t>
      </w:r>
      <w:proofErr w:type="spellEnd"/>
      <w:r w:rsidRPr="00F6590B">
        <w:rPr>
          <w:szCs w:val="24"/>
          <w:lang w:val="hr-HR"/>
        </w:rPr>
        <w:t xml:space="preserve"> </w:t>
      </w:r>
      <w:proofErr w:type="spellStart"/>
      <w:r w:rsidRPr="00F6590B">
        <w:rPr>
          <w:szCs w:val="24"/>
          <w:lang w:val="hr-HR"/>
        </w:rPr>
        <w:t>multiplier</w:t>
      </w:r>
      <w:proofErr w:type="spellEnd"/>
      <w:r w:rsidRPr="00F6590B">
        <w:rPr>
          <w:szCs w:val="24"/>
          <w:lang w:val="hr-HR"/>
        </w:rPr>
        <w:t xml:space="preserve"> test ispituje hipotezu jesu li individualne specifične komponente varijance jednake nuli. Ukoliko se ova hipoteza odbaci može se zaključiti kako postoji signifikantan nasumični učinak, odnosno kako je model </w:t>
      </w:r>
      <w:r w:rsidR="00B154E2" w:rsidRPr="00F6590B">
        <w:rPr>
          <w:szCs w:val="24"/>
          <w:lang w:val="hr-HR"/>
        </w:rPr>
        <w:t xml:space="preserve">s </w:t>
      </w:r>
      <w:r w:rsidRPr="00F6590B">
        <w:rPr>
          <w:szCs w:val="24"/>
          <w:lang w:val="hr-HR"/>
        </w:rPr>
        <w:t xml:space="preserve">nasumičnim učincima prikladniji nego </w:t>
      </w:r>
      <w:proofErr w:type="spellStart"/>
      <w:r w:rsidRPr="00F6590B">
        <w:rPr>
          <w:i/>
          <w:szCs w:val="24"/>
          <w:lang w:val="hr-HR"/>
        </w:rPr>
        <w:t>pooled</w:t>
      </w:r>
      <w:proofErr w:type="spellEnd"/>
      <w:r w:rsidRPr="00F6590B">
        <w:rPr>
          <w:i/>
          <w:szCs w:val="24"/>
          <w:lang w:val="hr-HR"/>
        </w:rPr>
        <w:t xml:space="preserve"> OLS</w:t>
      </w:r>
      <w:r w:rsidRPr="00F6590B">
        <w:rPr>
          <w:szCs w:val="24"/>
          <w:lang w:val="hr-HR"/>
        </w:rPr>
        <w:t xml:space="preserve"> model.</w:t>
      </w:r>
    </w:p>
    <w:p w14:paraId="56D1897B" w14:textId="3756809D" w:rsidR="007F1E33" w:rsidRPr="00F6590B" w:rsidRDefault="007F1E33" w:rsidP="00483743">
      <w:pPr>
        <w:spacing w:line="480" w:lineRule="auto"/>
        <w:rPr>
          <w:szCs w:val="24"/>
          <w:lang w:val="hr-HR"/>
        </w:rPr>
      </w:pPr>
      <w:r w:rsidRPr="00F6590B">
        <w:rPr>
          <w:szCs w:val="24"/>
          <w:lang w:val="hr-HR"/>
        </w:rPr>
        <w:t xml:space="preserve">S druge strane, usporedba fiksnih i nasumičnih učinaka vršit će se </w:t>
      </w:r>
      <w:r w:rsidR="0098144A" w:rsidRPr="00F6590B">
        <w:rPr>
          <w:szCs w:val="24"/>
          <w:lang w:val="hr-HR"/>
        </w:rPr>
        <w:t xml:space="preserve">navedenim </w:t>
      </w:r>
      <w:proofErr w:type="spellStart"/>
      <w:r w:rsidRPr="00F6590B">
        <w:rPr>
          <w:szCs w:val="24"/>
          <w:lang w:val="hr-HR"/>
        </w:rPr>
        <w:t>Hausmanovim</w:t>
      </w:r>
      <w:proofErr w:type="spellEnd"/>
      <w:r w:rsidRPr="00F6590B">
        <w:rPr>
          <w:szCs w:val="24"/>
          <w:lang w:val="hr-HR"/>
        </w:rPr>
        <w:t xml:space="preserve"> testom, </w:t>
      </w:r>
      <w:r w:rsidR="00AF49A6" w:rsidRPr="00F6590B">
        <w:rPr>
          <w:szCs w:val="24"/>
          <w:lang w:val="hr-HR"/>
        </w:rPr>
        <w:t xml:space="preserve">koji </w:t>
      </w:r>
      <w:r w:rsidRPr="00F6590B">
        <w:rPr>
          <w:szCs w:val="24"/>
          <w:lang w:val="hr-HR"/>
        </w:rPr>
        <w:t xml:space="preserve">komparira ove učinke pod hipotezom da individualni učinci nisu korelirani ni s jednim </w:t>
      </w:r>
      <w:proofErr w:type="spellStart"/>
      <w:r w:rsidRPr="00F6590B">
        <w:rPr>
          <w:szCs w:val="24"/>
          <w:lang w:val="hr-HR"/>
        </w:rPr>
        <w:t>regresorom</w:t>
      </w:r>
      <w:proofErr w:type="spellEnd"/>
      <w:r w:rsidRPr="00F6590B">
        <w:rPr>
          <w:szCs w:val="24"/>
          <w:lang w:val="hr-HR"/>
        </w:rPr>
        <w:t xml:space="preserve"> u modelu.</w:t>
      </w:r>
      <w:r w:rsidR="00AF49A6" w:rsidRPr="00F6590B">
        <w:rPr>
          <w:szCs w:val="24"/>
          <w:lang w:val="hr-HR"/>
        </w:rPr>
        <w:t xml:space="preserve"> Odbacivanje ove hipoteze dovodi do zaključka kako je barem jedan </w:t>
      </w:r>
      <w:proofErr w:type="spellStart"/>
      <w:r w:rsidR="00AF49A6" w:rsidRPr="00F6590B">
        <w:rPr>
          <w:szCs w:val="24"/>
          <w:lang w:val="hr-HR"/>
        </w:rPr>
        <w:t>regresor</w:t>
      </w:r>
      <w:proofErr w:type="spellEnd"/>
      <w:r w:rsidR="00AF49A6" w:rsidRPr="00F6590B">
        <w:rPr>
          <w:szCs w:val="24"/>
          <w:lang w:val="hr-HR"/>
        </w:rPr>
        <w:t xml:space="preserve"> signifikantno koreliran s individualnim učincima, odnosno kako je model s nasumičnim učincima problematičan te bi se valjalo prikloniti fiksnima.</w:t>
      </w:r>
    </w:p>
    <w:p w14:paraId="55330513" w14:textId="7E7119BA" w:rsidR="0050245E" w:rsidRPr="00F6590B" w:rsidRDefault="00AF49A6" w:rsidP="00483743">
      <w:pPr>
        <w:spacing w:line="480" w:lineRule="auto"/>
        <w:rPr>
          <w:szCs w:val="24"/>
          <w:lang w:val="hr-HR"/>
        </w:rPr>
      </w:pPr>
      <w:r w:rsidRPr="00F6590B">
        <w:rPr>
          <w:szCs w:val="24"/>
          <w:lang w:val="hr-HR"/>
        </w:rPr>
        <w:t>Svakako je bitno uočiti da i nasumični i fiksni učinci definiraju opseg nemjerenih (nepromatranih) varijabli</w:t>
      </w:r>
      <w:r w:rsidR="001214C0" w:rsidRPr="00F6590B">
        <w:rPr>
          <w:szCs w:val="24"/>
          <w:lang w:val="hr-HR"/>
        </w:rPr>
        <w:t>, što u ovom radu znači da adresiraju sve one razlike između sudova koje utječu na „proizvodnju“</w:t>
      </w:r>
      <w:r w:rsidR="00BE7A48" w:rsidRPr="00F6590B">
        <w:rPr>
          <w:szCs w:val="24"/>
          <w:lang w:val="hr-HR"/>
        </w:rPr>
        <w:t xml:space="preserve"> riješenih predmeta iz novih, </w:t>
      </w:r>
      <w:r w:rsidR="001214C0" w:rsidRPr="00F6590B">
        <w:rPr>
          <w:szCs w:val="24"/>
          <w:lang w:val="hr-HR"/>
        </w:rPr>
        <w:t>prethodno neriješenih</w:t>
      </w:r>
      <w:r w:rsidR="00BE7A48" w:rsidRPr="00F6590B">
        <w:rPr>
          <w:szCs w:val="24"/>
          <w:lang w:val="hr-HR"/>
        </w:rPr>
        <w:t xml:space="preserve">, </w:t>
      </w:r>
      <w:r w:rsidR="0071625E" w:rsidRPr="00F6590B">
        <w:rPr>
          <w:szCs w:val="24"/>
          <w:lang w:val="hr-HR"/>
        </w:rPr>
        <w:t>te iz</w:t>
      </w:r>
      <w:r w:rsidR="00BE7A48" w:rsidRPr="00F6590B">
        <w:rPr>
          <w:szCs w:val="24"/>
          <w:lang w:val="hr-HR"/>
        </w:rPr>
        <w:t xml:space="preserve"> </w:t>
      </w:r>
      <w:r w:rsidR="00B154E2" w:rsidRPr="00F6590B">
        <w:rPr>
          <w:szCs w:val="24"/>
          <w:lang w:val="hr-HR"/>
        </w:rPr>
        <w:t>veličine suda mjerene brojem</w:t>
      </w:r>
      <w:r w:rsidR="00BE7A48" w:rsidRPr="00F6590B">
        <w:rPr>
          <w:szCs w:val="24"/>
          <w:lang w:val="hr-HR"/>
        </w:rPr>
        <w:t xml:space="preserve"> sudaca</w:t>
      </w:r>
      <w:r w:rsidR="001214C0" w:rsidRPr="00F6590B">
        <w:rPr>
          <w:szCs w:val="24"/>
          <w:lang w:val="hr-HR"/>
        </w:rPr>
        <w:t>.</w:t>
      </w:r>
    </w:p>
    <w:p w14:paraId="21567BBA" w14:textId="77777777" w:rsidR="0050245E" w:rsidRPr="00F6590B" w:rsidRDefault="0050245E" w:rsidP="00483743">
      <w:pPr>
        <w:spacing w:line="480" w:lineRule="auto"/>
        <w:rPr>
          <w:szCs w:val="24"/>
          <w:lang w:val="hr-HR"/>
        </w:rPr>
      </w:pPr>
    </w:p>
    <w:p w14:paraId="143E6945" w14:textId="687E01D5" w:rsidR="00947058" w:rsidRPr="00F6590B" w:rsidRDefault="00947058" w:rsidP="00483743">
      <w:pPr>
        <w:pStyle w:val="ListParagraph"/>
        <w:numPr>
          <w:ilvl w:val="0"/>
          <w:numId w:val="3"/>
        </w:numPr>
        <w:spacing w:line="480" w:lineRule="auto"/>
        <w:rPr>
          <w:rFonts w:cs="Times New Roman"/>
          <w:szCs w:val="24"/>
          <w:lang w:val="hr-HR"/>
        </w:rPr>
      </w:pPr>
      <w:r w:rsidRPr="00F6590B">
        <w:rPr>
          <w:rFonts w:cs="Times New Roman"/>
          <w:szCs w:val="24"/>
          <w:lang w:val="hr-HR"/>
        </w:rPr>
        <w:t>Rezultati istraživanja</w:t>
      </w:r>
    </w:p>
    <w:p w14:paraId="265A472D" w14:textId="77777777" w:rsidR="001539FC" w:rsidRPr="00F6590B" w:rsidRDefault="001539FC" w:rsidP="00483743">
      <w:pPr>
        <w:pStyle w:val="ListParagraph"/>
        <w:spacing w:line="480" w:lineRule="auto"/>
        <w:ind w:left="1069" w:firstLine="0"/>
        <w:rPr>
          <w:rFonts w:cs="Times New Roman"/>
          <w:szCs w:val="24"/>
          <w:lang w:val="hr-HR"/>
        </w:rPr>
      </w:pPr>
    </w:p>
    <w:p w14:paraId="59EFE573" w14:textId="658A6008" w:rsidR="00A415CC" w:rsidRPr="00F6590B" w:rsidRDefault="008119F3" w:rsidP="00483743">
      <w:pPr>
        <w:spacing w:line="480" w:lineRule="auto"/>
        <w:rPr>
          <w:lang w:val="hr-HR"/>
        </w:rPr>
      </w:pPr>
      <w:r w:rsidRPr="00F6590B">
        <w:rPr>
          <w:lang w:val="hr-HR"/>
        </w:rPr>
        <w:t>Grafikoni 1</w:t>
      </w:r>
      <w:r w:rsidR="009262D1" w:rsidRPr="00F6590B">
        <w:rPr>
          <w:lang w:val="hr-HR"/>
        </w:rPr>
        <w:t>.</w:t>
      </w:r>
      <w:r w:rsidRPr="00F6590B">
        <w:rPr>
          <w:lang w:val="hr-HR"/>
        </w:rPr>
        <w:t xml:space="preserve"> i 2</w:t>
      </w:r>
      <w:r w:rsidR="009262D1" w:rsidRPr="00F6590B">
        <w:rPr>
          <w:lang w:val="hr-HR"/>
        </w:rPr>
        <w:t>.</w:t>
      </w:r>
      <w:r w:rsidRPr="00F6590B">
        <w:rPr>
          <w:lang w:val="hr-HR"/>
        </w:rPr>
        <w:t>, te tablice 1</w:t>
      </w:r>
      <w:r w:rsidR="009262D1" w:rsidRPr="00F6590B">
        <w:rPr>
          <w:lang w:val="hr-HR"/>
        </w:rPr>
        <w:t>.</w:t>
      </w:r>
      <w:r w:rsidRPr="00F6590B">
        <w:rPr>
          <w:lang w:val="hr-HR"/>
        </w:rPr>
        <w:t xml:space="preserve"> do </w:t>
      </w:r>
      <w:r w:rsidR="00A03147" w:rsidRPr="00F6590B">
        <w:rPr>
          <w:lang w:val="hr-HR"/>
        </w:rPr>
        <w:t>4</w:t>
      </w:r>
      <w:r w:rsidR="009262D1" w:rsidRPr="00F6590B">
        <w:rPr>
          <w:lang w:val="hr-HR"/>
        </w:rPr>
        <w:t>.</w:t>
      </w:r>
      <w:r w:rsidRPr="00F6590B">
        <w:rPr>
          <w:lang w:val="hr-HR"/>
        </w:rPr>
        <w:t xml:space="preserve"> prezentiraju rezultate obrade izvora BP1. Valja istaći kako </w:t>
      </w:r>
      <w:r w:rsidR="009262D1" w:rsidRPr="00F6590B">
        <w:rPr>
          <w:lang w:val="hr-HR"/>
        </w:rPr>
        <w:t>analiza izvora BP</w:t>
      </w:r>
      <w:r w:rsidR="00D06778" w:rsidRPr="00F6590B">
        <w:rPr>
          <w:lang w:val="hr-HR"/>
        </w:rPr>
        <w:t>1</w:t>
      </w:r>
      <w:r w:rsidR="009262D1" w:rsidRPr="00F6590B">
        <w:rPr>
          <w:lang w:val="hr-HR"/>
        </w:rPr>
        <w:t xml:space="preserve"> producira statične rezultate</w:t>
      </w:r>
      <w:r w:rsidRPr="00F6590B">
        <w:rPr>
          <w:lang w:val="hr-HR"/>
        </w:rPr>
        <w:t xml:space="preserve">, temeljem slike trgovačkih sudova dobivene u jednom trenutku (travanj 2012.). S druge strane, analiza podataka </w:t>
      </w:r>
      <w:r w:rsidR="00246E53" w:rsidRPr="00F6590B">
        <w:rPr>
          <w:lang w:val="hr-HR"/>
        </w:rPr>
        <w:t xml:space="preserve">iz BP2 </w:t>
      </w:r>
      <w:r w:rsidRPr="00F6590B">
        <w:rPr>
          <w:lang w:val="hr-HR"/>
        </w:rPr>
        <w:t>je dinamična jer razmatra različite varijable kroz dulji niz godina.</w:t>
      </w:r>
    </w:p>
    <w:p w14:paraId="3BBA7FDA" w14:textId="0892F8BD" w:rsidR="00833ACF" w:rsidRPr="00F6590B" w:rsidRDefault="0098144A" w:rsidP="00483743">
      <w:pPr>
        <w:spacing w:line="480" w:lineRule="auto"/>
        <w:rPr>
          <w:lang w:val="hr-HR"/>
        </w:rPr>
      </w:pPr>
      <w:r w:rsidRPr="00F6590B">
        <w:rPr>
          <w:lang w:val="hr-HR"/>
        </w:rPr>
        <w:t>Grafikon 1. je histogram</w:t>
      </w:r>
      <w:r w:rsidR="00833ACF" w:rsidRPr="00F6590B">
        <w:rPr>
          <w:lang w:val="hr-HR"/>
        </w:rPr>
        <w:t xml:space="preserve"> koji obuhvaća sve trgovačke sudove u Hrvatskoj, te prikazuje kako je </w:t>
      </w:r>
      <w:r w:rsidR="00900900" w:rsidRPr="00F6590B">
        <w:rPr>
          <w:lang w:val="hr-HR"/>
        </w:rPr>
        <w:t xml:space="preserve">u trenutku promatranja (travanj 2012.) </w:t>
      </w:r>
      <w:r w:rsidR="00D06778" w:rsidRPr="00F6590B">
        <w:rPr>
          <w:lang w:val="hr-HR"/>
        </w:rPr>
        <w:t xml:space="preserve">daleko </w:t>
      </w:r>
      <w:r w:rsidR="00833ACF" w:rsidRPr="00F6590B">
        <w:rPr>
          <w:lang w:val="hr-HR"/>
        </w:rPr>
        <w:t>najveći broj stečajeva otvoren prije godinu dana ili manje</w:t>
      </w:r>
      <w:r w:rsidR="0093636A" w:rsidRPr="00F6590B">
        <w:rPr>
          <w:lang w:val="hr-HR"/>
        </w:rPr>
        <w:t xml:space="preserve">. </w:t>
      </w:r>
      <w:r w:rsidR="009262D1" w:rsidRPr="00F6590B">
        <w:rPr>
          <w:lang w:val="hr-HR"/>
        </w:rPr>
        <w:t>T</w:t>
      </w:r>
      <w:r w:rsidR="0093636A" w:rsidRPr="00F6590B">
        <w:rPr>
          <w:lang w:val="hr-HR"/>
        </w:rPr>
        <w:t>akođer je vidljivo kako distribucija nije eksponencijalna</w:t>
      </w:r>
      <w:r w:rsidR="006F0759" w:rsidRPr="00F6590B">
        <w:rPr>
          <w:lang w:val="hr-HR"/>
        </w:rPr>
        <w:t xml:space="preserve">, jer je broj predmeta čije je trajanje dulje od šest godina veći od očekivanoga. Stoga su provedeni testovi koji su uz visoku signifikantnost pokazali kako treba odbaciti hipotezu normalnosti distribucije trajanja stečajnih predmeta; </w:t>
      </w:r>
      <w:proofErr w:type="spellStart"/>
      <w:r w:rsidR="006F0759" w:rsidRPr="00F6590B">
        <w:rPr>
          <w:lang w:val="hr-HR"/>
        </w:rPr>
        <w:t>Kolmogorov</w:t>
      </w:r>
      <w:proofErr w:type="spellEnd"/>
      <w:r w:rsidR="006F0759" w:rsidRPr="00F6590B">
        <w:rPr>
          <w:lang w:val="hr-HR"/>
        </w:rPr>
        <w:t>-</w:t>
      </w:r>
      <w:proofErr w:type="spellStart"/>
      <w:r w:rsidR="006F0759" w:rsidRPr="00F6590B">
        <w:rPr>
          <w:lang w:val="hr-HR"/>
        </w:rPr>
        <w:t>Smirnov</w:t>
      </w:r>
      <w:proofErr w:type="spellEnd"/>
      <w:r w:rsidR="006F0759" w:rsidRPr="00F6590B">
        <w:rPr>
          <w:lang w:val="hr-HR"/>
        </w:rPr>
        <w:t xml:space="preserve"> uz p&lt;0,01; </w:t>
      </w:r>
      <w:proofErr w:type="spellStart"/>
      <w:r w:rsidR="006F0759" w:rsidRPr="00F6590B">
        <w:rPr>
          <w:lang w:val="hr-HR"/>
        </w:rPr>
        <w:t>Lilliefors</w:t>
      </w:r>
      <w:proofErr w:type="spellEnd"/>
      <w:r w:rsidR="006F0759" w:rsidRPr="00F6590B">
        <w:rPr>
          <w:lang w:val="hr-HR"/>
        </w:rPr>
        <w:t xml:space="preserve"> uz p&lt;,01, te </w:t>
      </w:r>
      <w:proofErr w:type="spellStart"/>
      <w:r w:rsidR="006F0759" w:rsidRPr="00F6590B">
        <w:rPr>
          <w:lang w:val="hr-HR"/>
        </w:rPr>
        <w:t>Shapiro</w:t>
      </w:r>
      <w:proofErr w:type="spellEnd"/>
      <w:r w:rsidR="006F0759" w:rsidRPr="00F6590B">
        <w:rPr>
          <w:lang w:val="hr-HR"/>
        </w:rPr>
        <w:t>-</w:t>
      </w:r>
      <w:proofErr w:type="spellStart"/>
      <w:r w:rsidR="006F0759" w:rsidRPr="00F6590B">
        <w:rPr>
          <w:lang w:val="hr-HR"/>
        </w:rPr>
        <w:t>Wilk</w:t>
      </w:r>
      <w:proofErr w:type="spellEnd"/>
      <w:r w:rsidR="006F0759" w:rsidRPr="00F6590B">
        <w:rPr>
          <w:lang w:val="hr-HR"/>
        </w:rPr>
        <w:t xml:space="preserve"> uz p=0,0000.</w:t>
      </w:r>
    </w:p>
    <w:p w14:paraId="6DCEFB23" w14:textId="77777777" w:rsidR="006F0759" w:rsidRPr="00F6590B" w:rsidRDefault="006F0759" w:rsidP="00483743">
      <w:pPr>
        <w:spacing w:line="480" w:lineRule="auto"/>
        <w:rPr>
          <w:lang w:val="hr-HR"/>
        </w:rPr>
      </w:pPr>
    </w:p>
    <w:p w14:paraId="53F4F7D8" w14:textId="77777777" w:rsidR="004E580F" w:rsidRPr="00F6590B" w:rsidRDefault="004E580F" w:rsidP="00483743">
      <w:pPr>
        <w:spacing w:line="480" w:lineRule="auto"/>
        <w:rPr>
          <w:lang w:val="hr-HR"/>
        </w:rPr>
      </w:pPr>
    </w:p>
    <w:p w14:paraId="77D4FC4C" w14:textId="77777777" w:rsidR="004E580F" w:rsidRPr="00F6590B" w:rsidRDefault="004E580F" w:rsidP="00483743">
      <w:pPr>
        <w:spacing w:line="480" w:lineRule="auto"/>
        <w:rPr>
          <w:lang w:val="hr-HR"/>
        </w:rPr>
      </w:pPr>
    </w:p>
    <w:p w14:paraId="40DFDFDA" w14:textId="77777777" w:rsidR="004E580F" w:rsidRPr="00F6590B" w:rsidRDefault="004E580F" w:rsidP="00483743">
      <w:pPr>
        <w:spacing w:line="480" w:lineRule="auto"/>
        <w:rPr>
          <w:lang w:val="hr-HR"/>
        </w:rPr>
      </w:pPr>
    </w:p>
    <w:p w14:paraId="679B8BEE" w14:textId="77777777" w:rsidR="004E580F" w:rsidRPr="00F6590B" w:rsidRDefault="004E580F" w:rsidP="00483743">
      <w:pPr>
        <w:spacing w:line="480" w:lineRule="auto"/>
        <w:rPr>
          <w:lang w:val="hr-HR"/>
        </w:rPr>
      </w:pPr>
    </w:p>
    <w:p w14:paraId="55540C37" w14:textId="77777777" w:rsidR="004E580F" w:rsidRPr="00F6590B" w:rsidRDefault="004E580F" w:rsidP="00483743">
      <w:pPr>
        <w:spacing w:line="480" w:lineRule="auto"/>
        <w:rPr>
          <w:lang w:val="hr-HR"/>
        </w:rPr>
      </w:pPr>
    </w:p>
    <w:p w14:paraId="14658342" w14:textId="77777777" w:rsidR="004E580F" w:rsidRPr="00F6590B" w:rsidRDefault="004E580F" w:rsidP="00483743">
      <w:pPr>
        <w:spacing w:line="480" w:lineRule="auto"/>
        <w:rPr>
          <w:lang w:val="hr-HR"/>
        </w:rPr>
      </w:pPr>
    </w:p>
    <w:p w14:paraId="15693653" w14:textId="77777777" w:rsidR="004E580F" w:rsidRPr="00F6590B" w:rsidRDefault="004E580F" w:rsidP="00483743">
      <w:pPr>
        <w:spacing w:line="480" w:lineRule="auto"/>
        <w:rPr>
          <w:lang w:val="hr-HR"/>
        </w:rPr>
      </w:pPr>
    </w:p>
    <w:p w14:paraId="0055BC3D" w14:textId="77777777" w:rsidR="004E580F" w:rsidRPr="00F6590B" w:rsidRDefault="004E580F" w:rsidP="00483743">
      <w:pPr>
        <w:spacing w:line="480" w:lineRule="auto"/>
        <w:rPr>
          <w:lang w:val="hr-HR"/>
        </w:rPr>
      </w:pPr>
    </w:p>
    <w:p w14:paraId="74231878" w14:textId="77777777" w:rsidR="004E580F" w:rsidRPr="00F6590B" w:rsidRDefault="004E580F" w:rsidP="00483743">
      <w:pPr>
        <w:spacing w:line="480" w:lineRule="auto"/>
        <w:rPr>
          <w:lang w:val="hr-HR"/>
        </w:rPr>
      </w:pPr>
    </w:p>
    <w:p w14:paraId="60F1F521" w14:textId="0408A56A" w:rsidR="00D01D03" w:rsidRPr="00F6590B" w:rsidRDefault="00A415CC" w:rsidP="00483743">
      <w:pPr>
        <w:pStyle w:val="Caption"/>
        <w:spacing w:line="480" w:lineRule="auto"/>
        <w:rPr>
          <w:rFonts w:cs="Times New Roman"/>
          <w:szCs w:val="24"/>
          <w:lang w:val="hr-HR"/>
        </w:rPr>
      </w:pPr>
      <w:r w:rsidRPr="00F6590B">
        <w:rPr>
          <w:lang w:val="hr-HR"/>
        </w:rPr>
        <w:lastRenderedPageBreak/>
        <w:t xml:space="preserve">Grafikon </w:t>
      </w:r>
      <w:r w:rsidRPr="00F6590B">
        <w:rPr>
          <w:lang w:val="hr-HR"/>
        </w:rPr>
        <w:fldChar w:fldCharType="begin"/>
      </w:r>
      <w:r w:rsidRPr="00F6590B">
        <w:rPr>
          <w:lang w:val="hr-HR"/>
        </w:rPr>
        <w:instrText xml:space="preserve"> SEQ Grafikon \* ARABIC </w:instrText>
      </w:r>
      <w:r w:rsidRPr="00F6590B">
        <w:rPr>
          <w:lang w:val="hr-HR"/>
        </w:rPr>
        <w:fldChar w:fldCharType="separate"/>
      </w:r>
      <w:r w:rsidR="00D26260" w:rsidRPr="00F6590B">
        <w:rPr>
          <w:lang w:val="hr-HR"/>
        </w:rPr>
        <w:t>1</w:t>
      </w:r>
      <w:r w:rsidRPr="00F6590B">
        <w:rPr>
          <w:lang w:val="hr-HR"/>
        </w:rPr>
        <w:fldChar w:fldCharType="end"/>
      </w:r>
      <w:r w:rsidRPr="00F6590B">
        <w:rPr>
          <w:lang w:val="hr-HR"/>
        </w:rPr>
        <w:t xml:space="preserve">. </w:t>
      </w:r>
      <w:r w:rsidRPr="00F6590B">
        <w:rPr>
          <w:rFonts w:cs="Times New Roman"/>
          <w:szCs w:val="24"/>
          <w:lang w:val="hr-HR"/>
        </w:rPr>
        <w:t xml:space="preserve">Učestalost nezatvorenih </w:t>
      </w:r>
      <w:r w:rsidRPr="00F6590B">
        <w:rPr>
          <w:szCs w:val="24"/>
          <w:lang w:val="hr-HR"/>
        </w:rPr>
        <w:t>stečaj</w:t>
      </w:r>
      <w:r w:rsidR="008119F3" w:rsidRPr="00F6590B">
        <w:rPr>
          <w:szCs w:val="24"/>
          <w:lang w:val="hr-HR"/>
        </w:rPr>
        <w:t xml:space="preserve">eva </w:t>
      </w:r>
      <w:r w:rsidRPr="00F6590B">
        <w:rPr>
          <w:szCs w:val="24"/>
          <w:lang w:val="hr-HR"/>
        </w:rPr>
        <w:t>na svim trgovačkim sudovima u travnju 2012.</w:t>
      </w:r>
    </w:p>
    <w:p w14:paraId="7AD34E1F" w14:textId="36253CF7" w:rsidR="00D01D03" w:rsidRPr="00F6590B" w:rsidRDefault="00D01D03" w:rsidP="00483743">
      <w:pPr>
        <w:spacing w:line="480" w:lineRule="auto"/>
        <w:ind w:firstLine="0"/>
        <w:jc w:val="center"/>
        <w:rPr>
          <w:szCs w:val="24"/>
          <w:lang w:val="hr-HR"/>
        </w:rPr>
      </w:pPr>
      <w:r w:rsidRPr="00F6590B">
        <w:rPr>
          <w:szCs w:val="24"/>
          <w:lang w:val="hr-HR"/>
        </w:rPr>
        <w:object w:dxaOrig="9361" w:dyaOrig="7021" w14:anchorId="5EE5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15pt" o:ole="">
            <v:imagedata r:id="rId9" o:title=""/>
          </v:shape>
          <o:OLEObject Type="Embed" ProgID="STATISTICA.Graph" ShapeID="_x0000_i1025" DrawAspect="Content" ObjectID="_1456657181" r:id="rId10">
            <o:FieldCodes>\s</o:FieldCodes>
          </o:OLEObject>
        </w:object>
      </w:r>
    </w:p>
    <w:p w14:paraId="5636AA05" w14:textId="670A51F2" w:rsidR="00833ACF" w:rsidRPr="00F6590B" w:rsidRDefault="00357433" w:rsidP="00483743">
      <w:pPr>
        <w:pStyle w:val="Caption"/>
        <w:spacing w:line="480" w:lineRule="auto"/>
        <w:rPr>
          <w:lang w:val="hr-HR"/>
        </w:rPr>
      </w:pPr>
      <w:r w:rsidRPr="00F6590B">
        <w:rPr>
          <w:lang w:val="hr-HR"/>
        </w:rPr>
        <w:t xml:space="preserve">Izvor: </w:t>
      </w:r>
      <w:r w:rsidR="00D26260" w:rsidRPr="00F6590B">
        <w:rPr>
          <w:lang w:val="hr-HR"/>
        </w:rPr>
        <w:t>prikaz</w:t>
      </w:r>
      <w:r w:rsidRPr="00F6590B">
        <w:rPr>
          <w:lang w:val="hr-HR"/>
        </w:rPr>
        <w:t xml:space="preserve"> autora</w:t>
      </w:r>
    </w:p>
    <w:p w14:paraId="13A8FEEF" w14:textId="27B6F5BA" w:rsidR="00833ACF" w:rsidRPr="00F6590B" w:rsidRDefault="00833ACF" w:rsidP="00483743">
      <w:pPr>
        <w:spacing w:line="480" w:lineRule="auto"/>
        <w:rPr>
          <w:lang w:val="hr-HR"/>
        </w:rPr>
      </w:pPr>
      <w:r w:rsidRPr="00F6590B">
        <w:rPr>
          <w:lang w:val="hr-HR"/>
        </w:rPr>
        <w:t xml:space="preserve">Tablica 1. kvantitativno nadopunjuje grafikon 1., te također pokazuje kako najveći dio (63,1%) stečajnih postupaka </w:t>
      </w:r>
      <w:r w:rsidR="009262D1" w:rsidRPr="00F6590B">
        <w:rPr>
          <w:lang w:val="hr-HR"/>
        </w:rPr>
        <w:t xml:space="preserve">koji su </w:t>
      </w:r>
      <w:r w:rsidR="00900900" w:rsidRPr="00F6590B">
        <w:rPr>
          <w:lang w:val="hr-HR"/>
        </w:rPr>
        <w:t xml:space="preserve">u tijeku </w:t>
      </w:r>
      <w:r w:rsidRPr="00F6590B">
        <w:rPr>
          <w:lang w:val="hr-HR"/>
        </w:rPr>
        <w:t>traje manje od dvije godine</w:t>
      </w:r>
      <w:r w:rsidR="00900900" w:rsidRPr="00F6590B">
        <w:rPr>
          <w:lang w:val="hr-HR"/>
        </w:rPr>
        <w:t xml:space="preserve">, odnosno </w:t>
      </w:r>
      <w:r w:rsidR="009262D1" w:rsidRPr="00F6590B">
        <w:rPr>
          <w:lang w:val="hr-HR"/>
        </w:rPr>
        <w:t>77,3%</w:t>
      </w:r>
      <w:r w:rsidR="00900900" w:rsidRPr="00F6590B">
        <w:rPr>
          <w:lang w:val="hr-HR"/>
        </w:rPr>
        <w:t xml:space="preserve"> postupaka traje kraće od četiri godine</w:t>
      </w:r>
      <w:r w:rsidRPr="00F6590B">
        <w:rPr>
          <w:lang w:val="hr-HR"/>
        </w:rPr>
        <w:t>.</w:t>
      </w:r>
      <w:r w:rsidR="0093636A" w:rsidRPr="00F6590B">
        <w:rPr>
          <w:lang w:val="hr-HR"/>
        </w:rPr>
        <w:t xml:space="preserve"> S druge strane, čak 108 </w:t>
      </w:r>
      <w:r w:rsidR="00900900" w:rsidRPr="00F6590B">
        <w:rPr>
          <w:lang w:val="hr-HR"/>
        </w:rPr>
        <w:t xml:space="preserve">stečajnih </w:t>
      </w:r>
      <w:r w:rsidR="0093636A" w:rsidRPr="00F6590B">
        <w:rPr>
          <w:lang w:val="hr-HR"/>
        </w:rPr>
        <w:t>postupaka (13,8</w:t>
      </w:r>
      <w:r w:rsidR="004538D7" w:rsidRPr="00F6590B">
        <w:rPr>
          <w:lang w:val="hr-HR"/>
        </w:rPr>
        <w:t>5</w:t>
      </w:r>
      <w:r w:rsidR="0093636A" w:rsidRPr="00F6590B">
        <w:rPr>
          <w:lang w:val="hr-HR"/>
        </w:rPr>
        <w:t xml:space="preserve">%), odnosno u prosjeku svaki sedmi, traje dulje od osam </w:t>
      </w:r>
      <w:r w:rsidR="004538D7" w:rsidRPr="00F6590B">
        <w:rPr>
          <w:lang w:val="hr-HR"/>
        </w:rPr>
        <w:t xml:space="preserve">godina, a njih 145 (18,59%) – gotovo svaki peti </w:t>
      </w:r>
      <w:r w:rsidR="009262D1" w:rsidRPr="00F6590B">
        <w:rPr>
          <w:lang w:val="hr-HR"/>
        </w:rPr>
        <w:t xml:space="preserve">stečaj </w:t>
      </w:r>
      <w:r w:rsidR="004538D7" w:rsidRPr="00F6590B">
        <w:rPr>
          <w:lang w:val="hr-HR"/>
        </w:rPr>
        <w:t>– traje dulje od šest godina.</w:t>
      </w:r>
      <w:r w:rsidR="00900900" w:rsidRPr="00F6590B">
        <w:rPr>
          <w:lang w:val="hr-HR"/>
        </w:rPr>
        <w:t xml:space="preserve"> </w:t>
      </w:r>
    </w:p>
    <w:p w14:paraId="26966922" w14:textId="77777777" w:rsidR="004E580F" w:rsidRPr="00F6590B" w:rsidRDefault="004E580F" w:rsidP="00483743">
      <w:pPr>
        <w:spacing w:line="480" w:lineRule="auto"/>
        <w:rPr>
          <w:lang w:val="hr-HR"/>
        </w:rPr>
      </w:pPr>
    </w:p>
    <w:p w14:paraId="734BF88B" w14:textId="77777777" w:rsidR="004E580F" w:rsidRPr="00F6590B" w:rsidRDefault="004E580F" w:rsidP="00483743">
      <w:pPr>
        <w:spacing w:line="480" w:lineRule="auto"/>
        <w:rPr>
          <w:lang w:val="hr-HR"/>
        </w:rPr>
      </w:pPr>
    </w:p>
    <w:p w14:paraId="448AD95E" w14:textId="77777777" w:rsidR="004E580F" w:rsidRPr="00F6590B" w:rsidRDefault="004E580F" w:rsidP="00483743">
      <w:pPr>
        <w:spacing w:line="480" w:lineRule="auto"/>
        <w:rPr>
          <w:lang w:val="hr-HR"/>
        </w:rPr>
      </w:pPr>
    </w:p>
    <w:p w14:paraId="49937CCB" w14:textId="50B944C7" w:rsidR="00616811" w:rsidRPr="00F6590B" w:rsidRDefault="00A415CC" w:rsidP="00483743">
      <w:pPr>
        <w:pStyle w:val="Caption"/>
        <w:spacing w:line="480" w:lineRule="auto"/>
        <w:rPr>
          <w:szCs w:val="24"/>
          <w:lang w:val="hr-HR"/>
        </w:rPr>
      </w:pPr>
      <w:r w:rsidRPr="00F6590B">
        <w:rPr>
          <w:lang w:val="hr-HR"/>
        </w:rPr>
        <w:lastRenderedPageBreak/>
        <w:t xml:space="preserve">Tablica </w:t>
      </w:r>
      <w:r w:rsidRPr="00F6590B">
        <w:rPr>
          <w:lang w:val="hr-HR"/>
        </w:rPr>
        <w:fldChar w:fldCharType="begin"/>
      </w:r>
      <w:r w:rsidRPr="00F6590B">
        <w:rPr>
          <w:lang w:val="hr-HR"/>
        </w:rPr>
        <w:instrText xml:space="preserve"> SEQ Tablica \* ARABIC </w:instrText>
      </w:r>
      <w:r w:rsidRPr="00F6590B">
        <w:rPr>
          <w:lang w:val="hr-HR"/>
        </w:rPr>
        <w:fldChar w:fldCharType="separate"/>
      </w:r>
      <w:r w:rsidR="00D26260" w:rsidRPr="00F6590B">
        <w:rPr>
          <w:lang w:val="hr-HR"/>
        </w:rPr>
        <w:t>1</w:t>
      </w:r>
      <w:r w:rsidRPr="00F6590B">
        <w:rPr>
          <w:lang w:val="hr-HR"/>
        </w:rPr>
        <w:fldChar w:fldCharType="end"/>
      </w:r>
      <w:r w:rsidRPr="00F6590B">
        <w:rPr>
          <w:lang w:val="hr-HR"/>
        </w:rPr>
        <w:t xml:space="preserve">. </w:t>
      </w:r>
      <w:r w:rsidR="005E47E5" w:rsidRPr="00F6590B">
        <w:rPr>
          <w:szCs w:val="24"/>
          <w:lang w:val="hr-HR"/>
        </w:rPr>
        <w:t>Trajanje nezatvorenih stečaj</w:t>
      </w:r>
      <w:r w:rsidRPr="00F6590B">
        <w:rPr>
          <w:szCs w:val="24"/>
          <w:lang w:val="hr-HR"/>
        </w:rPr>
        <w:t xml:space="preserve">eva </w:t>
      </w:r>
      <w:r w:rsidR="005E47E5" w:rsidRPr="00F6590B">
        <w:rPr>
          <w:szCs w:val="24"/>
          <w:lang w:val="hr-HR"/>
        </w:rPr>
        <w:t xml:space="preserve">na svim </w:t>
      </w:r>
      <w:r w:rsidR="00604E4A" w:rsidRPr="00F6590B">
        <w:rPr>
          <w:szCs w:val="24"/>
          <w:lang w:val="hr-HR"/>
        </w:rPr>
        <w:t>t</w:t>
      </w:r>
      <w:r w:rsidR="005E47E5" w:rsidRPr="00F6590B">
        <w:rPr>
          <w:szCs w:val="24"/>
          <w:lang w:val="hr-HR"/>
        </w:rPr>
        <w:t>rgovačkim sudovima</w:t>
      </w:r>
      <w:r w:rsidR="00604E4A" w:rsidRPr="00F6590B">
        <w:rPr>
          <w:szCs w:val="24"/>
          <w:lang w:val="hr-HR"/>
        </w:rPr>
        <w:t xml:space="preserve"> u travnju 2012.</w:t>
      </w:r>
    </w:p>
    <w:tbl>
      <w:tblPr>
        <w:tblW w:w="72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127"/>
        <w:gridCol w:w="1436"/>
        <w:gridCol w:w="1072"/>
        <w:gridCol w:w="1436"/>
      </w:tblGrid>
      <w:tr w:rsidR="005852F7" w:rsidRPr="00F6590B" w14:paraId="52BA3527" w14:textId="77777777" w:rsidTr="00357433">
        <w:trPr>
          <w:trHeight w:val="765"/>
          <w:jc w:val="center"/>
        </w:trPr>
        <w:tc>
          <w:tcPr>
            <w:tcW w:w="2200" w:type="dxa"/>
            <w:tcBorders>
              <w:bottom w:val="double" w:sz="4" w:space="0" w:color="auto"/>
            </w:tcBorders>
            <w:shd w:val="clear" w:color="auto" w:fill="auto"/>
            <w:noWrap/>
            <w:vAlign w:val="center"/>
            <w:hideMark/>
          </w:tcPr>
          <w:p w14:paraId="75881993" w14:textId="48BCEAD4"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p>
        </w:tc>
        <w:tc>
          <w:tcPr>
            <w:tcW w:w="1127" w:type="dxa"/>
            <w:tcBorders>
              <w:bottom w:val="double" w:sz="4" w:space="0" w:color="auto"/>
            </w:tcBorders>
            <w:shd w:val="clear" w:color="auto" w:fill="auto"/>
            <w:vAlign w:val="center"/>
            <w:hideMark/>
          </w:tcPr>
          <w:p w14:paraId="014A1C4F" w14:textId="605D1809"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 xml:space="preserve">Broj </w:t>
            </w:r>
            <w:r w:rsidR="008119F3" w:rsidRPr="00F6590B">
              <w:rPr>
                <w:rFonts w:asciiTheme="minorHAnsi" w:eastAsia="Times New Roman" w:hAnsiTheme="minorHAnsi" w:cs="Arial"/>
                <w:color w:val="000000"/>
                <w:szCs w:val="24"/>
                <w:lang w:val="hr-HR" w:eastAsia="hr-HR"/>
              </w:rPr>
              <w:t>stečajeva</w:t>
            </w:r>
          </w:p>
        </w:tc>
        <w:tc>
          <w:tcPr>
            <w:tcW w:w="1436" w:type="dxa"/>
            <w:tcBorders>
              <w:bottom w:val="double" w:sz="4" w:space="0" w:color="auto"/>
            </w:tcBorders>
            <w:shd w:val="clear" w:color="auto" w:fill="auto"/>
            <w:vAlign w:val="center"/>
            <w:hideMark/>
          </w:tcPr>
          <w:p w14:paraId="132CB893" w14:textId="56E8FF5A" w:rsidR="005852F7" w:rsidRPr="00F6590B" w:rsidRDefault="005E47E5"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 xml:space="preserve">Broj </w:t>
            </w:r>
            <w:r w:rsidR="008119F3" w:rsidRPr="00F6590B">
              <w:rPr>
                <w:rFonts w:asciiTheme="minorHAnsi" w:eastAsia="Times New Roman" w:hAnsiTheme="minorHAnsi" w:cs="Arial"/>
                <w:color w:val="000000"/>
                <w:szCs w:val="24"/>
                <w:lang w:val="hr-HR" w:eastAsia="hr-HR"/>
              </w:rPr>
              <w:t>stečajeva</w:t>
            </w:r>
            <w:r w:rsidRPr="00F6590B">
              <w:rPr>
                <w:rFonts w:asciiTheme="minorHAnsi" w:eastAsia="Times New Roman" w:hAnsiTheme="minorHAnsi" w:cs="Arial"/>
                <w:color w:val="000000"/>
                <w:szCs w:val="24"/>
                <w:lang w:val="hr-HR" w:eastAsia="hr-HR"/>
              </w:rPr>
              <w:t>, k</w:t>
            </w:r>
            <w:r w:rsidR="005852F7" w:rsidRPr="00F6590B">
              <w:rPr>
                <w:rFonts w:asciiTheme="minorHAnsi" w:eastAsia="Times New Roman" w:hAnsiTheme="minorHAnsi" w:cs="Arial"/>
                <w:color w:val="000000"/>
                <w:szCs w:val="24"/>
                <w:lang w:val="hr-HR" w:eastAsia="hr-HR"/>
              </w:rPr>
              <w:t>umulativno</w:t>
            </w:r>
          </w:p>
        </w:tc>
        <w:tc>
          <w:tcPr>
            <w:tcW w:w="1072" w:type="dxa"/>
            <w:tcBorders>
              <w:bottom w:val="double" w:sz="4" w:space="0" w:color="auto"/>
            </w:tcBorders>
            <w:shd w:val="clear" w:color="auto" w:fill="auto"/>
            <w:vAlign w:val="center"/>
            <w:hideMark/>
          </w:tcPr>
          <w:p w14:paraId="35B1A9E2" w14:textId="72601B6B"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Postotak</w:t>
            </w:r>
          </w:p>
        </w:tc>
        <w:tc>
          <w:tcPr>
            <w:tcW w:w="1436" w:type="dxa"/>
            <w:tcBorders>
              <w:bottom w:val="double" w:sz="4" w:space="0" w:color="auto"/>
            </w:tcBorders>
            <w:shd w:val="clear" w:color="auto" w:fill="auto"/>
            <w:vAlign w:val="center"/>
            <w:hideMark/>
          </w:tcPr>
          <w:p w14:paraId="7BCF1735" w14:textId="2A955FCE"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Postotak, kumulativno</w:t>
            </w:r>
          </w:p>
        </w:tc>
      </w:tr>
      <w:tr w:rsidR="005E47E5" w:rsidRPr="00F6590B" w14:paraId="0CB71FA3" w14:textId="77777777" w:rsidTr="00357433">
        <w:trPr>
          <w:trHeight w:val="300"/>
          <w:jc w:val="center"/>
        </w:trPr>
        <w:tc>
          <w:tcPr>
            <w:tcW w:w="2200" w:type="dxa"/>
            <w:tcBorders>
              <w:top w:val="double" w:sz="4" w:space="0" w:color="auto"/>
            </w:tcBorders>
            <w:shd w:val="clear" w:color="auto" w:fill="auto"/>
            <w:noWrap/>
            <w:vAlign w:val="center"/>
            <w:hideMark/>
          </w:tcPr>
          <w:p w14:paraId="4C95FE65" w14:textId="1CF36C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do 2 godine</w:t>
            </w:r>
          </w:p>
        </w:tc>
        <w:tc>
          <w:tcPr>
            <w:tcW w:w="1127" w:type="dxa"/>
            <w:tcBorders>
              <w:top w:val="double" w:sz="4" w:space="0" w:color="auto"/>
            </w:tcBorders>
            <w:shd w:val="clear" w:color="auto" w:fill="auto"/>
            <w:noWrap/>
            <w:vAlign w:val="center"/>
            <w:hideMark/>
          </w:tcPr>
          <w:p w14:paraId="314D51BE"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492</w:t>
            </w:r>
          </w:p>
        </w:tc>
        <w:tc>
          <w:tcPr>
            <w:tcW w:w="1436" w:type="dxa"/>
            <w:tcBorders>
              <w:top w:val="double" w:sz="4" w:space="0" w:color="auto"/>
            </w:tcBorders>
            <w:shd w:val="clear" w:color="auto" w:fill="auto"/>
            <w:noWrap/>
            <w:vAlign w:val="center"/>
            <w:hideMark/>
          </w:tcPr>
          <w:p w14:paraId="7E45B2D2"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492</w:t>
            </w:r>
          </w:p>
        </w:tc>
        <w:tc>
          <w:tcPr>
            <w:tcW w:w="1072" w:type="dxa"/>
            <w:tcBorders>
              <w:top w:val="double" w:sz="4" w:space="0" w:color="auto"/>
            </w:tcBorders>
            <w:shd w:val="clear" w:color="auto" w:fill="auto"/>
            <w:noWrap/>
            <w:vAlign w:val="center"/>
            <w:hideMark/>
          </w:tcPr>
          <w:p w14:paraId="52EA2975" w14:textId="4154D0B3"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63,08</w:t>
            </w:r>
          </w:p>
        </w:tc>
        <w:tc>
          <w:tcPr>
            <w:tcW w:w="1436" w:type="dxa"/>
            <w:tcBorders>
              <w:top w:val="double" w:sz="4" w:space="0" w:color="auto"/>
            </w:tcBorders>
            <w:shd w:val="clear" w:color="auto" w:fill="auto"/>
            <w:noWrap/>
            <w:vAlign w:val="center"/>
            <w:hideMark/>
          </w:tcPr>
          <w:p w14:paraId="7C45616A" w14:textId="74C86802"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63,08</w:t>
            </w:r>
          </w:p>
        </w:tc>
      </w:tr>
      <w:tr w:rsidR="005E47E5" w:rsidRPr="00F6590B" w14:paraId="4ABEC6AD" w14:textId="77777777" w:rsidTr="00357433">
        <w:trPr>
          <w:trHeight w:val="300"/>
          <w:jc w:val="center"/>
        </w:trPr>
        <w:tc>
          <w:tcPr>
            <w:tcW w:w="2200" w:type="dxa"/>
            <w:shd w:val="clear" w:color="auto" w:fill="auto"/>
            <w:noWrap/>
            <w:vAlign w:val="center"/>
            <w:hideMark/>
          </w:tcPr>
          <w:p w14:paraId="68457B11" w14:textId="67C70693"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 do 4 godin</w:t>
            </w:r>
            <w:r w:rsidR="00604E4A" w:rsidRPr="00F6590B">
              <w:rPr>
                <w:rFonts w:asciiTheme="minorHAnsi" w:eastAsia="Times New Roman" w:hAnsiTheme="minorHAnsi" w:cs="Arial"/>
                <w:color w:val="000000"/>
                <w:szCs w:val="24"/>
                <w:lang w:val="hr-HR" w:eastAsia="hr-HR"/>
              </w:rPr>
              <w:t>e</w:t>
            </w:r>
          </w:p>
        </w:tc>
        <w:tc>
          <w:tcPr>
            <w:tcW w:w="1127" w:type="dxa"/>
            <w:shd w:val="clear" w:color="auto" w:fill="auto"/>
            <w:noWrap/>
            <w:vAlign w:val="center"/>
            <w:hideMark/>
          </w:tcPr>
          <w:p w14:paraId="4C8F269F"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111</w:t>
            </w:r>
          </w:p>
        </w:tc>
        <w:tc>
          <w:tcPr>
            <w:tcW w:w="1436" w:type="dxa"/>
            <w:shd w:val="clear" w:color="auto" w:fill="auto"/>
            <w:noWrap/>
            <w:vAlign w:val="center"/>
            <w:hideMark/>
          </w:tcPr>
          <w:p w14:paraId="2AC98DBC"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603</w:t>
            </w:r>
          </w:p>
        </w:tc>
        <w:tc>
          <w:tcPr>
            <w:tcW w:w="1072" w:type="dxa"/>
            <w:shd w:val="clear" w:color="auto" w:fill="auto"/>
            <w:noWrap/>
            <w:vAlign w:val="center"/>
            <w:hideMark/>
          </w:tcPr>
          <w:p w14:paraId="114F3553" w14:textId="24D0D2D5"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14,23</w:t>
            </w:r>
          </w:p>
        </w:tc>
        <w:tc>
          <w:tcPr>
            <w:tcW w:w="1436" w:type="dxa"/>
            <w:shd w:val="clear" w:color="auto" w:fill="auto"/>
            <w:noWrap/>
            <w:vAlign w:val="center"/>
            <w:hideMark/>
          </w:tcPr>
          <w:p w14:paraId="26BD6455" w14:textId="5E81E0F0"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77,31</w:t>
            </w:r>
          </w:p>
        </w:tc>
      </w:tr>
      <w:tr w:rsidR="005E47E5" w:rsidRPr="00F6590B" w14:paraId="550ED3F6" w14:textId="77777777" w:rsidTr="00357433">
        <w:trPr>
          <w:trHeight w:val="300"/>
          <w:jc w:val="center"/>
        </w:trPr>
        <w:tc>
          <w:tcPr>
            <w:tcW w:w="2200" w:type="dxa"/>
            <w:shd w:val="clear" w:color="auto" w:fill="auto"/>
            <w:noWrap/>
            <w:vAlign w:val="center"/>
            <w:hideMark/>
          </w:tcPr>
          <w:p w14:paraId="13D8C4B9" w14:textId="689358F0"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 do 6 godina</w:t>
            </w:r>
          </w:p>
        </w:tc>
        <w:tc>
          <w:tcPr>
            <w:tcW w:w="1127" w:type="dxa"/>
            <w:shd w:val="clear" w:color="auto" w:fill="auto"/>
            <w:noWrap/>
            <w:vAlign w:val="center"/>
            <w:hideMark/>
          </w:tcPr>
          <w:p w14:paraId="7DFFB9EE"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32</w:t>
            </w:r>
          </w:p>
        </w:tc>
        <w:tc>
          <w:tcPr>
            <w:tcW w:w="1436" w:type="dxa"/>
            <w:shd w:val="clear" w:color="auto" w:fill="auto"/>
            <w:noWrap/>
            <w:vAlign w:val="center"/>
            <w:hideMark/>
          </w:tcPr>
          <w:p w14:paraId="568CDFAA"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635</w:t>
            </w:r>
          </w:p>
        </w:tc>
        <w:tc>
          <w:tcPr>
            <w:tcW w:w="1072" w:type="dxa"/>
            <w:shd w:val="clear" w:color="auto" w:fill="auto"/>
            <w:noWrap/>
            <w:vAlign w:val="center"/>
            <w:hideMark/>
          </w:tcPr>
          <w:p w14:paraId="756D4E80" w14:textId="761F320D"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4,10</w:t>
            </w:r>
          </w:p>
        </w:tc>
        <w:tc>
          <w:tcPr>
            <w:tcW w:w="1436" w:type="dxa"/>
            <w:shd w:val="clear" w:color="auto" w:fill="auto"/>
            <w:noWrap/>
            <w:vAlign w:val="center"/>
            <w:hideMark/>
          </w:tcPr>
          <w:p w14:paraId="7D698B38" w14:textId="391E226F"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81,41</w:t>
            </w:r>
          </w:p>
        </w:tc>
      </w:tr>
      <w:tr w:rsidR="005E47E5" w:rsidRPr="00F6590B" w14:paraId="226F23B3" w14:textId="77777777" w:rsidTr="00357433">
        <w:trPr>
          <w:trHeight w:val="300"/>
          <w:jc w:val="center"/>
        </w:trPr>
        <w:tc>
          <w:tcPr>
            <w:tcW w:w="2200" w:type="dxa"/>
            <w:shd w:val="clear" w:color="auto" w:fill="auto"/>
            <w:noWrap/>
            <w:vAlign w:val="center"/>
            <w:hideMark/>
          </w:tcPr>
          <w:p w14:paraId="34E65E82" w14:textId="4B8E08A1"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 do 8 godina</w:t>
            </w:r>
          </w:p>
        </w:tc>
        <w:tc>
          <w:tcPr>
            <w:tcW w:w="1127" w:type="dxa"/>
            <w:shd w:val="clear" w:color="auto" w:fill="auto"/>
            <w:noWrap/>
            <w:vAlign w:val="center"/>
            <w:hideMark/>
          </w:tcPr>
          <w:p w14:paraId="04C4686A"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37</w:t>
            </w:r>
          </w:p>
        </w:tc>
        <w:tc>
          <w:tcPr>
            <w:tcW w:w="1436" w:type="dxa"/>
            <w:shd w:val="clear" w:color="auto" w:fill="auto"/>
            <w:noWrap/>
            <w:vAlign w:val="center"/>
            <w:hideMark/>
          </w:tcPr>
          <w:p w14:paraId="7DE64D0C"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672</w:t>
            </w:r>
          </w:p>
        </w:tc>
        <w:tc>
          <w:tcPr>
            <w:tcW w:w="1072" w:type="dxa"/>
            <w:shd w:val="clear" w:color="auto" w:fill="auto"/>
            <w:noWrap/>
            <w:vAlign w:val="center"/>
            <w:hideMark/>
          </w:tcPr>
          <w:p w14:paraId="0726BB73" w14:textId="4C556B06"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4,74</w:t>
            </w:r>
          </w:p>
        </w:tc>
        <w:tc>
          <w:tcPr>
            <w:tcW w:w="1436" w:type="dxa"/>
            <w:shd w:val="clear" w:color="auto" w:fill="auto"/>
            <w:noWrap/>
            <w:vAlign w:val="center"/>
            <w:hideMark/>
          </w:tcPr>
          <w:p w14:paraId="73F1E871" w14:textId="4C51C35C"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86,15</w:t>
            </w:r>
          </w:p>
        </w:tc>
      </w:tr>
      <w:tr w:rsidR="005E47E5" w:rsidRPr="00F6590B" w14:paraId="7AFDDB17" w14:textId="77777777" w:rsidTr="00357433">
        <w:trPr>
          <w:trHeight w:val="300"/>
          <w:jc w:val="center"/>
        </w:trPr>
        <w:tc>
          <w:tcPr>
            <w:tcW w:w="2200" w:type="dxa"/>
            <w:shd w:val="clear" w:color="auto" w:fill="auto"/>
            <w:noWrap/>
            <w:vAlign w:val="center"/>
            <w:hideMark/>
          </w:tcPr>
          <w:p w14:paraId="1CB94C31" w14:textId="02F4E94F"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8 do 10 godina</w:t>
            </w:r>
          </w:p>
        </w:tc>
        <w:tc>
          <w:tcPr>
            <w:tcW w:w="1127" w:type="dxa"/>
            <w:shd w:val="clear" w:color="auto" w:fill="auto"/>
            <w:noWrap/>
            <w:vAlign w:val="center"/>
            <w:hideMark/>
          </w:tcPr>
          <w:p w14:paraId="0BACB631"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42</w:t>
            </w:r>
          </w:p>
        </w:tc>
        <w:tc>
          <w:tcPr>
            <w:tcW w:w="1436" w:type="dxa"/>
            <w:shd w:val="clear" w:color="auto" w:fill="auto"/>
            <w:noWrap/>
            <w:vAlign w:val="center"/>
            <w:hideMark/>
          </w:tcPr>
          <w:p w14:paraId="7BD626BA"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714</w:t>
            </w:r>
          </w:p>
        </w:tc>
        <w:tc>
          <w:tcPr>
            <w:tcW w:w="1072" w:type="dxa"/>
            <w:shd w:val="clear" w:color="auto" w:fill="auto"/>
            <w:noWrap/>
            <w:vAlign w:val="center"/>
            <w:hideMark/>
          </w:tcPr>
          <w:p w14:paraId="61989EDC" w14:textId="30163762"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5,38</w:t>
            </w:r>
          </w:p>
        </w:tc>
        <w:tc>
          <w:tcPr>
            <w:tcW w:w="1436" w:type="dxa"/>
            <w:shd w:val="clear" w:color="auto" w:fill="auto"/>
            <w:noWrap/>
            <w:vAlign w:val="center"/>
            <w:hideMark/>
          </w:tcPr>
          <w:p w14:paraId="37135057" w14:textId="36DAAA44"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91,54</w:t>
            </w:r>
          </w:p>
        </w:tc>
      </w:tr>
      <w:tr w:rsidR="005E47E5" w:rsidRPr="00F6590B" w14:paraId="1F3BA3C1" w14:textId="77777777" w:rsidTr="00357433">
        <w:trPr>
          <w:trHeight w:val="300"/>
          <w:jc w:val="center"/>
        </w:trPr>
        <w:tc>
          <w:tcPr>
            <w:tcW w:w="2200" w:type="dxa"/>
            <w:shd w:val="clear" w:color="auto" w:fill="auto"/>
            <w:noWrap/>
            <w:vAlign w:val="center"/>
            <w:hideMark/>
          </w:tcPr>
          <w:p w14:paraId="77CAF81D" w14:textId="1200150F"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10 do 12 godina</w:t>
            </w:r>
          </w:p>
        </w:tc>
        <w:tc>
          <w:tcPr>
            <w:tcW w:w="1127" w:type="dxa"/>
            <w:shd w:val="clear" w:color="auto" w:fill="auto"/>
            <w:noWrap/>
            <w:vAlign w:val="center"/>
            <w:hideMark/>
          </w:tcPr>
          <w:p w14:paraId="409D6CFE"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45</w:t>
            </w:r>
          </w:p>
        </w:tc>
        <w:tc>
          <w:tcPr>
            <w:tcW w:w="1436" w:type="dxa"/>
            <w:shd w:val="clear" w:color="auto" w:fill="auto"/>
            <w:noWrap/>
            <w:vAlign w:val="center"/>
            <w:hideMark/>
          </w:tcPr>
          <w:p w14:paraId="726B1ADF"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759</w:t>
            </w:r>
          </w:p>
        </w:tc>
        <w:tc>
          <w:tcPr>
            <w:tcW w:w="1072" w:type="dxa"/>
            <w:shd w:val="clear" w:color="auto" w:fill="auto"/>
            <w:noWrap/>
            <w:vAlign w:val="center"/>
            <w:hideMark/>
          </w:tcPr>
          <w:p w14:paraId="11F2CB9C" w14:textId="321465DD"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5,77</w:t>
            </w:r>
          </w:p>
        </w:tc>
        <w:tc>
          <w:tcPr>
            <w:tcW w:w="1436" w:type="dxa"/>
            <w:shd w:val="clear" w:color="auto" w:fill="auto"/>
            <w:noWrap/>
            <w:vAlign w:val="center"/>
            <w:hideMark/>
          </w:tcPr>
          <w:p w14:paraId="2A79D70C" w14:textId="07181A19"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97,31</w:t>
            </w:r>
          </w:p>
        </w:tc>
      </w:tr>
      <w:tr w:rsidR="005E47E5" w:rsidRPr="00F6590B" w14:paraId="56465986" w14:textId="77777777" w:rsidTr="00357433">
        <w:trPr>
          <w:trHeight w:val="300"/>
          <w:jc w:val="center"/>
        </w:trPr>
        <w:tc>
          <w:tcPr>
            <w:tcW w:w="2200" w:type="dxa"/>
            <w:shd w:val="clear" w:color="auto" w:fill="auto"/>
            <w:noWrap/>
            <w:vAlign w:val="center"/>
            <w:hideMark/>
          </w:tcPr>
          <w:p w14:paraId="4E05E606" w14:textId="040741B4"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12 do 14 godina</w:t>
            </w:r>
          </w:p>
        </w:tc>
        <w:tc>
          <w:tcPr>
            <w:tcW w:w="1127" w:type="dxa"/>
            <w:shd w:val="clear" w:color="auto" w:fill="auto"/>
            <w:noWrap/>
            <w:vAlign w:val="center"/>
            <w:hideMark/>
          </w:tcPr>
          <w:p w14:paraId="535655E3"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20</w:t>
            </w:r>
          </w:p>
        </w:tc>
        <w:tc>
          <w:tcPr>
            <w:tcW w:w="1436" w:type="dxa"/>
            <w:shd w:val="clear" w:color="auto" w:fill="auto"/>
            <w:noWrap/>
            <w:vAlign w:val="center"/>
            <w:hideMark/>
          </w:tcPr>
          <w:p w14:paraId="3229B9E9"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779</w:t>
            </w:r>
          </w:p>
        </w:tc>
        <w:tc>
          <w:tcPr>
            <w:tcW w:w="1072" w:type="dxa"/>
            <w:shd w:val="clear" w:color="auto" w:fill="auto"/>
            <w:noWrap/>
            <w:vAlign w:val="center"/>
            <w:hideMark/>
          </w:tcPr>
          <w:p w14:paraId="05CDEE53" w14:textId="22BBE3EB"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2,56</w:t>
            </w:r>
          </w:p>
        </w:tc>
        <w:tc>
          <w:tcPr>
            <w:tcW w:w="1436" w:type="dxa"/>
            <w:shd w:val="clear" w:color="auto" w:fill="auto"/>
            <w:noWrap/>
            <w:vAlign w:val="center"/>
            <w:hideMark/>
          </w:tcPr>
          <w:p w14:paraId="483C8EFD" w14:textId="746FF0D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99,87</w:t>
            </w:r>
          </w:p>
        </w:tc>
      </w:tr>
      <w:tr w:rsidR="005E47E5" w:rsidRPr="00F6590B" w14:paraId="5F68D54B" w14:textId="77777777" w:rsidTr="00357433">
        <w:trPr>
          <w:trHeight w:val="300"/>
          <w:jc w:val="center"/>
        </w:trPr>
        <w:tc>
          <w:tcPr>
            <w:tcW w:w="2200" w:type="dxa"/>
            <w:shd w:val="clear" w:color="auto" w:fill="auto"/>
            <w:noWrap/>
            <w:vAlign w:val="center"/>
            <w:hideMark/>
          </w:tcPr>
          <w:p w14:paraId="63E54CCF" w14:textId="61655905"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14 do 16 godina</w:t>
            </w:r>
          </w:p>
        </w:tc>
        <w:tc>
          <w:tcPr>
            <w:tcW w:w="1127" w:type="dxa"/>
            <w:shd w:val="clear" w:color="auto" w:fill="auto"/>
            <w:noWrap/>
            <w:vAlign w:val="center"/>
            <w:hideMark/>
          </w:tcPr>
          <w:p w14:paraId="6EC086F3"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w:t>
            </w:r>
          </w:p>
        </w:tc>
        <w:tc>
          <w:tcPr>
            <w:tcW w:w="1436" w:type="dxa"/>
            <w:shd w:val="clear" w:color="auto" w:fill="auto"/>
            <w:noWrap/>
            <w:vAlign w:val="center"/>
            <w:hideMark/>
          </w:tcPr>
          <w:p w14:paraId="6B060BBD" w14:textId="77777777"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780</w:t>
            </w:r>
          </w:p>
        </w:tc>
        <w:tc>
          <w:tcPr>
            <w:tcW w:w="1072" w:type="dxa"/>
            <w:shd w:val="clear" w:color="auto" w:fill="auto"/>
            <w:noWrap/>
            <w:vAlign w:val="center"/>
            <w:hideMark/>
          </w:tcPr>
          <w:p w14:paraId="61FD4E6A" w14:textId="520EA341"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0,13</w:t>
            </w:r>
          </w:p>
        </w:tc>
        <w:tc>
          <w:tcPr>
            <w:tcW w:w="1436" w:type="dxa"/>
            <w:shd w:val="clear" w:color="auto" w:fill="auto"/>
            <w:noWrap/>
            <w:vAlign w:val="center"/>
            <w:hideMark/>
          </w:tcPr>
          <w:p w14:paraId="4DB622FB" w14:textId="26CB5BB8" w:rsidR="005852F7" w:rsidRPr="00F6590B" w:rsidRDefault="005852F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100,00</w:t>
            </w:r>
          </w:p>
        </w:tc>
      </w:tr>
      <w:tr w:rsidR="00F14A01" w:rsidRPr="00F6590B" w14:paraId="3A38CCA2" w14:textId="77777777" w:rsidTr="00357433">
        <w:trPr>
          <w:trHeight w:val="300"/>
          <w:jc w:val="center"/>
        </w:trPr>
        <w:tc>
          <w:tcPr>
            <w:tcW w:w="2200" w:type="dxa"/>
            <w:shd w:val="clear" w:color="auto" w:fill="auto"/>
            <w:noWrap/>
            <w:vAlign w:val="center"/>
          </w:tcPr>
          <w:p w14:paraId="0B8FC070" w14:textId="300F4010" w:rsidR="00F14A01" w:rsidRPr="00F6590B" w:rsidRDefault="00F14A01"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16 godina i više</w:t>
            </w:r>
          </w:p>
        </w:tc>
        <w:tc>
          <w:tcPr>
            <w:tcW w:w="1127" w:type="dxa"/>
            <w:shd w:val="clear" w:color="auto" w:fill="auto"/>
            <w:noWrap/>
            <w:vAlign w:val="center"/>
          </w:tcPr>
          <w:p w14:paraId="24D63738" w14:textId="54197E27" w:rsidR="00F14A01" w:rsidRPr="00F6590B" w:rsidRDefault="00F14A01"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w:t>
            </w:r>
          </w:p>
        </w:tc>
        <w:tc>
          <w:tcPr>
            <w:tcW w:w="1436" w:type="dxa"/>
            <w:shd w:val="clear" w:color="auto" w:fill="auto"/>
            <w:noWrap/>
            <w:vAlign w:val="center"/>
          </w:tcPr>
          <w:p w14:paraId="49113177" w14:textId="71097DEC" w:rsidR="00F14A01" w:rsidRPr="00F6590B" w:rsidRDefault="00F14A01"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780</w:t>
            </w:r>
          </w:p>
        </w:tc>
        <w:tc>
          <w:tcPr>
            <w:tcW w:w="1072" w:type="dxa"/>
            <w:shd w:val="clear" w:color="auto" w:fill="auto"/>
            <w:noWrap/>
            <w:vAlign w:val="center"/>
          </w:tcPr>
          <w:p w14:paraId="33A37F11" w14:textId="1430CC2F" w:rsidR="00F14A01" w:rsidRPr="00F6590B" w:rsidRDefault="00F14A01"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w:t>
            </w:r>
          </w:p>
        </w:tc>
        <w:tc>
          <w:tcPr>
            <w:tcW w:w="1436" w:type="dxa"/>
            <w:shd w:val="clear" w:color="auto" w:fill="auto"/>
            <w:noWrap/>
            <w:vAlign w:val="center"/>
          </w:tcPr>
          <w:p w14:paraId="224E8B0A" w14:textId="2F15EDE2" w:rsidR="00F14A01" w:rsidRPr="00F6590B" w:rsidRDefault="00F14A01"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100,00</w:t>
            </w:r>
          </w:p>
        </w:tc>
      </w:tr>
    </w:tbl>
    <w:p w14:paraId="15BCD27B" w14:textId="115B2FA7"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6B18A72C" w14:textId="5BF936EF" w:rsidR="008B7328" w:rsidRPr="00F6590B" w:rsidRDefault="004538D7" w:rsidP="00483743">
      <w:pPr>
        <w:spacing w:line="480" w:lineRule="auto"/>
        <w:rPr>
          <w:szCs w:val="24"/>
          <w:lang w:val="hr-HR"/>
        </w:rPr>
      </w:pPr>
      <w:r w:rsidRPr="00F6590B">
        <w:rPr>
          <w:szCs w:val="24"/>
          <w:lang w:val="hr-HR"/>
        </w:rPr>
        <w:t>Promotr</w:t>
      </w:r>
      <w:r w:rsidR="001571F5" w:rsidRPr="00F6590B">
        <w:rPr>
          <w:szCs w:val="24"/>
          <w:lang w:val="hr-HR"/>
        </w:rPr>
        <w:t>e</w:t>
      </w:r>
      <w:r w:rsidRPr="00F6590B">
        <w:rPr>
          <w:szCs w:val="24"/>
          <w:lang w:val="hr-HR"/>
        </w:rPr>
        <w:t xml:space="preserve"> li se </w:t>
      </w:r>
      <w:r w:rsidR="001571F5" w:rsidRPr="00F6590B">
        <w:rPr>
          <w:szCs w:val="24"/>
          <w:lang w:val="hr-HR"/>
        </w:rPr>
        <w:t>karakteristike</w:t>
      </w:r>
      <w:r w:rsidRPr="00F6590B">
        <w:rPr>
          <w:szCs w:val="24"/>
          <w:lang w:val="hr-HR"/>
        </w:rPr>
        <w:t xml:space="preserve"> </w:t>
      </w:r>
      <w:r w:rsidR="001571F5" w:rsidRPr="00F6590B">
        <w:rPr>
          <w:szCs w:val="24"/>
          <w:lang w:val="hr-HR"/>
        </w:rPr>
        <w:t>svakog suda</w:t>
      </w:r>
      <w:r w:rsidR="00E1679F" w:rsidRPr="00F6590B">
        <w:rPr>
          <w:szCs w:val="24"/>
          <w:lang w:val="hr-HR"/>
        </w:rPr>
        <w:t xml:space="preserve"> pojedinačno (tablica 2.)</w:t>
      </w:r>
      <w:r w:rsidRPr="00F6590B">
        <w:rPr>
          <w:szCs w:val="24"/>
          <w:lang w:val="hr-HR"/>
        </w:rPr>
        <w:t xml:space="preserve">, </w:t>
      </w:r>
      <w:r w:rsidR="00E1679F" w:rsidRPr="00F6590B">
        <w:rPr>
          <w:szCs w:val="24"/>
          <w:lang w:val="hr-HR"/>
        </w:rPr>
        <w:t xml:space="preserve">jasno je kako stečajni postupci </w:t>
      </w:r>
      <w:r w:rsidR="00D06778" w:rsidRPr="00F6590B">
        <w:rPr>
          <w:szCs w:val="24"/>
          <w:lang w:val="hr-HR"/>
        </w:rPr>
        <w:t>u trenutku promatranja najkraće trajali</w:t>
      </w:r>
      <w:r w:rsidR="00E1679F" w:rsidRPr="00F6590B">
        <w:rPr>
          <w:szCs w:val="24"/>
          <w:lang w:val="hr-HR"/>
        </w:rPr>
        <w:t xml:space="preserve"> u Bjelovaru, a najdulje u Varaždinu</w:t>
      </w:r>
      <w:r w:rsidR="001571F5" w:rsidRPr="00F6590B">
        <w:rPr>
          <w:szCs w:val="24"/>
          <w:lang w:val="hr-HR"/>
        </w:rPr>
        <w:t xml:space="preserve"> (imajući u vidu kako distribucija nije normalna, te je stoga medijan bolja mjera centralne tendencije od aritmetičke sredine)</w:t>
      </w:r>
      <w:r w:rsidR="00041320" w:rsidRPr="00F6590B">
        <w:rPr>
          <w:szCs w:val="24"/>
          <w:lang w:val="hr-HR"/>
        </w:rPr>
        <w:t xml:space="preserve">. Najveća varijabilnost trajanja u odnosu na aritmetičku sredinu postoji u Zagrebu. </w:t>
      </w:r>
    </w:p>
    <w:p w14:paraId="31EE3236" w14:textId="42A5A386" w:rsidR="00847F7A" w:rsidRPr="00F6590B" w:rsidRDefault="008119F3" w:rsidP="00483743">
      <w:pPr>
        <w:pStyle w:val="Caption"/>
        <w:spacing w:line="480" w:lineRule="auto"/>
        <w:rPr>
          <w:szCs w:val="24"/>
          <w:lang w:val="hr-HR"/>
        </w:rPr>
      </w:pPr>
      <w:r w:rsidRPr="00F6590B">
        <w:rPr>
          <w:lang w:val="hr-HR"/>
        </w:rPr>
        <w:t xml:space="preserve">Tablica </w:t>
      </w:r>
      <w:r w:rsidRPr="00F6590B">
        <w:rPr>
          <w:lang w:val="hr-HR"/>
        </w:rPr>
        <w:fldChar w:fldCharType="begin"/>
      </w:r>
      <w:r w:rsidRPr="00F6590B">
        <w:rPr>
          <w:lang w:val="hr-HR"/>
        </w:rPr>
        <w:instrText xml:space="preserve"> SEQ Tablica \* ARABIC </w:instrText>
      </w:r>
      <w:r w:rsidRPr="00F6590B">
        <w:rPr>
          <w:lang w:val="hr-HR"/>
        </w:rPr>
        <w:fldChar w:fldCharType="separate"/>
      </w:r>
      <w:r w:rsidR="00D26260" w:rsidRPr="00F6590B">
        <w:rPr>
          <w:lang w:val="hr-HR"/>
        </w:rPr>
        <w:t>2</w:t>
      </w:r>
      <w:r w:rsidRPr="00F6590B">
        <w:rPr>
          <w:lang w:val="hr-HR"/>
        </w:rPr>
        <w:fldChar w:fldCharType="end"/>
      </w:r>
      <w:r w:rsidRPr="00F6590B">
        <w:rPr>
          <w:lang w:val="hr-HR"/>
        </w:rPr>
        <w:t xml:space="preserve">. </w:t>
      </w:r>
      <w:r w:rsidR="00847F7A" w:rsidRPr="00F6590B">
        <w:rPr>
          <w:szCs w:val="24"/>
          <w:lang w:val="hr-HR"/>
        </w:rPr>
        <w:t>Deskriptivna analiza nezatvorenih stečaj</w:t>
      </w:r>
      <w:r w:rsidR="00A415CC" w:rsidRPr="00F6590B">
        <w:rPr>
          <w:szCs w:val="24"/>
          <w:lang w:val="hr-HR"/>
        </w:rPr>
        <w:t xml:space="preserve">eva </w:t>
      </w:r>
      <w:r w:rsidR="00847F7A" w:rsidRPr="00F6590B">
        <w:rPr>
          <w:szCs w:val="24"/>
          <w:lang w:val="hr-HR"/>
        </w:rPr>
        <w:t>u travnju 2012.</w:t>
      </w:r>
      <w:r w:rsidR="004538D7" w:rsidRPr="00F6590B">
        <w:rPr>
          <w:szCs w:val="24"/>
          <w:lang w:val="hr-HR"/>
        </w:rPr>
        <w:t>, specificirano prema sudovima</w:t>
      </w:r>
    </w:p>
    <w:tbl>
      <w:tblPr>
        <w:tblW w:w="10562"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624"/>
        <w:gridCol w:w="1021"/>
        <w:gridCol w:w="1386"/>
        <w:gridCol w:w="1235"/>
        <w:gridCol w:w="1336"/>
        <w:gridCol w:w="1340"/>
        <w:gridCol w:w="1408"/>
      </w:tblGrid>
      <w:tr w:rsidR="0071625E" w:rsidRPr="00F6590B" w14:paraId="712668F1" w14:textId="69F6589E" w:rsidTr="00041320">
        <w:trPr>
          <w:trHeight w:val="578"/>
          <w:jc w:val="center"/>
        </w:trPr>
        <w:tc>
          <w:tcPr>
            <w:tcW w:w="1212" w:type="dxa"/>
            <w:vMerge w:val="restart"/>
            <w:shd w:val="clear" w:color="auto" w:fill="FFFFFF" w:themeFill="background1"/>
            <w:vAlign w:val="center"/>
          </w:tcPr>
          <w:p w14:paraId="2F2C53CB" w14:textId="62AE0399" w:rsidR="00870E97" w:rsidRPr="00F6590B" w:rsidRDefault="00870E97"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Trgovački sud</w:t>
            </w:r>
          </w:p>
        </w:tc>
        <w:tc>
          <w:tcPr>
            <w:tcW w:w="1624" w:type="dxa"/>
            <w:vMerge w:val="restart"/>
            <w:shd w:val="clear" w:color="auto" w:fill="FFFFFF" w:themeFill="background1"/>
            <w:vAlign w:val="center"/>
          </w:tcPr>
          <w:p w14:paraId="52975FFF" w14:textId="6C704291" w:rsidR="0071625E" w:rsidRPr="00F6590B" w:rsidRDefault="0071625E"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 xml:space="preserve">Broj nezatvorenih </w:t>
            </w:r>
            <w:r w:rsidR="008119F3" w:rsidRPr="00F6590B">
              <w:rPr>
                <w:rFonts w:asciiTheme="minorHAnsi" w:eastAsia="Times New Roman" w:hAnsiTheme="minorHAnsi" w:cs="Arial"/>
                <w:color w:val="000000"/>
                <w:szCs w:val="24"/>
                <w:lang w:val="hr-HR" w:eastAsia="hr-HR"/>
              </w:rPr>
              <w:t>stečajeva</w:t>
            </w:r>
          </w:p>
        </w:tc>
        <w:tc>
          <w:tcPr>
            <w:tcW w:w="7726" w:type="dxa"/>
            <w:gridSpan w:val="6"/>
            <w:shd w:val="clear" w:color="auto" w:fill="FFFFFF" w:themeFill="background1"/>
            <w:vAlign w:val="center"/>
          </w:tcPr>
          <w:p w14:paraId="2AB2927F" w14:textId="20DC4A53" w:rsidR="0071625E" w:rsidRPr="00F6590B" w:rsidRDefault="0071625E"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Trajanje nezatvorenih stečajnih predmeta u godinama</w:t>
            </w:r>
          </w:p>
        </w:tc>
      </w:tr>
      <w:tr w:rsidR="00041320" w:rsidRPr="00F6590B" w14:paraId="3E30619C" w14:textId="1FAAD799" w:rsidTr="00357433">
        <w:trPr>
          <w:trHeight w:val="300"/>
          <w:jc w:val="center"/>
        </w:trPr>
        <w:tc>
          <w:tcPr>
            <w:tcW w:w="1212" w:type="dxa"/>
            <w:vMerge/>
            <w:tcBorders>
              <w:bottom w:val="double" w:sz="4" w:space="0" w:color="auto"/>
            </w:tcBorders>
            <w:shd w:val="clear" w:color="auto" w:fill="FFFFFF" w:themeFill="background1"/>
            <w:vAlign w:val="center"/>
            <w:hideMark/>
          </w:tcPr>
          <w:p w14:paraId="544C25E5" w14:textId="3541E286"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p>
        </w:tc>
        <w:tc>
          <w:tcPr>
            <w:tcW w:w="1624" w:type="dxa"/>
            <w:vMerge/>
            <w:tcBorders>
              <w:bottom w:val="double" w:sz="4" w:space="0" w:color="auto"/>
            </w:tcBorders>
            <w:shd w:val="clear" w:color="auto" w:fill="FFFFFF" w:themeFill="background1"/>
            <w:vAlign w:val="center"/>
            <w:hideMark/>
          </w:tcPr>
          <w:p w14:paraId="0856960A" w14:textId="2675751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p>
        </w:tc>
        <w:tc>
          <w:tcPr>
            <w:tcW w:w="1021" w:type="dxa"/>
            <w:tcBorders>
              <w:bottom w:val="double" w:sz="4" w:space="0" w:color="auto"/>
            </w:tcBorders>
            <w:shd w:val="clear" w:color="auto" w:fill="FFFFFF" w:themeFill="background1"/>
            <w:vAlign w:val="center"/>
          </w:tcPr>
          <w:p w14:paraId="7CC6BAEC" w14:textId="5820DCEF"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Medijan</w:t>
            </w:r>
          </w:p>
        </w:tc>
        <w:tc>
          <w:tcPr>
            <w:tcW w:w="1386" w:type="dxa"/>
            <w:tcBorders>
              <w:bottom w:val="double" w:sz="4" w:space="0" w:color="auto"/>
            </w:tcBorders>
            <w:shd w:val="clear" w:color="auto" w:fill="FFFFFF" w:themeFill="background1"/>
            <w:vAlign w:val="center"/>
          </w:tcPr>
          <w:p w14:paraId="1C83779D" w14:textId="0526BA64"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Aritmetička sredina</w:t>
            </w:r>
          </w:p>
        </w:tc>
        <w:tc>
          <w:tcPr>
            <w:tcW w:w="1235" w:type="dxa"/>
            <w:tcBorders>
              <w:bottom w:val="double" w:sz="4" w:space="0" w:color="auto"/>
            </w:tcBorders>
            <w:shd w:val="clear" w:color="auto" w:fill="FFFFFF" w:themeFill="background1"/>
            <w:vAlign w:val="center"/>
          </w:tcPr>
          <w:p w14:paraId="7A907BA7" w14:textId="5C90FAE3"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Minimum</w:t>
            </w:r>
          </w:p>
        </w:tc>
        <w:tc>
          <w:tcPr>
            <w:tcW w:w="1336" w:type="dxa"/>
            <w:tcBorders>
              <w:bottom w:val="double" w:sz="4" w:space="0" w:color="auto"/>
            </w:tcBorders>
            <w:shd w:val="clear" w:color="auto" w:fill="FFFFFF" w:themeFill="background1"/>
            <w:vAlign w:val="center"/>
          </w:tcPr>
          <w:p w14:paraId="24388FCA" w14:textId="38E008D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Maksimum</w:t>
            </w:r>
          </w:p>
        </w:tc>
        <w:tc>
          <w:tcPr>
            <w:tcW w:w="1340" w:type="dxa"/>
            <w:tcBorders>
              <w:bottom w:val="double" w:sz="4" w:space="0" w:color="auto"/>
            </w:tcBorders>
            <w:shd w:val="clear" w:color="auto" w:fill="FFFFFF" w:themeFill="background1"/>
            <w:vAlign w:val="center"/>
          </w:tcPr>
          <w:p w14:paraId="28F0EFE8" w14:textId="661F832F"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Standardna devijacija</w:t>
            </w:r>
          </w:p>
        </w:tc>
        <w:tc>
          <w:tcPr>
            <w:tcW w:w="1408" w:type="dxa"/>
            <w:tcBorders>
              <w:bottom w:val="double" w:sz="4" w:space="0" w:color="auto"/>
            </w:tcBorders>
            <w:shd w:val="clear" w:color="auto" w:fill="FFFFFF" w:themeFill="background1"/>
            <w:vAlign w:val="center"/>
          </w:tcPr>
          <w:p w14:paraId="781DCAAA" w14:textId="303C950A"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Koeficijent varijacije</w:t>
            </w:r>
          </w:p>
        </w:tc>
      </w:tr>
      <w:tr w:rsidR="00041320" w:rsidRPr="00F6590B" w14:paraId="7834094E" w14:textId="29F4E3E7" w:rsidTr="00357433">
        <w:trPr>
          <w:trHeight w:val="300"/>
          <w:jc w:val="center"/>
        </w:trPr>
        <w:tc>
          <w:tcPr>
            <w:tcW w:w="1212" w:type="dxa"/>
            <w:tcBorders>
              <w:top w:val="double" w:sz="4" w:space="0" w:color="auto"/>
            </w:tcBorders>
            <w:shd w:val="clear" w:color="auto" w:fill="auto"/>
            <w:noWrap/>
            <w:vAlign w:val="center"/>
            <w:hideMark/>
          </w:tcPr>
          <w:p w14:paraId="611D7EB4" w14:textId="77777777" w:rsidR="00041320" w:rsidRPr="00F6590B" w:rsidRDefault="00041320"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Bjelovar</w:t>
            </w:r>
          </w:p>
        </w:tc>
        <w:tc>
          <w:tcPr>
            <w:tcW w:w="1624" w:type="dxa"/>
            <w:tcBorders>
              <w:top w:val="double" w:sz="4" w:space="0" w:color="auto"/>
            </w:tcBorders>
            <w:shd w:val="clear" w:color="auto" w:fill="auto"/>
            <w:noWrap/>
            <w:vAlign w:val="center"/>
            <w:hideMark/>
          </w:tcPr>
          <w:p w14:paraId="4392A1D9" w14:textId="7777777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21</w:t>
            </w:r>
          </w:p>
        </w:tc>
        <w:tc>
          <w:tcPr>
            <w:tcW w:w="1021" w:type="dxa"/>
            <w:tcBorders>
              <w:top w:val="double" w:sz="4" w:space="0" w:color="auto"/>
            </w:tcBorders>
            <w:shd w:val="clear" w:color="auto" w:fill="auto"/>
            <w:noWrap/>
            <w:vAlign w:val="center"/>
          </w:tcPr>
          <w:p w14:paraId="6B57CF3B" w14:textId="7FC8B348"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0,91</w:t>
            </w:r>
          </w:p>
        </w:tc>
        <w:tc>
          <w:tcPr>
            <w:tcW w:w="1386" w:type="dxa"/>
            <w:tcBorders>
              <w:top w:val="double" w:sz="4" w:space="0" w:color="auto"/>
            </w:tcBorders>
            <w:shd w:val="clear" w:color="auto" w:fill="auto"/>
            <w:noWrap/>
            <w:vAlign w:val="center"/>
          </w:tcPr>
          <w:p w14:paraId="3AA95912" w14:textId="39C93A16"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1,43</w:t>
            </w:r>
          </w:p>
        </w:tc>
        <w:tc>
          <w:tcPr>
            <w:tcW w:w="1235" w:type="dxa"/>
            <w:tcBorders>
              <w:top w:val="double" w:sz="4" w:space="0" w:color="auto"/>
            </w:tcBorders>
            <w:shd w:val="clear" w:color="auto" w:fill="auto"/>
            <w:noWrap/>
            <w:vAlign w:val="center"/>
          </w:tcPr>
          <w:p w14:paraId="0DCAE44E" w14:textId="3FBE319B"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0,21</w:t>
            </w:r>
          </w:p>
        </w:tc>
        <w:tc>
          <w:tcPr>
            <w:tcW w:w="1336" w:type="dxa"/>
            <w:tcBorders>
              <w:top w:val="double" w:sz="4" w:space="0" w:color="auto"/>
            </w:tcBorders>
            <w:shd w:val="clear" w:color="auto" w:fill="auto"/>
            <w:noWrap/>
            <w:vAlign w:val="center"/>
          </w:tcPr>
          <w:p w14:paraId="6ACAA266" w14:textId="552BFD0E"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6,72</w:t>
            </w:r>
          </w:p>
        </w:tc>
        <w:tc>
          <w:tcPr>
            <w:tcW w:w="1340" w:type="dxa"/>
            <w:tcBorders>
              <w:top w:val="double" w:sz="4" w:space="0" w:color="auto"/>
            </w:tcBorders>
            <w:shd w:val="clear" w:color="auto" w:fill="auto"/>
            <w:noWrap/>
            <w:vAlign w:val="center"/>
          </w:tcPr>
          <w:p w14:paraId="7AC52547" w14:textId="480FF46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1,43</w:t>
            </w:r>
          </w:p>
        </w:tc>
        <w:tc>
          <w:tcPr>
            <w:tcW w:w="1408" w:type="dxa"/>
            <w:tcBorders>
              <w:top w:val="double" w:sz="4" w:space="0" w:color="auto"/>
            </w:tcBorders>
            <w:vAlign w:val="center"/>
          </w:tcPr>
          <w:p w14:paraId="32D7F068" w14:textId="0DC9DB11"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100,33</w:t>
            </w:r>
          </w:p>
        </w:tc>
      </w:tr>
      <w:tr w:rsidR="00041320" w:rsidRPr="00F6590B" w14:paraId="7AF656FD" w14:textId="212E974E" w:rsidTr="00357433">
        <w:trPr>
          <w:trHeight w:val="300"/>
          <w:jc w:val="center"/>
        </w:trPr>
        <w:tc>
          <w:tcPr>
            <w:tcW w:w="1212" w:type="dxa"/>
            <w:shd w:val="clear" w:color="auto" w:fill="auto"/>
            <w:noWrap/>
            <w:vAlign w:val="center"/>
            <w:hideMark/>
          </w:tcPr>
          <w:p w14:paraId="7F55E08E" w14:textId="77777777" w:rsidR="00041320" w:rsidRPr="00F6590B" w:rsidRDefault="00041320"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Osijek</w:t>
            </w:r>
          </w:p>
        </w:tc>
        <w:tc>
          <w:tcPr>
            <w:tcW w:w="1624" w:type="dxa"/>
            <w:shd w:val="clear" w:color="auto" w:fill="auto"/>
            <w:noWrap/>
            <w:vAlign w:val="center"/>
            <w:hideMark/>
          </w:tcPr>
          <w:p w14:paraId="1C94A518" w14:textId="7777777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105</w:t>
            </w:r>
          </w:p>
        </w:tc>
        <w:tc>
          <w:tcPr>
            <w:tcW w:w="1021" w:type="dxa"/>
            <w:shd w:val="clear" w:color="auto" w:fill="auto"/>
            <w:noWrap/>
            <w:vAlign w:val="center"/>
          </w:tcPr>
          <w:p w14:paraId="0D8E46CA" w14:textId="5192D80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1,39</w:t>
            </w:r>
          </w:p>
        </w:tc>
        <w:tc>
          <w:tcPr>
            <w:tcW w:w="1386" w:type="dxa"/>
            <w:shd w:val="clear" w:color="auto" w:fill="auto"/>
            <w:noWrap/>
            <w:vAlign w:val="center"/>
          </w:tcPr>
          <w:p w14:paraId="43337523" w14:textId="77C63AD3"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3,24</w:t>
            </w:r>
          </w:p>
        </w:tc>
        <w:tc>
          <w:tcPr>
            <w:tcW w:w="1235" w:type="dxa"/>
            <w:shd w:val="clear" w:color="auto" w:fill="auto"/>
            <w:noWrap/>
            <w:vAlign w:val="center"/>
          </w:tcPr>
          <w:p w14:paraId="28219788" w14:textId="66A9FC29"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0,12</w:t>
            </w:r>
          </w:p>
        </w:tc>
        <w:tc>
          <w:tcPr>
            <w:tcW w:w="1336" w:type="dxa"/>
            <w:shd w:val="clear" w:color="auto" w:fill="auto"/>
            <w:noWrap/>
            <w:vAlign w:val="center"/>
          </w:tcPr>
          <w:p w14:paraId="3DC9B5E6" w14:textId="652B931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13,03</w:t>
            </w:r>
          </w:p>
        </w:tc>
        <w:tc>
          <w:tcPr>
            <w:tcW w:w="1340" w:type="dxa"/>
            <w:shd w:val="clear" w:color="auto" w:fill="auto"/>
            <w:noWrap/>
            <w:vAlign w:val="center"/>
          </w:tcPr>
          <w:p w14:paraId="7E5416A9" w14:textId="271E87A2"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3,86</w:t>
            </w:r>
          </w:p>
        </w:tc>
        <w:tc>
          <w:tcPr>
            <w:tcW w:w="1408" w:type="dxa"/>
            <w:vAlign w:val="center"/>
          </w:tcPr>
          <w:p w14:paraId="136F56CB" w14:textId="72C22595"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119,09</w:t>
            </w:r>
          </w:p>
        </w:tc>
      </w:tr>
      <w:tr w:rsidR="00041320" w:rsidRPr="00F6590B" w14:paraId="3EE02DF2" w14:textId="316159DA" w:rsidTr="00357433">
        <w:trPr>
          <w:trHeight w:val="300"/>
          <w:jc w:val="center"/>
        </w:trPr>
        <w:tc>
          <w:tcPr>
            <w:tcW w:w="1212" w:type="dxa"/>
            <w:shd w:val="clear" w:color="auto" w:fill="auto"/>
            <w:noWrap/>
            <w:vAlign w:val="center"/>
            <w:hideMark/>
          </w:tcPr>
          <w:p w14:paraId="57742304" w14:textId="77777777" w:rsidR="00041320" w:rsidRPr="00F6590B" w:rsidRDefault="00041320"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Rijeka</w:t>
            </w:r>
          </w:p>
        </w:tc>
        <w:tc>
          <w:tcPr>
            <w:tcW w:w="1624" w:type="dxa"/>
            <w:shd w:val="clear" w:color="auto" w:fill="auto"/>
            <w:noWrap/>
            <w:vAlign w:val="center"/>
            <w:hideMark/>
          </w:tcPr>
          <w:p w14:paraId="1D703B14" w14:textId="7777777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154</w:t>
            </w:r>
          </w:p>
        </w:tc>
        <w:tc>
          <w:tcPr>
            <w:tcW w:w="1021" w:type="dxa"/>
            <w:shd w:val="clear" w:color="auto" w:fill="auto"/>
            <w:noWrap/>
            <w:vAlign w:val="center"/>
          </w:tcPr>
          <w:p w14:paraId="759733F2" w14:textId="09765C96"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1,57</w:t>
            </w:r>
          </w:p>
        </w:tc>
        <w:tc>
          <w:tcPr>
            <w:tcW w:w="1386" w:type="dxa"/>
            <w:shd w:val="clear" w:color="auto" w:fill="auto"/>
            <w:noWrap/>
            <w:vAlign w:val="center"/>
          </w:tcPr>
          <w:p w14:paraId="4CFFD48F" w14:textId="0ACBB2E2"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3,50</w:t>
            </w:r>
          </w:p>
        </w:tc>
        <w:tc>
          <w:tcPr>
            <w:tcW w:w="1235" w:type="dxa"/>
            <w:shd w:val="clear" w:color="auto" w:fill="auto"/>
            <w:noWrap/>
            <w:vAlign w:val="center"/>
          </w:tcPr>
          <w:p w14:paraId="0D8A5575" w14:textId="3992DB71"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0,20</w:t>
            </w:r>
          </w:p>
        </w:tc>
        <w:tc>
          <w:tcPr>
            <w:tcW w:w="1336" w:type="dxa"/>
            <w:shd w:val="clear" w:color="auto" w:fill="auto"/>
            <w:noWrap/>
            <w:vAlign w:val="center"/>
          </w:tcPr>
          <w:p w14:paraId="3E08F0B4" w14:textId="63C20D9D"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13,23</w:t>
            </w:r>
          </w:p>
        </w:tc>
        <w:tc>
          <w:tcPr>
            <w:tcW w:w="1340" w:type="dxa"/>
            <w:shd w:val="clear" w:color="auto" w:fill="auto"/>
            <w:noWrap/>
            <w:vAlign w:val="center"/>
          </w:tcPr>
          <w:p w14:paraId="7806FB36" w14:textId="29A88062"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3,83</w:t>
            </w:r>
          </w:p>
        </w:tc>
        <w:tc>
          <w:tcPr>
            <w:tcW w:w="1408" w:type="dxa"/>
            <w:vAlign w:val="center"/>
          </w:tcPr>
          <w:p w14:paraId="7EC0CB32" w14:textId="22671215"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109,25</w:t>
            </w:r>
          </w:p>
        </w:tc>
      </w:tr>
      <w:tr w:rsidR="00041320" w:rsidRPr="00F6590B" w14:paraId="589B493F" w14:textId="4540368C" w:rsidTr="00357433">
        <w:trPr>
          <w:trHeight w:val="300"/>
          <w:jc w:val="center"/>
        </w:trPr>
        <w:tc>
          <w:tcPr>
            <w:tcW w:w="1212" w:type="dxa"/>
            <w:shd w:val="clear" w:color="auto" w:fill="auto"/>
            <w:noWrap/>
            <w:vAlign w:val="center"/>
            <w:hideMark/>
          </w:tcPr>
          <w:p w14:paraId="394F62F9" w14:textId="77777777" w:rsidR="00041320" w:rsidRPr="00F6590B" w:rsidRDefault="00041320"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Split</w:t>
            </w:r>
          </w:p>
        </w:tc>
        <w:tc>
          <w:tcPr>
            <w:tcW w:w="1624" w:type="dxa"/>
            <w:shd w:val="clear" w:color="auto" w:fill="auto"/>
            <w:noWrap/>
            <w:vAlign w:val="center"/>
            <w:hideMark/>
          </w:tcPr>
          <w:p w14:paraId="3594BDEE" w14:textId="7777777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126</w:t>
            </w:r>
          </w:p>
        </w:tc>
        <w:tc>
          <w:tcPr>
            <w:tcW w:w="1021" w:type="dxa"/>
            <w:shd w:val="clear" w:color="auto" w:fill="auto"/>
            <w:noWrap/>
            <w:vAlign w:val="center"/>
          </w:tcPr>
          <w:p w14:paraId="26471447" w14:textId="1CCAAA61"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1,58</w:t>
            </w:r>
          </w:p>
        </w:tc>
        <w:tc>
          <w:tcPr>
            <w:tcW w:w="1386" w:type="dxa"/>
            <w:shd w:val="clear" w:color="auto" w:fill="auto"/>
            <w:noWrap/>
            <w:vAlign w:val="center"/>
          </w:tcPr>
          <w:p w14:paraId="5DBDCFD9" w14:textId="439A2FE3"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3,13</w:t>
            </w:r>
          </w:p>
        </w:tc>
        <w:tc>
          <w:tcPr>
            <w:tcW w:w="1235" w:type="dxa"/>
            <w:shd w:val="clear" w:color="auto" w:fill="auto"/>
            <w:noWrap/>
            <w:vAlign w:val="center"/>
          </w:tcPr>
          <w:p w14:paraId="55DBA261" w14:textId="430809B5"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0,21</w:t>
            </w:r>
          </w:p>
        </w:tc>
        <w:tc>
          <w:tcPr>
            <w:tcW w:w="1336" w:type="dxa"/>
            <w:shd w:val="clear" w:color="auto" w:fill="auto"/>
            <w:noWrap/>
            <w:vAlign w:val="center"/>
          </w:tcPr>
          <w:p w14:paraId="0D83512E" w14:textId="3114220D"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13,76</w:t>
            </w:r>
          </w:p>
        </w:tc>
        <w:tc>
          <w:tcPr>
            <w:tcW w:w="1340" w:type="dxa"/>
            <w:shd w:val="clear" w:color="auto" w:fill="auto"/>
            <w:noWrap/>
            <w:vAlign w:val="center"/>
          </w:tcPr>
          <w:p w14:paraId="01CE0B7C" w14:textId="65E411C9"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3,45</w:t>
            </w:r>
          </w:p>
        </w:tc>
        <w:tc>
          <w:tcPr>
            <w:tcW w:w="1408" w:type="dxa"/>
            <w:vAlign w:val="center"/>
          </w:tcPr>
          <w:p w14:paraId="4B797C97" w14:textId="6B29AFBA"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110,23</w:t>
            </w:r>
          </w:p>
        </w:tc>
      </w:tr>
      <w:tr w:rsidR="00041320" w:rsidRPr="00F6590B" w14:paraId="28A119F8" w14:textId="0EAD7DA2" w:rsidTr="00357433">
        <w:trPr>
          <w:trHeight w:val="300"/>
          <w:jc w:val="center"/>
        </w:trPr>
        <w:tc>
          <w:tcPr>
            <w:tcW w:w="1212" w:type="dxa"/>
            <w:shd w:val="clear" w:color="auto" w:fill="auto"/>
            <w:noWrap/>
            <w:vAlign w:val="center"/>
            <w:hideMark/>
          </w:tcPr>
          <w:p w14:paraId="5855CE61" w14:textId="70867FB7" w:rsidR="00041320" w:rsidRPr="00F6590B" w:rsidRDefault="00041320"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Varaždin</w:t>
            </w:r>
          </w:p>
        </w:tc>
        <w:tc>
          <w:tcPr>
            <w:tcW w:w="1624" w:type="dxa"/>
            <w:shd w:val="clear" w:color="auto" w:fill="auto"/>
            <w:noWrap/>
            <w:vAlign w:val="center"/>
            <w:hideMark/>
          </w:tcPr>
          <w:p w14:paraId="6EDB3D92" w14:textId="7777777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69</w:t>
            </w:r>
          </w:p>
        </w:tc>
        <w:tc>
          <w:tcPr>
            <w:tcW w:w="1021" w:type="dxa"/>
            <w:shd w:val="clear" w:color="auto" w:fill="auto"/>
            <w:noWrap/>
            <w:vAlign w:val="center"/>
          </w:tcPr>
          <w:p w14:paraId="6BD5FE2D" w14:textId="25F71472"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1,75</w:t>
            </w:r>
          </w:p>
        </w:tc>
        <w:tc>
          <w:tcPr>
            <w:tcW w:w="1386" w:type="dxa"/>
            <w:shd w:val="clear" w:color="auto" w:fill="auto"/>
            <w:noWrap/>
            <w:vAlign w:val="center"/>
          </w:tcPr>
          <w:p w14:paraId="067184FA" w14:textId="0D2C029E"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3,23</w:t>
            </w:r>
          </w:p>
        </w:tc>
        <w:tc>
          <w:tcPr>
            <w:tcW w:w="1235" w:type="dxa"/>
            <w:shd w:val="clear" w:color="auto" w:fill="auto"/>
            <w:noWrap/>
            <w:vAlign w:val="center"/>
          </w:tcPr>
          <w:p w14:paraId="4C0721D1" w14:textId="60F0901D"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0,19</w:t>
            </w:r>
          </w:p>
        </w:tc>
        <w:tc>
          <w:tcPr>
            <w:tcW w:w="1336" w:type="dxa"/>
            <w:shd w:val="clear" w:color="auto" w:fill="auto"/>
            <w:noWrap/>
            <w:vAlign w:val="center"/>
          </w:tcPr>
          <w:p w14:paraId="05A2EC9E" w14:textId="259B472D"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12,99</w:t>
            </w:r>
          </w:p>
        </w:tc>
        <w:tc>
          <w:tcPr>
            <w:tcW w:w="1340" w:type="dxa"/>
            <w:shd w:val="clear" w:color="auto" w:fill="auto"/>
            <w:noWrap/>
            <w:vAlign w:val="center"/>
          </w:tcPr>
          <w:p w14:paraId="565C2916" w14:textId="7C51A308"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3,55</w:t>
            </w:r>
          </w:p>
        </w:tc>
        <w:tc>
          <w:tcPr>
            <w:tcW w:w="1408" w:type="dxa"/>
            <w:vAlign w:val="center"/>
          </w:tcPr>
          <w:p w14:paraId="30B95BFC" w14:textId="05C90D8D"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109,85</w:t>
            </w:r>
          </w:p>
        </w:tc>
      </w:tr>
      <w:tr w:rsidR="00041320" w:rsidRPr="00F6590B" w14:paraId="6D319DA7" w14:textId="520AABDC" w:rsidTr="00357433">
        <w:trPr>
          <w:trHeight w:val="300"/>
          <w:jc w:val="center"/>
        </w:trPr>
        <w:tc>
          <w:tcPr>
            <w:tcW w:w="1212" w:type="dxa"/>
            <w:shd w:val="clear" w:color="auto" w:fill="auto"/>
            <w:noWrap/>
            <w:vAlign w:val="center"/>
            <w:hideMark/>
          </w:tcPr>
          <w:p w14:paraId="476E04ED" w14:textId="77777777" w:rsidR="00041320" w:rsidRPr="00F6590B" w:rsidRDefault="00041320"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Zadar</w:t>
            </w:r>
          </w:p>
        </w:tc>
        <w:tc>
          <w:tcPr>
            <w:tcW w:w="1624" w:type="dxa"/>
            <w:shd w:val="clear" w:color="auto" w:fill="auto"/>
            <w:noWrap/>
            <w:vAlign w:val="center"/>
            <w:hideMark/>
          </w:tcPr>
          <w:p w14:paraId="62BFDD06" w14:textId="7777777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25</w:t>
            </w:r>
          </w:p>
        </w:tc>
        <w:tc>
          <w:tcPr>
            <w:tcW w:w="1021" w:type="dxa"/>
            <w:shd w:val="clear" w:color="auto" w:fill="auto"/>
            <w:noWrap/>
            <w:vAlign w:val="center"/>
          </w:tcPr>
          <w:p w14:paraId="758F22B7" w14:textId="12D81EA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1,59</w:t>
            </w:r>
          </w:p>
        </w:tc>
        <w:tc>
          <w:tcPr>
            <w:tcW w:w="1386" w:type="dxa"/>
            <w:shd w:val="clear" w:color="auto" w:fill="auto"/>
            <w:noWrap/>
            <w:vAlign w:val="center"/>
          </w:tcPr>
          <w:p w14:paraId="50DE335F" w14:textId="6C6D1122"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3,77</w:t>
            </w:r>
          </w:p>
        </w:tc>
        <w:tc>
          <w:tcPr>
            <w:tcW w:w="1235" w:type="dxa"/>
            <w:shd w:val="clear" w:color="auto" w:fill="auto"/>
            <w:noWrap/>
            <w:vAlign w:val="center"/>
          </w:tcPr>
          <w:p w14:paraId="7765A61D" w14:textId="04D884A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0,36</w:t>
            </w:r>
          </w:p>
        </w:tc>
        <w:tc>
          <w:tcPr>
            <w:tcW w:w="1336" w:type="dxa"/>
            <w:shd w:val="clear" w:color="auto" w:fill="auto"/>
            <w:noWrap/>
            <w:vAlign w:val="center"/>
          </w:tcPr>
          <w:p w14:paraId="792925F3" w14:textId="35F32650"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12,59</w:t>
            </w:r>
          </w:p>
        </w:tc>
        <w:tc>
          <w:tcPr>
            <w:tcW w:w="1340" w:type="dxa"/>
            <w:shd w:val="clear" w:color="auto" w:fill="auto"/>
            <w:noWrap/>
            <w:vAlign w:val="center"/>
          </w:tcPr>
          <w:p w14:paraId="3AA1D33D" w14:textId="583899DC"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4,33</w:t>
            </w:r>
          </w:p>
        </w:tc>
        <w:tc>
          <w:tcPr>
            <w:tcW w:w="1408" w:type="dxa"/>
            <w:vAlign w:val="center"/>
          </w:tcPr>
          <w:p w14:paraId="7E70048A" w14:textId="7E288244"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114,81</w:t>
            </w:r>
          </w:p>
        </w:tc>
      </w:tr>
      <w:tr w:rsidR="00041320" w:rsidRPr="00F6590B" w14:paraId="04D9CB6B" w14:textId="2A6B185F" w:rsidTr="00357433">
        <w:trPr>
          <w:trHeight w:val="300"/>
          <w:jc w:val="center"/>
        </w:trPr>
        <w:tc>
          <w:tcPr>
            <w:tcW w:w="1212" w:type="dxa"/>
            <w:tcBorders>
              <w:bottom w:val="double" w:sz="4" w:space="0" w:color="auto"/>
            </w:tcBorders>
            <w:shd w:val="clear" w:color="auto" w:fill="auto"/>
            <w:noWrap/>
            <w:vAlign w:val="center"/>
            <w:hideMark/>
          </w:tcPr>
          <w:p w14:paraId="237A0F59" w14:textId="77777777" w:rsidR="00041320" w:rsidRPr="00F6590B" w:rsidRDefault="00041320"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Zagreb</w:t>
            </w:r>
          </w:p>
        </w:tc>
        <w:tc>
          <w:tcPr>
            <w:tcW w:w="1624" w:type="dxa"/>
            <w:tcBorders>
              <w:bottom w:val="double" w:sz="4" w:space="0" w:color="auto"/>
            </w:tcBorders>
            <w:shd w:val="clear" w:color="auto" w:fill="auto"/>
            <w:noWrap/>
            <w:vAlign w:val="center"/>
            <w:hideMark/>
          </w:tcPr>
          <w:p w14:paraId="1CAB9097" w14:textId="77777777"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280</w:t>
            </w:r>
          </w:p>
        </w:tc>
        <w:tc>
          <w:tcPr>
            <w:tcW w:w="1021" w:type="dxa"/>
            <w:tcBorders>
              <w:bottom w:val="double" w:sz="4" w:space="0" w:color="auto"/>
            </w:tcBorders>
            <w:shd w:val="clear" w:color="auto" w:fill="auto"/>
            <w:noWrap/>
            <w:vAlign w:val="center"/>
          </w:tcPr>
          <w:p w14:paraId="7CD6C0BA" w14:textId="081C99DA"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1,12</w:t>
            </w:r>
          </w:p>
        </w:tc>
        <w:tc>
          <w:tcPr>
            <w:tcW w:w="1386" w:type="dxa"/>
            <w:tcBorders>
              <w:bottom w:val="double" w:sz="4" w:space="0" w:color="auto"/>
            </w:tcBorders>
            <w:shd w:val="clear" w:color="auto" w:fill="auto"/>
            <w:noWrap/>
            <w:vAlign w:val="center"/>
          </w:tcPr>
          <w:p w14:paraId="5858193F" w14:textId="2F3725DC"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2,38</w:t>
            </w:r>
          </w:p>
        </w:tc>
        <w:tc>
          <w:tcPr>
            <w:tcW w:w="1235" w:type="dxa"/>
            <w:tcBorders>
              <w:bottom w:val="double" w:sz="4" w:space="0" w:color="auto"/>
            </w:tcBorders>
            <w:shd w:val="clear" w:color="auto" w:fill="auto"/>
            <w:noWrap/>
            <w:vAlign w:val="center"/>
          </w:tcPr>
          <w:p w14:paraId="46CD75FB" w14:textId="6C318933"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0,11</w:t>
            </w:r>
          </w:p>
        </w:tc>
        <w:tc>
          <w:tcPr>
            <w:tcW w:w="1336" w:type="dxa"/>
            <w:tcBorders>
              <w:bottom w:val="double" w:sz="4" w:space="0" w:color="auto"/>
            </w:tcBorders>
            <w:shd w:val="clear" w:color="auto" w:fill="auto"/>
            <w:noWrap/>
            <w:vAlign w:val="center"/>
          </w:tcPr>
          <w:p w14:paraId="1CD07675" w14:textId="3B131ED3"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15,97</w:t>
            </w:r>
          </w:p>
        </w:tc>
        <w:tc>
          <w:tcPr>
            <w:tcW w:w="1340" w:type="dxa"/>
            <w:tcBorders>
              <w:bottom w:val="double" w:sz="4" w:space="0" w:color="auto"/>
            </w:tcBorders>
            <w:shd w:val="clear" w:color="auto" w:fill="auto"/>
            <w:noWrap/>
            <w:vAlign w:val="center"/>
          </w:tcPr>
          <w:p w14:paraId="045D2825" w14:textId="728B189C"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3,24</w:t>
            </w:r>
          </w:p>
        </w:tc>
        <w:tc>
          <w:tcPr>
            <w:tcW w:w="1408" w:type="dxa"/>
            <w:tcBorders>
              <w:bottom w:val="double" w:sz="4" w:space="0" w:color="auto"/>
            </w:tcBorders>
            <w:vAlign w:val="center"/>
          </w:tcPr>
          <w:p w14:paraId="6992C043" w14:textId="64DE0331"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136,18</w:t>
            </w:r>
          </w:p>
        </w:tc>
      </w:tr>
      <w:tr w:rsidR="00041320" w:rsidRPr="00F6590B" w14:paraId="3BF85FA6" w14:textId="77777777" w:rsidTr="00357433">
        <w:trPr>
          <w:trHeight w:val="300"/>
          <w:jc w:val="center"/>
        </w:trPr>
        <w:tc>
          <w:tcPr>
            <w:tcW w:w="1212" w:type="dxa"/>
            <w:tcBorders>
              <w:top w:val="double" w:sz="4" w:space="0" w:color="auto"/>
            </w:tcBorders>
            <w:shd w:val="clear" w:color="auto" w:fill="auto"/>
            <w:noWrap/>
            <w:vAlign w:val="center"/>
          </w:tcPr>
          <w:p w14:paraId="291B22E7" w14:textId="427A4815" w:rsidR="00041320" w:rsidRPr="00F6590B" w:rsidRDefault="00041320"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Svi sudovi</w:t>
            </w:r>
          </w:p>
        </w:tc>
        <w:tc>
          <w:tcPr>
            <w:tcW w:w="1624" w:type="dxa"/>
            <w:tcBorders>
              <w:top w:val="double" w:sz="4" w:space="0" w:color="auto"/>
            </w:tcBorders>
            <w:shd w:val="clear" w:color="auto" w:fill="auto"/>
            <w:noWrap/>
            <w:vAlign w:val="center"/>
          </w:tcPr>
          <w:p w14:paraId="1116B4D6" w14:textId="63311E7A"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780</w:t>
            </w:r>
          </w:p>
        </w:tc>
        <w:tc>
          <w:tcPr>
            <w:tcW w:w="1021" w:type="dxa"/>
            <w:tcBorders>
              <w:top w:val="double" w:sz="4" w:space="0" w:color="auto"/>
            </w:tcBorders>
            <w:shd w:val="clear" w:color="auto" w:fill="auto"/>
            <w:noWrap/>
            <w:vAlign w:val="center"/>
          </w:tcPr>
          <w:p w14:paraId="2F244312" w14:textId="4C4707FA"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1,39</w:t>
            </w:r>
          </w:p>
        </w:tc>
        <w:tc>
          <w:tcPr>
            <w:tcW w:w="1386" w:type="dxa"/>
            <w:tcBorders>
              <w:top w:val="double" w:sz="4" w:space="0" w:color="auto"/>
            </w:tcBorders>
            <w:shd w:val="clear" w:color="auto" w:fill="auto"/>
            <w:noWrap/>
            <w:vAlign w:val="center"/>
          </w:tcPr>
          <w:p w14:paraId="1D2DCE67" w14:textId="71B440F6"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2,93</w:t>
            </w:r>
          </w:p>
        </w:tc>
        <w:tc>
          <w:tcPr>
            <w:tcW w:w="1235" w:type="dxa"/>
            <w:tcBorders>
              <w:top w:val="double" w:sz="4" w:space="0" w:color="auto"/>
            </w:tcBorders>
            <w:shd w:val="clear" w:color="auto" w:fill="auto"/>
            <w:noWrap/>
            <w:vAlign w:val="center"/>
          </w:tcPr>
          <w:p w14:paraId="0153F620" w14:textId="14A33F7F"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0,11</w:t>
            </w:r>
          </w:p>
        </w:tc>
        <w:tc>
          <w:tcPr>
            <w:tcW w:w="1336" w:type="dxa"/>
            <w:tcBorders>
              <w:top w:val="double" w:sz="4" w:space="0" w:color="auto"/>
            </w:tcBorders>
            <w:shd w:val="clear" w:color="auto" w:fill="auto"/>
            <w:noWrap/>
            <w:vAlign w:val="center"/>
          </w:tcPr>
          <w:p w14:paraId="0D15DFA7" w14:textId="55C79C24"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15,97</w:t>
            </w:r>
          </w:p>
        </w:tc>
        <w:tc>
          <w:tcPr>
            <w:tcW w:w="1340" w:type="dxa"/>
            <w:tcBorders>
              <w:top w:val="double" w:sz="4" w:space="0" w:color="auto"/>
            </w:tcBorders>
            <w:shd w:val="clear" w:color="auto" w:fill="auto"/>
            <w:noWrap/>
            <w:vAlign w:val="center"/>
          </w:tcPr>
          <w:p w14:paraId="1B31BBB9" w14:textId="6E08F2BA"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3,54</w:t>
            </w:r>
          </w:p>
        </w:tc>
        <w:tc>
          <w:tcPr>
            <w:tcW w:w="1408" w:type="dxa"/>
            <w:tcBorders>
              <w:top w:val="double" w:sz="4" w:space="0" w:color="auto"/>
            </w:tcBorders>
            <w:vAlign w:val="center"/>
          </w:tcPr>
          <w:p w14:paraId="12A0C027" w14:textId="1404CE56" w:rsidR="00041320" w:rsidRPr="00F6590B" w:rsidRDefault="00041320"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120,80</w:t>
            </w:r>
          </w:p>
        </w:tc>
      </w:tr>
    </w:tbl>
    <w:p w14:paraId="07E36485" w14:textId="133B06CD"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1C47D20B" w14:textId="6ADB5436" w:rsidR="00A415CC" w:rsidRPr="00F6590B" w:rsidRDefault="007D6921" w:rsidP="00483743">
      <w:pPr>
        <w:spacing w:line="480" w:lineRule="auto"/>
        <w:rPr>
          <w:rFonts w:cs="Times New Roman"/>
          <w:szCs w:val="24"/>
          <w:lang w:val="hr-HR"/>
        </w:rPr>
      </w:pPr>
      <w:r w:rsidRPr="00F6590B">
        <w:rPr>
          <w:rFonts w:cs="Times New Roman"/>
          <w:szCs w:val="24"/>
          <w:lang w:val="hr-HR"/>
        </w:rPr>
        <w:lastRenderedPageBreak/>
        <w:t>Poda</w:t>
      </w:r>
      <w:r w:rsidR="00F504C8" w:rsidRPr="00F6590B">
        <w:rPr>
          <w:rFonts w:cs="Times New Roman"/>
          <w:szCs w:val="24"/>
          <w:lang w:val="hr-HR"/>
        </w:rPr>
        <w:t>ci</w:t>
      </w:r>
      <w:r w:rsidRPr="00F6590B">
        <w:rPr>
          <w:rFonts w:cs="Times New Roman"/>
          <w:szCs w:val="24"/>
          <w:lang w:val="hr-HR"/>
        </w:rPr>
        <w:t xml:space="preserve"> iz tablice 2. </w:t>
      </w:r>
      <w:proofErr w:type="spellStart"/>
      <w:r w:rsidRPr="00F6590B">
        <w:rPr>
          <w:rFonts w:cs="Times New Roman"/>
          <w:szCs w:val="24"/>
          <w:lang w:val="hr-HR"/>
        </w:rPr>
        <w:t>intuitivnije</w:t>
      </w:r>
      <w:proofErr w:type="spellEnd"/>
      <w:r w:rsidRPr="00F6590B">
        <w:rPr>
          <w:rFonts w:cs="Times New Roman"/>
          <w:szCs w:val="24"/>
          <w:lang w:val="hr-HR"/>
        </w:rPr>
        <w:t xml:space="preserve"> </w:t>
      </w:r>
      <w:r w:rsidR="001C7CBF" w:rsidRPr="00F6590B">
        <w:rPr>
          <w:rFonts w:cs="Times New Roman"/>
          <w:szCs w:val="24"/>
          <w:lang w:val="hr-HR"/>
        </w:rPr>
        <w:t>s</w:t>
      </w:r>
      <w:r w:rsidRPr="00F6590B">
        <w:rPr>
          <w:rFonts w:cs="Times New Roman"/>
          <w:szCs w:val="24"/>
          <w:lang w:val="hr-HR"/>
        </w:rPr>
        <w:t>e percipira</w:t>
      </w:r>
      <w:r w:rsidR="001C7CBF" w:rsidRPr="00F6590B">
        <w:rPr>
          <w:rFonts w:cs="Times New Roman"/>
          <w:szCs w:val="24"/>
          <w:lang w:val="hr-HR"/>
        </w:rPr>
        <w:t>ju</w:t>
      </w:r>
      <w:r w:rsidRPr="00F6590B">
        <w:rPr>
          <w:rFonts w:cs="Times New Roman"/>
          <w:szCs w:val="24"/>
          <w:lang w:val="hr-HR"/>
        </w:rPr>
        <w:t xml:space="preserve"> </w:t>
      </w:r>
      <w:r w:rsidR="001C7CBF" w:rsidRPr="00F6590B">
        <w:rPr>
          <w:rFonts w:cs="Times New Roman"/>
          <w:szCs w:val="24"/>
          <w:lang w:val="hr-HR"/>
        </w:rPr>
        <w:t xml:space="preserve">u </w:t>
      </w:r>
      <w:r w:rsidRPr="00F6590B">
        <w:rPr>
          <w:rFonts w:cs="Times New Roman"/>
          <w:szCs w:val="24"/>
          <w:lang w:val="hr-HR"/>
        </w:rPr>
        <w:t>grafičk</w:t>
      </w:r>
      <w:r w:rsidR="001C7CBF" w:rsidRPr="00F6590B">
        <w:rPr>
          <w:rFonts w:cs="Times New Roman"/>
          <w:szCs w:val="24"/>
          <w:lang w:val="hr-HR"/>
        </w:rPr>
        <w:t>oj formi</w:t>
      </w:r>
      <w:r w:rsidRPr="00F6590B">
        <w:rPr>
          <w:rFonts w:cs="Times New Roman"/>
          <w:szCs w:val="24"/>
          <w:lang w:val="hr-HR"/>
        </w:rPr>
        <w:t xml:space="preserve">; grafikon 2. pokazuje </w:t>
      </w:r>
      <w:r w:rsidR="001C7CBF" w:rsidRPr="00F6590B">
        <w:rPr>
          <w:rFonts w:cs="Times New Roman"/>
          <w:szCs w:val="24"/>
          <w:lang w:val="hr-HR"/>
        </w:rPr>
        <w:t xml:space="preserve">trajanje </w:t>
      </w:r>
      <w:r w:rsidRPr="00F6590B">
        <w:rPr>
          <w:rFonts w:cs="Times New Roman"/>
          <w:szCs w:val="24"/>
          <w:lang w:val="hr-HR"/>
        </w:rPr>
        <w:t>središnjih 50% stečajnih predmeta (dakle, kada se izuzmu gornjih i donjih 25% podataka), medijan</w:t>
      </w:r>
      <w:r w:rsidR="00234D86" w:rsidRPr="00F6590B">
        <w:rPr>
          <w:rFonts w:cs="Times New Roman"/>
          <w:szCs w:val="24"/>
          <w:lang w:val="hr-HR"/>
        </w:rPr>
        <w:t xml:space="preserve">, </w:t>
      </w:r>
      <w:r w:rsidR="00D06778" w:rsidRPr="00F6590B">
        <w:rPr>
          <w:rFonts w:cs="Times New Roman"/>
          <w:szCs w:val="24"/>
          <w:lang w:val="hr-HR"/>
        </w:rPr>
        <w:t xml:space="preserve">te </w:t>
      </w:r>
      <w:r w:rsidR="001C7CBF" w:rsidRPr="00F6590B">
        <w:rPr>
          <w:rFonts w:cs="Times New Roman"/>
          <w:szCs w:val="24"/>
          <w:lang w:val="hr-HR"/>
        </w:rPr>
        <w:t xml:space="preserve">ukupni </w:t>
      </w:r>
      <w:r w:rsidR="00234D86" w:rsidRPr="00F6590B">
        <w:rPr>
          <w:rFonts w:cs="Times New Roman"/>
          <w:szCs w:val="24"/>
          <w:lang w:val="hr-HR"/>
        </w:rPr>
        <w:t>raspon trajanja.</w:t>
      </w:r>
    </w:p>
    <w:p w14:paraId="20C720E0" w14:textId="77777777" w:rsidR="004E580F" w:rsidRPr="00F6590B" w:rsidRDefault="004E580F" w:rsidP="00483743">
      <w:pPr>
        <w:pStyle w:val="Caption"/>
        <w:spacing w:line="480" w:lineRule="auto"/>
        <w:rPr>
          <w:lang w:val="hr-HR"/>
        </w:rPr>
      </w:pPr>
    </w:p>
    <w:p w14:paraId="3AA8A48B" w14:textId="79D977BE" w:rsidR="00A415CC" w:rsidRPr="00F6590B" w:rsidRDefault="00A415CC" w:rsidP="00483743">
      <w:pPr>
        <w:pStyle w:val="Caption"/>
        <w:spacing w:line="480" w:lineRule="auto"/>
        <w:rPr>
          <w:rFonts w:cs="Times New Roman"/>
          <w:szCs w:val="24"/>
          <w:lang w:val="hr-HR"/>
        </w:rPr>
      </w:pPr>
      <w:r w:rsidRPr="00F6590B">
        <w:rPr>
          <w:lang w:val="hr-HR"/>
        </w:rPr>
        <w:t xml:space="preserve">Grafikon </w:t>
      </w:r>
      <w:r w:rsidRPr="00F6590B">
        <w:rPr>
          <w:lang w:val="hr-HR"/>
        </w:rPr>
        <w:fldChar w:fldCharType="begin"/>
      </w:r>
      <w:r w:rsidRPr="00F6590B">
        <w:rPr>
          <w:lang w:val="hr-HR"/>
        </w:rPr>
        <w:instrText xml:space="preserve"> SEQ Grafikon \* ARABIC </w:instrText>
      </w:r>
      <w:r w:rsidRPr="00F6590B">
        <w:rPr>
          <w:lang w:val="hr-HR"/>
        </w:rPr>
        <w:fldChar w:fldCharType="separate"/>
      </w:r>
      <w:r w:rsidR="00D26260" w:rsidRPr="00F6590B">
        <w:rPr>
          <w:lang w:val="hr-HR"/>
        </w:rPr>
        <w:t>2</w:t>
      </w:r>
      <w:r w:rsidRPr="00F6590B">
        <w:rPr>
          <w:lang w:val="hr-HR"/>
        </w:rPr>
        <w:fldChar w:fldCharType="end"/>
      </w:r>
      <w:r w:rsidRPr="00F6590B">
        <w:rPr>
          <w:lang w:val="hr-HR"/>
        </w:rPr>
        <w:t>. Pokazatelji trajanja nezatvorenih stečajeva po trgovačkim sudovima u travnju 2012.</w:t>
      </w:r>
    </w:p>
    <w:p w14:paraId="3993FFC2" w14:textId="454D6D63" w:rsidR="00357433" w:rsidRPr="00F6590B" w:rsidRDefault="00234D86" w:rsidP="00357433">
      <w:pPr>
        <w:pStyle w:val="Caption"/>
        <w:spacing w:line="480" w:lineRule="auto"/>
        <w:rPr>
          <w:lang w:val="hr-HR"/>
        </w:rPr>
      </w:pPr>
      <w:r w:rsidRPr="00F6590B">
        <w:rPr>
          <w:lang w:val="hr-HR"/>
        </w:rPr>
        <w:object w:dxaOrig="9523" w:dyaOrig="7224" w14:anchorId="77C6C9AD">
          <v:shape id="_x0000_i1026" type="#_x0000_t75" style="width:476.15pt;height:361.35pt" o:ole="">
            <v:imagedata r:id="rId11" o:title=""/>
          </v:shape>
          <o:OLEObject Type="Embed" ProgID="STATISTICA.Graph" ShapeID="_x0000_i1026" DrawAspect="Content" ObjectID="_1456657182" r:id="rId12">
            <o:FieldCodes>\s</o:FieldCodes>
          </o:OLEObject>
        </w:object>
      </w:r>
      <w:r w:rsidR="00357433" w:rsidRPr="00F6590B">
        <w:rPr>
          <w:lang w:val="hr-HR"/>
        </w:rPr>
        <w:t xml:space="preserve"> Izvor: </w:t>
      </w:r>
      <w:r w:rsidR="00D26260" w:rsidRPr="00F6590B">
        <w:rPr>
          <w:lang w:val="hr-HR"/>
        </w:rPr>
        <w:t>prikaz</w:t>
      </w:r>
      <w:r w:rsidR="00357433" w:rsidRPr="00F6590B">
        <w:rPr>
          <w:lang w:val="hr-HR"/>
        </w:rPr>
        <w:t xml:space="preserve"> autora</w:t>
      </w:r>
    </w:p>
    <w:p w14:paraId="76CC313B" w14:textId="2033F19A" w:rsidR="00D01D03" w:rsidRPr="00F6590B" w:rsidRDefault="00D01D03" w:rsidP="00483743">
      <w:pPr>
        <w:spacing w:line="480" w:lineRule="auto"/>
        <w:ind w:firstLine="0"/>
        <w:jc w:val="center"/>
        <w:rPr>
          <w:rFonts w:cs="Times New Roman"/>
          <w:szCs w:val="24"/>
          <w:lang w:val="hr-HR"/>
        </w:rPr>
      </w:pPr>
    </w:p>
    <w:p w14:paraId="5D75F5FD" w14:textId="47EF4CDB" w:rsidR="002218F0" w:rsidRPr="00F6590B" w:rsidRDefault="005B53B4" w:rsidP="00483743">
      <w:pPr>
        <w:spacing w:line="480" w:lineRule="auto"/>
        <w:rPr>
          <w:rFonts w:cs="Times New Roman"/>
          <w:szCs w:val="24"/>
          <w:lang w:val="hr-HR"/>
        </w:rPr>
      </w:pPr>
      <w:r w:rsidRPr="00F6590B">
        <w:rPr>
          <w:rFonts w:cs="Times New Roman"/>
          <w:szCs w:val="24"/>
          <w:lang w:val="hr-HR"/>
        </w:rPr>
        <w:t>Analizom</w:t>
      </w:r>
      <w:r w:rsidR="004B4B2A" w:rsidRPr="00F6590B">
        <w:rPr>
          <w:rFonts w:cs="Times New Roman"/>
          <w:szCs w:val="24"/>
          <w:lang w:val="hr-HR"/>
        </w:rPr>
        <w:t xml:space="preserve"> varijance </w:t>
      </w:r>
      <w:r w:rsidRPr="00F6590B">
        <w:rPr>
          <w:rFonts w:cs="Times New Roman"/>
          <w:szCs w:val="24"/>
          <w:lang w:val="hr-HR"/>
        </w:rPr>
        <w:t>ispituje se</w:t>
      </w:r>
      <w:r w:rsidR="007A5EAA" w:rsidRPr="00F6590B">
        <w:rPr>
          <w:rFonts w:cs="Times New Roman"/>
          <w:szCs w:val="24"/>
          <w:lang w:val="hr-HR"/>
        </w:rPr>
        <w:t xml:space="preserve"> postoje li statistički signifikantne razlike između sudova u prosječ</w:t>
      </w:r>
      <w:r w:rsidR="00D06778" w:rsidRPr="00F6590B">
        <w:rPr>
          <w:rFonts w:cs="Times New Roman"/>
          <w:szCs w:val="24"/>
          <w:lang w:val="hr-HR"/>
        </w:rPr>
        <w:t>nom trajanju stečajnih predmeta.</w:t>
      </w:r>
      <w:r w:rsidR="007A5EAA" w:rsidRPr="00F6590B">
        <w:rPr>
          <w:rFonts w:cs="Times New Roman"/>
          <w:szCs w:val="24"/>
          <w:lang w:val="hr-HR"/>
        </w:rPr>
        <w:t xml:space="preserve"> </w:t>
      </w:r>
      <w:r w:rsidR="00D06778" w:rsidRPr="00F6590B">
        <w:rPr>
          <w:rFonts w:cs="Times New Roman"/>
          <w:szCs w:val="24"/>
          <w:lang w:val="hr-HR"/>
        </w:rPr>
        <w:t>R</w:t>
      </w:r>
      <w:r w:rsidR="007A5EAA" w:rsidRPr="00F6590B">
        <w:rPr>
          <w:rFonts w:cs="Times New Roman"/>
          <w:szCs w:val="24"/>
          <w:lang w:val="hr-HR"/>
        </w:rPr>
        <w:t>ezultati F(6,773)</w:t>
      </w:r>
      <w:r w:rsidR="00F4409A" w:rsidRPr="00F6590B">
        <w:rPr>
          <w:rFonts w:cs="Times New Roman"/>
          <w:szCs w:val="24"/>
          <w:lang w:val="hr-HR"/>
        </w:rPr>
        <w:t xml:space="preserve"> </w:t>
      </w:r>
      <w:r w:rsidR="007A5EAA" w:rsidRPr="00F6590B">
        <w:rPr>
          <w:rFonts w:cs="Times New Roman"/>
          <w:szCs w:val="24"/>
          <w:lang w:val="hr-HR"/>
        </w:rPr>
        <w:t>=</w:t>
      </w:r>
      <w:r w:rsidR="00F4409A" w:rsidRPr="00F6590B">
        <w:rPr>
          <w:rFonts w:cs="Times New Roman"/>
          <w:szCs w:val="24"/>
          <w:lang w:val="hr-HR"/>
        </w:rPr>
        <w:t xml:space="preserve"> </w:t>
      </w:r>
      <w:r w:rsidR="007A5EAA" w:rsidRPr="00F6590B">
        <w:rPr>
          <w:rFonts w:cs="Times New Roman"/>
          <w:szCs w:val="24"/>
          <w:lang w:val="hr-HR"/>
        </w:rPr>
        <w:t xml:space="preserve">3,002 uz visoku signifikantnost (p=0,006) ukazuju kako je potrebno odbaciti hipotezu da stečajni predmeti u prosjeku imaju </w:t>
      </w:r>
      <w:r w:rsidR="007A5EAA" w:rsidRPr="00F6590B">
        <w:rPr>
          <w:rFonts w:cs="Times New Roman"/>
          <w:szCs w:val="24"/>
          <w:lang w:val="hr-HR"/>
        </w:rPr>
        <w:lastRenderedPageBreak/>
        <w:t xml:space="preserve">jednako trajanje </w:t>
      </w:r>
      <w:r w:rsidR="00743D2B" w:rsidRPr="00F6590B">
        <w:rPr>
          <w:rFonts w:cs="Times New Roman"/>
          <w:szCs w:val="24"/>
          <w:lang w:val="hr-HR"/>
        </w:rPr>
        <w:t>od suda do suda</w:t>
      </w:r>
      <w:r w:rsidR="007A5EAA" w:rsidRPr="00F6590B">
        <w:rPr>
          <w:rFonts w:cs="Times New Roman"/>
          <w:szCs w:val="24"/>
          <w:lang w:val="hr-HR"/>
        </w:rPr>
        <w:t>.</w:t>
      </w:r>
      <w:r w:rsidR="00611114" w:rsidRPr="00F6590B">
        <w:rPr>
          <w:rFonts w:cs="Times New Roman"/>
          <w:szCs w:val="24"/>
          <w:lang w:val="hr-HR"/>
        </w:rPr>
        <w:t xml:space="preserve"> Tablica </w:t>
      </w:r>
      <w:r w:rsidR="00D26260" w:rsidRPr="00F6590B">
        <w:rPr>
          <w:rFonts w:cs="Times New Roman"/>
          <w:szCs w:val="24"/>
          <w:lang w:val="hr-HR"/>
        </w:rPr>
        <w:t>3</w:t>
      </w:r>
      <w:r w:rsidR="00611114" w:rsidRPr="00F6590B">
        <w:rPr>
          <w:rFonts w:cs="Times New Roman"/>
          <w:szCs w:val="24"/>
          <w:lang w:val="hr-HR"/>
        </w:rPr>
        <w:t>. pokazuje kako se najveći broj dugotrajnih stečajeva vodi pred sudovima u Rijeci i Zagrebu.</w:t>
      </w:r>
    </w:p>
    <w:p w14:paraId="0AC9EBCE" w14:textId="77777777" w:rsidR="00870E97" w:rsidRPr="00F6590B" w:rsidRDefault="00870E97" w:rsidP="00483743">
      <w:pPr>
        <w:spacing w:line="480" w:lineRule="auto"/>
        <w:rPr>
          <w:rFonts w:cs="Times New Roman"/>
          <w:szCs w:val="24"/>
          <w:lang w:val="hr-HR"/>
        </w:rPr>
      </w:pPr>
    </w:p>
    <w:p w14:paraId="04E85D45" w14:textId="048F05DF" w:rsidR="00870E97" w:rsidRPr="00F6590B" w:rsidRDefault="00870E97" w:rsidP="00483743">
      <w:pPr>
        <w:pStyle w:val="Caption"/>
        <w:spacing w:line="480" w:lineRule="auto"/>
        <w:rPr>
          <w:rFonts w:cs="Times New Roman"/>
          <w:szCs w:val="24"/>
          <w:lang w:val="hr-HR"/>
        </w:rPr>
      </w:pPr>
      <w:r w:rsidRPr="00F6590B">
        <w:rPr>
          <w:lang w:val="hr-HR"/>
        </w:rPr>
        <w:t xml:space="preserve">Tablica </w:t>
      </w:r>
      <w:r w:rsidR="0019028F" w:rsidRPr="00F6590B">
        <w:rPr>
          <w:lang w:val="hr-HR"/>
        </w:rPr>
        <w:fldChar w:fldCharType="begin"/>
      </w:r>
      <w:r w:rsidR="0019028F" w:rsidRPr="00F6590B">
        <w:rPr>
          <w:lang w:val="hr-HR"/>
        </w:rPr>
        <w:instrText xml:space="preserve"> SEQ Tablica \* ARABIC </w:instrText>
      </w:r>
      <w:r w:rsidR="0019028F" w:rsidRPr="00F6590B">
        <w:rPr>
          <w:lang w:val="hr-HR"/>
        </w:rPr>
        <w:fldChar w:fldCharType="separate"/>
      </w:r>
      <w:r w:rsidR="00D26260" w:rsidRPr="00F6590B">
        <w:rPr>
          <w:lang w:val="hr-HR"/>
        </w:rPr>
        <w:t>3</w:t>
      </w:r>
      <w:r w:rsidR="0019028F" w:rsidRPr="00F6590B">
        <w:rPr>
          <w:lang w:val="hr-HR"/>
        </w:rPr>
        <w:fldChar w:fldCharType="end"/>
      </w:r>
      <w:r w:rsidRPr="00F6590B">
        <w:rPr>
          <w:lang w:val="hr-HR"/>
        </w:rPr>
        <w:t>. Brojnost dugotrajnih stečajeva po sudovima, u travnju 2012.</w:t>
      </w:r>
    </w:p>
    <w:tbl>
      <w:tblPr>
        <w:tblW w:w="5597"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67"/>
        <w:gridCol w:w="1965"/>
        <w:gridCol w:w="1965"/>
      </w:tblGrid>
      <w:tr w:rsidR="00611114" w:rsidRPr="00F6590B" w14:paraId="049B84AC" w14:textId="3484EEBE" w:rsidTr="00611114">
        <w:trPr>
          <w:trHeight w:val="345"/>
          <w:jc w:val="center"/>
        </w:trPr>
        <w:tc>
          <w:tcPr>
            <w:tcW w:w="1667" w:type="dxa"/>
            <w:tcBorders>
              <w:bottom w:val="double" w:sz="4" w:space="0" w:color="auto"/>
              <w:right w:val="double" w:sz="4" w:space="0" w:color="auto"/>
            </w:tcBorders>
            <w:shd w:val="clear" w:color="auto" w:fill="auto"/>
            <w:noWrap/>
            <w:vAlign w:val="center"/>
          </w:tcPr>
          <w:p w14:paraId="1EEED2BE" w14:textId="6FA56629"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Trgovački sud</w:t>
            </w:r>
          </w:p>
        </w:tc>
        <w:tc>
          <w:tcPr>
            <w:tcW w:w="1965" w:type="dxa"/>
            <w:tcBorders>
              <w:left w:val="double" w:sz="4" w:space="0" w:color="auto"/>
              <w:bottom w:val="double" w:sz="4" w:space="0" w:color="auto"/>
              <w:right w:val="single" w:sz="8" w:space="0" w:color="auto"/>
            </w:tcBorders>
            <w:shd w:val="clear" w:color="auto" w:fill="auto"/>
            <w:noWrap/>
            <w:vAlign w:val="center"/>
          </w:tcPr>
          <w:p w14:paraId="4B179106" w14:textId="7A238EBA"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Broj stečajeva koji traju dulje od 8 godina</w:t>
            </w:r>
          </w:p>
        </w:tc>
        <w:tc>
          <w:tcPr>
            <w:tcW w:w="1965" w:type="dxa"/>
            <w:tcBorders>
              <w:left w:val="single" w:sz="8" w:space="0" w:color="auto"/>
              <w:bottom w:val="double" w:sz="4" w:space="0" w:color="auto"/>
            </w:tcBorders>
            <w:vAlign w:val="center"/>
          </w:tcPr>
          <w:p w14:paraId="6AC7C051" w14:textId="346DF93C"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Broj stečajeva koji traju dulje od 10 godina</w:t>
            </w:r>
          </w:p>
        </w:tc>
      </w:tr>
      <w:tr w:rsidR="00611114" w:rsidRPr="00F6590B" w14:paraId="1562F9DF" w14:textId="3E8443DC" w:rsidTr="00611114">
        <w:trPr>
          <w:trHeight w:val="345"/>
          <w:jc w:val="center"/>
        </w:trPr>
        <w:tc>
          <w:tcPr>
            <w:tcW w:w="1667" w:type="dxa"/>
            <w:tcBorders>
              <w:top w:val="double" w:sz="4" w:space="0" w:color="auto"/>
              <w:right w:val="double" w:sz="4" w:space="0" w:color="auto"/>
            </w:tcBorders>
            <w:shd w:val="clear" w:color="auto" w:fill="auto"/>
            <w:noWrap/>
            <w:vAlign w:val="center"/>
            <w:hideMark/>
          </w:tcPr>
          <w:p w14:paraId="36D1DE73" w14:textId="77777777" w:rsidR="00611114" w:rsidRPr="00F6590B" w:rsidRDefault="00611114"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Bjelovar</w:t>
            </w:r>
          </w:p>
        </w:tc>
        <w:tc>
          <w:tcPr>
            <w:tcW w:w="1965" w:type="dxa"/>
            <w:tcBorders>
              <w:top w:val="double" w:sz="4" w:space="0" w:color="auto"/>
              <w:left w:val="double" w:sz="4" w:space="0" w:color="auto"/>
              <w:right w:val="single" w:sz="8" w:space="0" w:color="auto"/>
            </w:tcBorders>
            <w:shd w:val="clear" w:color="auto" w:fill="auto"/>
            <w:noWrap/>
            <w:vAlign w:val="center"/>
            <w:hideMark/>
          </w:tcPr>
          <w:p w14:paraId="2C4FA19E" w14:textId="77777777"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w:t>
            </w:r>
          </w:p>
        </w:tc>
        <w:tc>
          <w:tcPr>
            <w:tcW w:w="1965" w:type="dxa"/>
            <w:tcBorders>
              <w:top w:val="double" w:sz="4" w:space="0" w:color="auto"/>
              <w:left w:val="single" w:sz="8" w:space="0" w:color="auto"/>
            </w:tcBorders>
            <w:vAlign w:val="bottom"/>
          </w:tcPr>
          <w:p w14:paraId="732C18CC" w14:textId="178AE5BE"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0</w:t>
            </w:r>
          </w:p>
        </w:tc>
      </w:tr>
      <w:tr w:rsidR="00611114" w:rsidRPr="00F6590B" w14:paraId="54024527" w14:textId="557F6A58" w:rsidTr="00611114">
        <w:trPr>
          <w:trHeight w:val="330"/>
          <w:jc w:val="center"/>
        </w:trPr>
        <w:tc>
          <w:tcPr>
            <w:tcW w:w="1667" w:type="dxa"/>
            <w:tcBorders>
              <w:right w:val="double" w:sz="4" w:space="0" w:color="auto"/>
            </w:tcBorders>
            <w:shd w:val="clear" w:color="auto" w:fill="auto"/>
            <w:noWrap/>
            <w:vAlign w:val="center"/>
            <w:hideMark/>
          </w:tcPr>
          <w:p w14:paraId="11189F54" w14:textId="77777777" w:rsidR="00611114" w:rsidRPr="00F6590B" w:rsidRDefault="00611114"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Osijek</w:t>
            </w:r>
          </w:p>
        </w:tc>
        <w:tc>
          <w:tcPr>
            <w:tcW w:w="1965" w:type="dxa"/>
            <w:tcBorders>
              <w:left w:val="double" w:sz="4" w:space="0" w:color="auto"/>
              <w:right w:val="single" w:sz="8" w:space="0" w:color="auto"/>
            </w:tcBorders>
            <w:shd w:val="clear" w:color="auto" w:fill="auto"/>
            <w:noWrap/>
            <w:vAlign w:val="center"/>
            <w:hideMark/>
          </w:tcPr>
          <w:p w14:paraId="78A51FA5" w14:textId="77777777"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17</w:t>
            </w:r>
          </w:p>
        </w:tc>
        <w:tc>
          <w:tcPr>
            <w:tcW w:w="1965" w:type="dxa"/>
            <w:tcBorders>
              <w:left w:val="single" w:sz="8" w:space="0" w:color="auto"/>
            </w:tcBorders>
            <w:vAlign w:val="bottom"/>
          </w:tcPr>
          <w:p w14:paraId="141F842B" w14:textId="7AB2A707"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12</w:t>
            </w:r>
          </w:p>
        </w:tc>
      </w:tr>
      <w:tr w:rsidR="00611114" w:rsidRPr="00F6590B" w14:paraId="77977AD2" w14:textId="5733F48D" w:rsidTr="00611114">
        <w:trPr>
          <w:trHeight w:val="330"/>
          <w:jc w:val="center"/>
        </w:trPr>
        <w:tc>
          <w:tcPr>
            <w:tcW w:w="1667" w:type="dxa"/>
            <w:tcBorders>
              <w:right w:val="double" w:sz="4" w:space="0" w:color="auto"/>
            </w:tcBorders>
            <w:shd w:val="clear" w:color="auto" w:fill="auto"/>
            <w:noWrap/>
            <w:vAlign w:val="center"/>
            <w:hideMark/>
          </w:tcPr>
          <w:p w14:paraId="7623CEFE" w14:textId="77777777" w:rsidR="00611114" w:rsidRPr="00F6590B" w:rsidRDefault="00611114"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Rijeka</w:t>
            </w:r>
          </w:p>
        </w:tc>
        <w:tc>
          <w:tcPr>
            <w:tcW w:w="1965" w:type="dxa"/>
            <w:tcBorders>
              <w:left w:val="double" w:sz="4" w:space="0" w:color="auto"/>
              <w:right w:val="single" w:sz="8" w:space="0" w:color="auto"/>
            </w:tcBorders>
            <w:shd w:val="clear" w:color="auto" w:fill="auto"/>
            <w:noWrap/>
            <w:vAlign w:val="center"/>
            <w:hideMark/>
          </w:tcPr>
          <w:p w14:paraId="56C8E0B5" w14:textId="77777777"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33</w:t>
            </w:r>
          </w:p>
        </w:tc>
        <w:tc>
          <w:tcPr>
            <w:tcW w:w="1965" w:type="dxa"/>
            <w:tcBorders>
              <w:left w:val="single" w:sz="8" w:space="0" w:color="auto"/>
            </w:tcBorders>
            <w:vAlign w:val="bottom"/>
          </w:tcPr>
          <w:p w14:paraId="7F39B9F5" w14:textId="5779C4B4"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17</w:t>
            </w:r>
          </w:p>
        </w:tc>
      </w:tr>
      <w:tr w:rsidR="00611114" w:rsidRPr="00F6590B" w14:paraId="56846E60" w14:textId="662FBF42" w:rsidTr="00611114">
        <w:trPr>
          <w:trHeight w:val="330"/>
          <w:jc w:val="center"/>
        </w:trPr>
        <w:tc>
          <w:tcPr>
            <w:tcW w:w="1667" w:type="dxa"/>
            <w:tcBorders>
              <w:right w:val="double" w:sz="4" w:space="0" w:color="auto"/>
            </w:tcBorders>
            <w:shd w:val="clear" w:color="auto" w:fill="auto"/>
            <w:noWrap/>
            <w:vAlign w:val="center"/>
            <w:hideMark/>
          </w:tcPr>
          <w:p w14:paraId="094FC04E" w14:textId="77777777" w:rsidR="00611114" w:rsidRPr="00F6590B" w:rsidRDefault="00611114"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Split</w:t>
            </w:r>
          </w:p>
        </w:tc>
        <w:tc>
          <w:tcPr>
            <w:tcW w:w="1965" w:type="dxa"/>
            <w:tcBorders>
              <w:left w:val="double" w:sz="4" w:space="0" w:color="auto"/>
              <w:right w:val="single" w:sz="8" w:space="0" w:color="auto"/>
            </w:tcBorders>
            <w:shd w:val="clear" w:color="auto" w:fill="auto"/>
            <w:noWrap/>
            <w:vAlign w:val="center"/>
            <w:hideMark/>
          </w:tcPr>
          <w:p w14:paraId="5391271C" w14:textId="77777777"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18</w:t>
            </w:r>
          </w:p>
        </w:tc>
        <w:tc>
          <w:tcPr>
            <w:tcW w:w="1965" w:type="dxa"/>
            <w:tcBorders>
              <w:left w:val="single" w:sz="8" w:space="0" w:color="auto"/>
            </w:tcBorders>
            <w:vAlign w:val="bottom"/>
          </w:tcPr>
          <w:p w14:paraId="50C92F93" w14:textId="3583EDB2"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7</w:t>
            </w:r>
          </w:p>
        </w:tc>
      </w:tr>
      <w:tr w:rsidR="00611114" w:rsidRPr="00F6590B" w14:paraId="032A8ACB" w14:textId="2E181A6F" w:rsidTr="00611114">
        <w:trPr>
          <w:trHeight w:val="330"/>
          <w:jc w:val="center"/>
        </w:trPr>
        <w:tc>
          <w:tcPr>
            <w:tcW w:w="1667" w:type="dxa"/>
            <w:tcBorders>
              <w:right w:val="double" w:sz="4" w:space="0" w:color="auto"/>
            </w:tcBorders>
            <w:shd w:val="clear" w:color="auto" w:fill="auto"/>
            <w:noWrap/>
            <w:vAlign w:val="center"/>
            <w:hideMark/>
          </w:tcPr>
          <w:p w14:paraId="318B3797" w14:textId="77777777" w:rsidR="00611114" w:rsidRPr="00F6590B" w:rsidRDefault="00611114"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Varaždin</w:t>
            </w:r>
          </w:p>
        </w:tc>
        <w:tc>
          <w:tcPr>
            <w:tcW w:w="1965" w:type="dxa"/>
            <w:tcBorders>
              <w:left w:val="double" w:sz="4" w:space="0" w:color="auto"/>
              <w:right w:val="single" w:sz="8" w:space="0" w:color="auto"/>
            </w:tcBorders>
            <w:shd w:val="clear" w:color="auto" w:fill="auto"/>
            <w:noWrap/>
            <w:vAlign w:val="center"/>
            <w:hideMark/>
          </w:tcPr>
          <w:p w14:paraId="44E056C0" w14:textId="77777777"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9</w:t>
            </w:r>
          </w:p>
        </w:tc>
        <w:tc>
          <w:tcPr>
            <w:tcW w:w="1965" w:type="dxa"/>
            <w:tcBorders>
              <w:left w:val="single" w:sz="8" w:space="0" w:color="auto"/>
            </w:tcBorders>
            <w:vAlign w:val="bottom"/>
          </w:tcPr>
          <w:p w14:paraId="6DBADFA0" w14:textId="146C63D9"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6</w:t>
            </w:r>
          </w:p>
        </w:tc>
      </w:tr>
      <w:tr w:rsidR="00611114" w:rsidRPr="00F6590B" w14:paraId="35D19F23" w14:textId="71684F0F" w:rsidTr="00611114">
        <w:trPr>
          <w:trHeight w:val="330"/>
          <w:jc w:val="center"/>
        </w:trPr>
        <w:tc>
          <w:tcPr>
            <w:tcW w:w="1667" w:type="dxa"/>
            <w:tcBorders>
              <w:right w:val="double" w:sz="4" w:space="0" w:color="auto"/>
            </w:tcBorders>
            <w:shd w:val="clear" w:color="auto" w:fill="auto"/>
            <w:noWrap/>
            <w:vAlign w:val="center"/>
            <w:hideMark/>
          </w:tcPr>
          <w:p w14:paraId="121B3456" w14:textId="77777777" w:rsidR="00611114" w:rsidRPr="00F6590B" w:rsidRDefault="00611114"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Zadar</w:t>
            </w:r>
          </w:p>
        </w:tc>
        <w:tc>
          <w:tcPr>
            <w:tcW w:w="1965" w:type="dxa"/>
            <w:tcBorders>
              <w:left w:val="double" w:sz="4" w:space="0" w:color="auto"/>
              <w:right w:val="single" w:sz="8" w:space="0" w:color="auto"/>
            </w:tcBorders>
            <w:shd w:val="clear" w:color="auto" w:fill="auto"/>
            <w:noWrap/>
            <w:vAlign w:val="center"/>
            <w:hideMark/>
          </w:tcPr>
          <w:p w14:paraId="38B38FA0" w14:textId="77777777"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5</w:t>
            </w:r>
          </w:p>
        </w:tc>
        <w:tc>
          <w:tcPr>
            <w:tcW w:w="1965" w:type="dxa"/>
            <w:tcBorders>
              <w:left w:val="single" w:sz="8" w:space="0" w:color="auto"/>
            </w:tcBorders>
            <w:vAlign w:val="bottom"/>
          </w:tcPr>
          <w:p w14:paraId="49ADEB15" w14:textId="1D87EA0B"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4</w:t>
            </w:r>
          </w:p>
        </w:tc>
      </w:tr>
      <w:tr w:rsidR="00611114" w:rsidRPr="00F6590B" w14:paraId="60E72B95" w14:textId="676455C7" w:rsidTr="00611114">
        <w:trPr>
          <w:trHeight w:val="330"/>
          <w:jc w:val="center"/>
        </w:trPr>
        <w:tc>
          <w:tcPr>
            <w:tcW w:w="1667" w:type="dxa"/>
            <w:tcBorders>
              <w:right w:val="double" w:sz="4" w:space="0" w:color="auto"/>
            </w:tcBorders>
            <w:shd w:val="clear" w:color="auto" w:fill="auto"/>
            <w:noWrap/>
            <w:vAlign w:val="center"/>
            <w:hideMark/>
          </w:tcPr>
          <w:p w14:paraId="45D2C633" w14:textId="77777777" w:rsidR="00611114" w:rsidRPr="00F6590B" w:rsidRDefault="00611114" w:rsidP="00483743">
            <w:pPr>
              <w:spacing w:line="240" w:lineRule="auto"/>
              <w:ind w:firstLine="0"/>
              <w:jc w:val="left"/>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Zagreb</w:t>
            </w:r>
          </w:p>
        </w:tc>
        <w:tc>
          <w:tcPr>
            <w:tcW w:w="1965" w:type="dxa"/>
            <w:tcBorders>
              <w:left w:val="double" w:sz="4" w:space="0" w:color="auto"/>
              <w:right w:val="single" w:sz="8" w:space="0" w:color="auto"/>
            </w:tcBorders>
            <w:shd w:val="clear" w:color="auto" w:fill="auto"/>
            <w:noWrap/>
            <w:vAlign w:val="center"/>
            <w:hideMark/>
          </w:tcPr>
          <w:p w14:paraId="420A6D1E" w14:textId="77777777"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26</w:t>
            </w:r>
          </w:p>
        </w:tc>
        <w:tc>
          <w:tcPr>
            <w:tcW w:w="1965" w:type="dxa"/>
            <w:tcBorders>
              <w:left w:val="single" w:sz="8" w:space="0" w:color="auto"/>
            </w:tcBorders>
            <w:vAlign w:val="bottom"/>
          </w:tcPr>
          <w:p w14:paraId="0F3BA02B" w14:textId="316DDB51" w:rsidR="00611114" w:rsidRPr="00F6590B" w:rsidRDefault="00611114"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20</w:t>
            </w:r>
          </w:p>
        </w:tc>
      </w:tr>
    </w:tbl>
    <w:p w14:paraId="5F0E4BAE" w14:textId="76977715"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7F67FE6C" w14:textId="77777777" w:rsidR="00870E97" w:rsidRPr="00F6590B" w:rsidRDefault="00870E97" w:rsidP="00483743">
      <w:pPr>
        <w:spacing w:line="480" w:lineRule="auto"/>
        <w:rPr>
          <w:rFonts w:asciiTheme="minorHAnsi" w:eastAsia="Times New Roman" w:hAnsiTheme="minorHAnsi" w:cs="Arial"/>
          <w:color w:val="000000"/>
          <w:szCs w:val="24"/>
          <w:lang w:val="hr-HR" w:eastAsia="hr-HR"/>
        </w:rPr>
      </w:pPr>
    </w:p>
    <w:p w14:paraId="608E0D99" w14:textId="2B1D4F78" w:rsidR="00EC2CD0" w:rsidRPr="00F6590B" w:rsidRDefault="00EC2CD0" w:rsidP="00483743">
      <w:pPr>
        <w:spacing w:line="480" w:lineRule="auto"/>
        <w:rPr>
          <w:rFonts w:cs="Times New Roman"/>
          <w:szCs w:val="24"/>
          <w:lang w:val="hr-HR"/>
        </w:rPr>
      </w:pPr>
      <w:r w:rsidRPr="00F6590B">
        <w:rPr>
          <w:rFonts w:cs="Times New Roman"/>
          <w:szCs w:val="24"/>
          <w:lang w:val="hr-HR"/>
        </w:rPr>
        <w:t xml:space="preserve">Slika 1. </w:t>
      </w:r>
      <w:r w:rsidR="002717CC" w:rsidRPr="00F6590B">
        <w:rPr>
          <w:rFonts w:cs="Times New Roman"/>
          <w:szCs w:val="24"/>
          <w:lang w:val="hr-HR"/>
        </w:rPr>
        <w:t xml:space="preserve">i tablice </w:t>
      </w:r>
      <w:r w:rsidR="00D26260" w:rsidRPr="00F6590B">
        <w:rPr>
          <w:rFonts w:cs="Times New Roman"/>
          <w:szCs w:val="24"/>
          <w:lang w:val="hr-HR"/>
        </w:rPr>
        <w:t>4</w:t>
      </w:r>
      <w:r w:rsidR="002717CC" w:rsidRPr="00F6590B">
        <w:rPr>
          <w:rFonts w:cs="Times New Roman"/>
          <w:szCs w:val="24"/>
          <w:lang w:val="hr-HR"/>
        </w:rPr>
        <w:t xml:space="preserve">. do </w:t>
      </w:r>
      <w:r w:rsidR="008F7F94" w:rsidRPr="00F6590B">
        <w:rPr>
          <w:rFonts w:cs="Times New Roman"/>
          <w:szCs w:val="24"/>
          <w:lang w:val="hr-HR"/>
        </w:rPr>
        <w:t>1</w:t>
      </w:r>
      <w:r w:rsidR="00D26260" w:rsidRPr="00F6590B">
        <w:rPr>
          <w:rFonts w:cs="Times New Roman"/>
          <w:szCs w:val="24"/>
          <w:lang w:val="hr-HR"/>
        </w:rPr>
        <w:t>0</w:t>
      </w:r>
      <w:r w:rsidR="002717CC" w:rsidRPr="00F6590B">
        <w:rPr>
          <w:rFonts w:cs="Times New Roman"/>
          <w:szCs w:val="24"/>
          <w:lang w:val="hr-HR"/>
        </w:rPr>
        <w:t xml:space="preserve">. produkt su analize </w:t>
      </w:r>
      <w:r w:rsidRPr="00F6590B">
        <w:rPr>
          <w:rFonts w:cs="Times New Roman"/>
          <w:szCs w:val="24"/>
          <w:lang w:val="hr-HR"/>
        </w:rPr>
        <w:t>podat</w:t>
      </w:r>
      <w:r w:rsidR="002717CC" w:rsidRPr="00F6590B">
        <w:rPr>
          <w:rFonts w:cs="Times New Roman"/>
          <w:szCs w:val="24"/>
          <w:lang w:val="hr-HR"/>
        </w:rPr>
        <w:t>a</w:t>
      </w:r>
      <w:r w:rsidRPr="00F6590B">
        <w:rPr>
          <w:rFonts w:cs="Times New Roman"/>
          <w:szCs w:val="24"/>
          <w:lang w:val="hr-HR"/>
        </w:rPr>
        <w:t>k</w:t>
      </w:r>
      <w:r w:rsidR="002717CC" w:rsidRPr="00F6590B">
        <w:rPr>
          <w:rFonts w:cs="Times New Roman"/>
          <w:szCs w:val="24"/>
          <w:lang w:val="hr-HR"/>
        </w:rPr>
        <w:t>a dobivenih</w:t>
      </w:r>
      <w:r w:rsidRPr="00F6590B">
        <w:rPr>
          <w:rFonts w:cs="Times New Roman"/>
          <w:szCs w:val="24"/>
          <w:lang w:val="hr-HR"/>
        </w:rPr>
        <w:t xml:space="preserve"> od Visokog trgovačkog suda RH</w:t>
      </w:r>
      <w:r w:rsidR="002717CC" w:rsidRPr="00F6590B">
        <w:rPr>
          <w:rFonts w:cs="Times New Roman"/>
          <w:szCs w:val="24"/>
          <w:lang w:val="hr-HR"/>
        </w:rPr>
        <w:t xml:space="preserve"> (BP2). Na slici 1.</w:t>
      </w:r>
      <w:r w:rsidRPr="00F6590B">
        <w:rPr>
          <w:rFonts w:cs="Times New Roman"/>
          <w:szCs w:val="24"/>
          <w:lang w:val="hr-HR"/>
        </w:rPr>
        <w:t xml:space="preserve"> se na svakoj od apscisa nalazi godina, a na ordinatama broj riješenih, neriješenih, te priljev stečajnih predmeta. Pri tome valja uočiti kako je red veličina na ordinatama različit od suda do suda.</w:t>
      </w:r>
      <w:r w:rsidR="00242B61" w:rsidRPr="00F6590B">
        <w:rPr>
          <w:rFonts w:cs="Times New Roman"/>
          <w:szCs w:val="24"/>
          <w:lang w:val="hr-HR"/>
        </w:rPr>
        <w:t xml:space="preserve"> Globalna financijska kriza i višegodišnja lokalna recesija održavaju se u znača</w:t>
      </w:r>
      <w:r w:rsidR="00D06778" w:rsidRPr="00F6590B">
        <w:rPr>
          <w:rFonts w:cs="Times New Roman"/>
          <w:szCs w:val="24"/>
          <w:lang w:val="hr-HR"/>
        </w:rPr>
        <w:t xml:space="preserve">jnom skoku broja predmeta 2010., odnosno </w:t>
      </w:r>
      <w:r w:rsidR="00242B61" w:rsidRPr="00F6590B">
        <w:rPr>
          <w:rFonts w:cs="Times New Roman"/>
          <w:szCs w:val="24"/>
          <w:lang w:val="hr-HR"/>
        </w:rPr>
        <w:t>2011. godine.</w:t>
      </w:r>
    </w:p>
    <w:p w14:paraId="6CC5B084" w14:textId="77777777" w:rsidR="00EC2CD0" w:rsidRPr="00F6590B" w:rsidRDefault="00EC2CD0" w:rsidP="00483743">
      <w:pPr>
        <w:spacing w:line="480" w:lineRule="auto"/>
        <w:rPr>
          <w:rFonts w:cs="Times New Roman"/>
          <w:szCs w:val="24"/>
          <w:lang w:val="hr-HR"/>
        </w:rPr>
      </w:pPr>
    </w:p>
    <w:p w14:paraId="7642F061" w14:textId="77777777" w:rsidR="00483743" w:rsidRPr="00F6590B" w:rsidRDefault="00483743" w:rsidP="00483743">
      <w:pPr>
        <w:spacing w:line="480" w:lineRule="auto"/>
        <w:rPr>
          <w:rFonts w:cs="Times New Roman"/>
          <w:szCs w:val="24"/>
          <w:lang w:val="hr-HR"/>
        </w:rPr>
      </w:pPr>
    </w:p>
    <w:p w14:paraId="010CBB3E" w14:textId="77777777" w:rsidR="00483743" w:rsidRPr="00F6590B" w:rsidRDefault="00483743" w:rsidP="00483743">
      <w:pPr>
        <w:spacing w:line="480" w:lineRule="auto"/>
        <w:rPr>
          <w:rFonts w:cs="Times New Roman"/>
          <w:szCs w:val="24"/>
          <w:lang w:val="hr-HR"/>
        </w:rPr>
      </w:pPr>
    </w:p>
    <w:p w14:paraId="6077F2B1" w14:textId="77777777" w:rsidR="00483743" w:rsidRPr="00F6590B" w:rsidRDefault="00483743" w:rsidP="00483743">
      <w:pPr>
        <w:spacing w:line="480" w:lineRule="auto"/>
        <w:rPr>
          <w:rFonts w:cs="Times New Roman"/>
          <w:szCs w:val="24"/>
          <w:lang w:val="hr-HR"/>
        </w:rPr>
      </w:pPr>
    </w:p>
    <w:p w14:paraId="74A660D7" w14:textId="77777777" w:rsidR="00483743" w:rsidRPr="00F6590B" w:rsidRDefault="00483743" w:rsidP="00483743">
      <w:pPr>
        <w:spacing w:line="480" w:lineRule="auto"/>
        <w:rPr>
          <w:rFonts w:cs="Times New Roman"/>
          <w:szCs w:val="24"/>
          <w:lang w:val="hr-HR"/>
        </w:rPr>
      </w:pPr>
    </w:p>
    <w:p w14:paraId="2DDE1D08" w14:textId="49E4C0D7" w:rsidR="00483743" w:rsidRPr="00F6590B" w:rsidRDefault="00483743" w:rsidP="00483743">
      <w:pPr>
        <w:spacing w:line="480" w:lineRule="auto"/>
        <w:rPr>
          <w:rFonts w:cs="Times New Roman"/>
          <w:szCs w:val="24"/>
          <w:lang w:val="hr-HR"/>
        </w:rPr>
      </w:pPr>
    </w:p>
    <w:p w14:paraId="028EC9B0" w14:textId="2B6156E5" w:rsidR="00370A76" w:rsidRPr="00F6590B" w:rsidRDefault="007805A6" w:rsidP="00483743">
      <w:pPr>
        <w:pStyle w:val="Caption"/>
        <w:spacing w:line="480" w:lineRule="auto"/>
        <w:rPr>
          <w:lang w:val="hr-HR"/>
        </w:rPr>
      </w:pPr>
      <w:r w:rsidRPr="00F6590B">
        <w:rPr>
          <w:noProof/>
          <w:lang w:val="hr-HR" w:eastAsia="hr-HR"/>
        </w:rPr>
        <w:lastRenderedPageBreak/>
        <w:drawing>
          <wp:anchor distT="0" distB="0" distL="114300" distR="114300" simplePos="0" relativeHeight="251659264" behindDoc="0" locked="0" layoutInCell="1" allowOverlap="1" wp14:anchorId="1634B9F0" wp14:editId="667BFA26">
            <wp:simplePos x="0" y="0"/>
            <wp:positionH relativeFrom="column">
              <wp:posOffset>-693420</wp:posOffset>
            </wp:positionH>
            <wp:positionV relativeFrom="page">
              <wp:posOffset>1666875</wp:posOffset>
            </wp:positionV>
            <wp:extent cx="7350760" cy="4485005"/>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0760" cy="448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80F" w:rsidRPr="00F6590B">
        <w:rPr>
          <w:lang w:val="hr-HR"/>
        </w:rPr>
        <w:t>Slika 1. Statistika stečajeva prema sudovima</w:t>
      </w:r>
    </w:p>
    <w:p w14:paraId="5996F553" w14:textId="6801E2A9" w:rsidR="00F23820" w:rsidRPr="00F6590B" w:rsidRDefault="00F23820" w:rsidP="00F23820">
      <w:pPr>
        <w:pStyle w:val="Caption"/>
        <w:spacing w:line="480" w:lineRule="auto"/>
        <w:rPr>
          <w:lang w:val="hr-HR"/>
        </w:rPr>
      </w:pPr>
      <w:r w:rsidRPr="00F6590B">
        <w:rPr>
          <w:lang w:val="hr-HR"/>
        </w:rPr>
        <w:t xml:space="preserve">Apscise: godina (2004-2012); ordinate: broj stečajnih predmeta </w:t>
      </w:r>
    </w:p>
    <w:p w14:paraId="6E58A3F6" w14:textId="05038AC6" w:rsidR="00F23820" w:rsidRPr="00F6590B" w:rsidRDefault="00F23820" w:rsidP="00F23820">
      <w:pPr>
        <w:rPr>
          <w:lang w:val="hr-HR"/>
        </w:rPr>
      </w:pPr>
    </w:p>
    <w:p w14:paraId="7986886E" w14:textId="584E9032" w:rsidR="00357433" w:rsidRPr="00F6590B" w:rsidRDefault="00D26260" w:rsidP="00357433">
      <w:pPr>
        <w:pStyle w:val="Caption"/>
        <w:spacing w:line="480" w:lineRule="auto"/>
        <w:rPr>
          <w:lang w:val="hr-HR"/>
        </w:rPr>
      </w:pPr>
      <w:r w:rsidRPr="00F6590B">
        <w:rPr>
          <w:lang w:val="hr-HR"/>
        </w:rPr>
        <w:t>Izvor: prikaz</w:t>
      </w:r>
      <w:r w:rsidR="00357433" w:rsidRPr="00F6590B">
        <w:rPr>
          <w:lang w:val="hr-HR"/>
        </w:rPr>
        <w:t xml:space="preserve"> autora</w:t>
      </w:r>
    </w:p>
    <w:p w14:paraId="02335F0D" w14:textId="41C705C9" w:rsidR="00EC2CD0" w:rsidRPr="00F6590B" w:rsidRDefault="00EC2CD0" w:rsidP="00483743">
      <w:pPr>
        <w:spacing w:line="480" w:lineRule="auto"/>
        <w:rPr>
          <w:szCs w:val="24"/>
          <w:lang w:val="hr-HR"/>
        </w:rPr>
      </w:pPr>
    </w:p>
    <w:p w14:paraId="08E85D6C" w14:textId="169A9A74" w:rsidR="00C123E6" w:rsidRPr="00F6590B" w:rsidRDefault="00D06778" w:rsidP="00483743">
      <w:pPr>
        <w:spacing w:line="480" w:lineRule="auto"/>
        <w:rPr>
          <w:szCs w:val="24"/>
          <w:lang w:val="hr-HR"/>
        </w:rPr>
      </w:pPr>
      <w:r w:rsidRPr="00F6590B">
        <w:rPr>
          <w:szCs w:val="24"/>
          <w:lang w:val="hr-HR"/>
        </w:rPr>
        <w:t>M</w:t>
      </w:r>
      <w:r w:rsidR="008F7F94" w:rsidRPr="00F6590B">
        <w:rPr>
          <w:szCs w:val="24"/>
          <w:lang w:val="hr-HR"/>
        </w:rPr>
        <w:t xml:space="preserve">odel koji pretpostavlja da svi sudovi imaju jednu te istu konstantu u rješavanju stečajnih predmeta, odnosno kako su svi sudovi podjednako efikasni, prezentiran je u tablici </w:t>
      </w:r>
      <w:r w:rsidR="00D26260" w:rsidRPr="00F6590B">
        <w:rPr>
          <w:szCs w:val="24"/>
          <w:lang w:val="hr-HR"/>
        </w:rPr>
        <w:t>4</w:t>
      </w:r>
      <w:r w:rsidR="008F7F94" w:rsidRPr="00F6590B">
        <w:rPr>
          <w:szCs w:val="24"/>
          <w:lang w:val="hr-HR"/>
        </w:rPr>
        <w:t xml:space="preserve">. </w:t>
      </w:r>
      <w:r w:rsidRPr="00F6590B">
        <w:rPr>
          <w:szCs w:val="24"/>
          <w:lang w:val="hr-HR"/>
        </w:rPr>
        <w:t>Ovdje se</w:t>
      </w:r>
      <w:r w:rsidR="008F7F94" w:rsidRPr="00F6590B">
        <w:rPr>
          <w:szCs w:val="24"/>
          <w:lang w:val="hr-HR"/>
        </w:rPr>
        <w:t xml:space="preserve">, dakle, pretpostavlja kako postoji jedinstveni odsječak, no on je ovdje statistički </w:t>
      </w:r>
      <w:proofErr w:type="spellStart"/>
      <w:r w:rsidR="008F7F94" w:rsidRPr="00F6590B">
        <w:rPr>
          <w:szCs w:val="24"/>
          <w:lang w:val="hr-HR"/>
        </w:rPr>
        <w:t>insignifikantan</w:t>
      </w:r>
      <w:proofErr w:type="spellEnd"/>
      <w:r w:rsidR="008F7F94" w:rsidRPr="00F6590B">
        <w:rPr>
          <w:szCs w:val="24"/>
          <w:lang w:val="hr-HR"/>
        </w:rPr>
        <w:t>, odnosno njegov koeficijent iznosi nula.</w:t>
      </w:r>
    </w:p>
    <w:p w14:paraId="2BF89890" w14:textId="77777777" w:rsidR="00743D2B" w:rsidRPr="00F6590B" w:rsidRDefault="00743D2B" w:rsidP="00483743">
      <w:pPr>
        <w:spacing w:line="480" w:lineRule="auto"/>
        <w:rPr>
          <w:szCs w:val="24"/>
          <w:lang w:val="hr-HR"/>
        </w:rPr>
      </w:pPr>
    </w:p>
    <w:p w14:paraId="392CC9FA" w14:textId="77777777" w:rsidR="00357433" w:rsidRPr="00F6590B" w:rsidRDefault="00357433" w:rsidP="00483743">
      <w:pPr>
        <w:spacing w:line="480" w:lineRule="auto"/>
        <w:rPr>
          <w:szCs w:val="24"/>
          <w:lang w:val="hr-HR"/>
        </w:rPr>
      </w:pPr>
    </w:p>
    <w:p w14:paraId="2864999C" w14:textId="3D3A7667" w:rsidR="001C34AD" w:rsidRPr="00F6590B" w:rsidRDefault="00877EF1" w:rsidP="00483743">
      <w:pPr>
        <w:pStyle w:val="Caption"/>
        <w:spacing w:line="480" w:lineRule="auto"/>
        <w:rPr>
          <w:szCs w:val="24"/>
          <w:lang w:val="hr-HR"/>
        </w:rPr>
      </w:pPr>
      <w:r w:rsidRPr="00F6590B">
        <w:rPr>
          <w:lang w:val="hr-HR"/>
        </w:rPr>
        <w:lastRenderedPageBreak/>
        <w:t xml:space="preserve">Tablica </w:t>
      </w:r>
      <w:r w:rsidR="0019028F" w:rsidRPr="00F6590B">
        <w:rPr>
          <w:lang w:val="hr-HR"/>
        </w:rPr>
        <w:fldChar w:fldCharType="begin"/>
      </w:r>
      <w:r w:rsidR="0019028F" w:rsidRPr="00F6590B">
        <w:rPr>
          <w:lang w:val="hr-HR"/>
        </w:rPr>
        <w:instrText xml:space="preserve"> SEQ Tablica \* ARABIC </w:instrText>
      </w:r>
      <w:r w:rsidR="0019028F" w:rsidRPr="00F6590B">
        <w:rPr>
          <w:lang w:val="hr-HR"/>
        </w:rPr>
        <w:fldChar w:fldCharType="separate"/>
      </w:r>
      <w:r w:rsidR="00D26260" w:rsidRPr="00F6590B">
        <w:rPr>
          <w:lang w:val="hr-HR"/>
        </w:rPr>
        <w:t>4</w:t>
      </w:r>
      <w:r w:rsidR="0019028F" w:rsidRPr="00F6590B">
        <w:rPr>
          <w:lang w:val="hr-HR"/>
        </w:rPr>
        <w:fldChar w:fldCharType="end"/>
      </w:r>
      <w:r w:rsidRPr="00F6590B">
        <w:rPr>
          <w:lang w:val="hr-HR"/>
        </w:rPr>
        <w:t xml:space="preserve">. </w:t>
      </w:r>
      <w:r w:rsidR="00EC2BB8" w:rsidRPr="00F6590B">
        <w:rPr>
          <w:szCs w:val="24"/>
          <w:lang w:val="hr-HR"/>
        </w:rPr>
        <w:t xml:space="preserve">Rezultati </w:t>
      </w:r>
      <w:proofErr w:type="spellStart"/>
      <w:r w:rsidR="00EC2BB8" w:rsidRPr="00F6590B">
        <w:rPr>
          <w:i/>
          <w:szCs w:val="24"/>
          <w:lang w:val="hr-HR"/>
        </w:rPr>
        <w:t>p</w:t>
      </w:r>
      <w:r w:rsidR="001C34AD" w:rsidRPr="00F6590B">
        <w:rPr>
          <w:i/>
          <w:szCs w:val="24"/>
          <w:lang w:val="hr-HR"/>
        </w:rPr>
        <w:t>ooled</w:t>
      </w:r>
      <w:proofErr w:type="spellEnd"/>
      <w:r w:rsidR="001C34AD" w:rsidRPr="00F6590B">
        <w:rPr>
          <w:szCs w:val="24"/>
          <w:lang w:val="hr-HR"/>
        </w:rPr>
        <w:t xml:space="preserve"> </w:t>
      </w:r>
      <w:r w:rsidR="001C34AD" w:rsidRPr="00F6590B">
        <w:rPr>
          <w:i/>
          <w:szCs w:val="24"/>
          <w:lang w:val="hr-HR"/>
        </w:rPr>
        <w:t>OLS</w:t>
      </w:r>
      <w:r w:rsidR="00EC2BB8" w:rsidRPr="00F6590B">
        <w:rPr>
          <w:szCs w:val="24"/>
          <w:lang w:val="hr-HR"/>
        </w:rPr>
        <w:t xml:space="preserve"> modela</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7"/>
        <w:gridCol w:w="1103"/>
        <w:gridCol w:w="1207"/>
        <w:gridCol w:w="1208"/>
        <w:gridCol w:w="1971"/>
      </w:tblGrid>
      <w:tr w:rsidR="00EC2BB8" w:rsidRPr="00F6590B" w14:paraId="79A7F754" w14:textId="77777777" w:rsidTr="00EC2BB8">
        <w:trPr>
          <w:trHeight w:val="225"/>
          <w:jc w:val="center"/>
        </w:trPr>
        <w:tc>
          <w:tcPr>
            <w:tcW w:w="7506" w:type="dxa"/>
            <w:gridSpan w:val="5"/>
            <w:vAlign w:val="bottom"/>
          </w:tcPr>
          <w:p w14:paraId="5BFB0934" w14:textId="489D0574" w:rsidR="00EC2BB8" w:rsidRPr="00F6590B" w:rsidRDefault="00EC2BB8"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Specifikacija modela:</w:t>
            </w:r>
          </w:p>
          <w:p w14:paraId="113D59BA" w14:textId="2667508C" w:rsidR="00EC2BB8" w:rsidRPr="00F6590B" w:rsidRDefault="00EC2BB8"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i/>
                <w:szCs w:val="24"/>
                <w:lang w:val="hr-HR"/>
              </w:rPr>
              <w:t>lnRIJESENI</w:t>
            </w:r>
            <w:r w:rsidRPr="00F6590B">
              <w:rPr>
                <w:i/>
                <w:szCs w:val="24"/>
                <w:vertAlign w:val="subscript"/>
                <w:lang w:val="hr-HR"/>
              </w:rPr>
              <w:t>it</w:t>
            </w:r>
            <w:proofErr w:type="spellEnd"/>
            <w:r w:rsidRPr="00F6590B">
              <w:rPr>
                <w:i/>
                <w:szCs w:val="24"/>
                <w:lang w:val="hr-HR"/>
              </w:rPr>
              <w:t xml:space="preserve"> = β</w:t>
            </w:r>
            <w:r w:rsidRPr="00F6590B">
              <w:rPr>
                <w:szCs w:val="24"/>
                <w:vertAlign w:val="subscript"/>
                <w:lang w:val="hr-HR"/>
              </w:rPr>
              <w:t>0</w:t>
            </w:r>
            <w:r w:rsidRPr="00F6590B">
              <w:rPr>
                <w:i/>
                <w:szCs w:val="24"/>
                <w:lang w:val="hr-HR"/>
              </w:rPr>
              <w:t xml:space="preserve"> + β</w:t>
            </w:r>
            <w:r w:rsidRPr="00F6590B">
              <w:rPr>
                <w:szCs w:val="24"/>
                <w:vertAlign w:val="subscript"/>
                <w:lang w:val="hr-HR"/>
              </w:rPr>
              <w:t>1</w:t>
            </w:r>
            <w:r w:rsidRPr="00F6590B">
              <w:rPr>
                <w:i/>
                <w:szCs w:val="24"/>
                <w:lang w:val="hr-HR"/>
              </w:rPr>
              <w:t>lnNOVI</w:t>
            </w:r>
            <w:r w:rsidRPr="00F6590B">
              <w:rPr>
                <w:i/>
                <w:szCs w:val="24"/>
                <w:vertAlign w:val="subscript"/>
                <w:lang w:val="hr-HR"/>
              </w:rPr>
              <w:t xml:space="preserve">it </w:t>
            </w:r>
            <w:r w:rsidRPr="00F6590B">
              <w:rPr>
                <w:i/>
                <w:szCs w:val="24"/>
                <w:lang w:val="hr-HR"/>
              </w:rPr>
              <w:t>+ β</w:t>
            </w:r>
            <w:r w:rsidRPr="00F6590B">
              <w:rPr>
                <w:szCs w:val="24"/>
                <w:vertAlign w:val="subscript"/>
                <w:lang w:val="hr-HR"/>
              </w:rPr>
              <w:t>2</w:t>
            </w:r>
            <w:r w:rsidRPr="00F6590B">
              <w:rPr>
                <w:i/>
                <w:szCs w:val="24"/>
                <w:lang w:val="hr-HR"/>
              </w:rPr>
              <w:t>lnSUCI</w:t>
            </w:r>
            <w:r w:rsidRPr="00F6590B">
              <w:rPr>
                <w:i/>
                <w:szCs w:val="24"/>
                <w:vertAlign w:val="subscript"/>
                <w:lang w:val="hr-HR"/>
              </w:rPr>
              <w:t xml:space="preserve">it </w:t>
            </w:r>
            <w:r w:rsidRPr="00F6590B">
              <w:rPr>
                <w:i/>
                <w:szCs w:val="24"/>
                <w:lang w:val="hr-HR"/>
              </w:rPr>
              <w:t xml:space="preserve"> + β</w:t>
            </w:r>
            <w:r w:rsidRPr="00F6590B">
              <w:rPr>
                <w:szCs w:val="24"/>
                <w:vertAlign w:val="subscript"/>
                <w:lang w:val="hr-HR"/>
              </w:rPr>
              <w:t>3</w:t>
            </w:r>
            <w:r w:rsidRPr="00F6590B">
              <w:rPr>
                <w:i/>
                <w:szCs w:val="24"/>
                <w:lang w:val="hr-HR"/>
              </w:rPr>
              <w:t>lnNERIJESENI</w:t>
            </w:r>
            <w:r w:rsidRPr="00F6590B">
              <w:rPr>
                <w:i/>
                <w:szCs w:val="24"/>
                <w:vertAlign w:val="subscript"/>
                <w:lang w:val="hr-HR"/>
              </w:rPr>
              <w:t>it-1</w:t>
            </w:r>
            <w:r w:rsidRPr="00F6590B">
              <w:rPr>
                <w:i/>
                <w:szCs w:val="24"/>
                <w:lang w:val="hr-HR"/>
              </w:rPr>
              <w:t xml:space="preserve"> + </w:t>
            </w:r>
            <w:proofErr w:type="spellStart"/>
            <w:r w:rsidRPr="00F6590B">
              <w:rPr>
                <w:rFonts w:cs="Times New Roman"/>
                <w:i/>
                <w:szCs w:val="24"/>
                <w:lang w:val="hr-HR"/>
              </w:rPr>
              <w:t>ε</w:t>
            </w:r>
            <w:r w:rsidRPr="00F6590B">
              <w:rPr>
                <w:i/>
                <w:szCs w:val="24"/>
                <w:vertAlign w:val="subscript"/>
                <w:lang w:val="hr-HR"/>
              </w:rPr>
              <w:t>it</w:t>
            </w:r>
            <w:proofErr w:type="spellEnd"/>
            <w:r w:rsidRPr="00F6590B">
              <w:rPr>
                <w:szCs w:val="24"/>
                <w:lang w:val="hr-HR"/>
              </w:rPr>
              <w:t xml:space="preserve"> </w:t>
            </w:r>
            <w:r w:rsidRPr="00F6590B">
              <w:rPr>
                <w:szCs w:val="24"/>
                <w:lang w:val="hr-HR"/>
              </w:rPr>
              <w:tab/>
            </w:r>
          </w:p>
        </w:tc>
      </w:tr>
      <w:tr w:rsidR="001C34AD" w:rsidRPr="00F6590B" w14:paraId="7664E728" w14:textId="77777777" w:rsidTr="005D6D81">
        <w:trPr>
          <w:trHeight w:val="225"/>
          <w:jc w:val="center"/>
        </w:trPr>
        <w:tc>
          <w:tcPr>
            <w:tcW w:w="2017" w:type="dxa"/>
            <w:tcBorders>
              <w:bottom w:val="double" w:sz="4" w:space="0" w:color="auto"/>
            </w:tcBorders>
            <w:vAlign w:val="center"/>
          </w:tcPr>
          <w:p w14:paraId="2AF8B0A1" w14:textId="6E179BB7" w:rsidR="001C34AD" w:rsidRPr="00F6590B" w:rsidRDefault="001C34AD"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Vari</w:t>
            </w:r>
            <w:r w:rsidR="008502A2" w:rsidRPr="00F6590B">
              <w:rPr>
                <w:rFonts w:asciiTheme="minorHAnsi" w:hAnsiTheme="minorHAnsi" w:cs="Arial"/>
                <w:color w:val="000000"/>
                <w:szCs w:val="24"/>
                <w:lang w:val="hr-HR"/>
              </w:rPr>
              <w:t>jabla</w:t>
            </w:r>
          </w:p>
        </w:tc>
        <w:tc>
          <w:tcPr>
            <w:tcW w:w="1103" w:type="dxa"/>
            <w:tcBorders>
              <w:bottom w:val="double" w:sz="4" w:space="0" w:color="auto"/>
            </w:tcBorders>
            <w:vAlign w:val="center"/>
          </w:tcPr>
          <w:p w14:paraId="219CE8AE" w14:textId="49FF309E" w:rsidR="001C34AD"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K</w:t>
            </w:r>
            <w:r w:rsidR="001C34AD" w:rsidRPr="00F6590B">
              <w:rPr>
                <w:rFonts w:asciiTheme="minorHAnsi" w:hAnsiTheme="minorHAnsi" w:cs="Arial"/>
                <w:color w:val="000000"/>
                <w:szCs w:val="24"/>
                <w:lang w:val="hr-HR"/>
              </w:rPr>
              <w:t>oefici</w:t>
            </w:r>
            <w:r w:rsidR="00EC2BB8" w:rsidRPr="00F6590B">
              <w:rPr>
                <w:rFonts w:asciiTheme="minorHAnsi" w:hAnsiTheme="minorHAnsi" w:cs="Arial"/>
                <w:color w:val="000000"/>
                <w:szCs w:val="24"/>
                <w:lang w:val="hr-HR"/>
              </w:rPr>
              <w:t>j</w:t>
            </w:r>
            <w:r w:rsidR="001C34AD" w:rsidRPr="00F6590B">
              <w:rPr>
                <w:rFonts w:asciiTheme="minorHAnsi" w:hAnsiTheme="minorHAnsi" w:cs="Arial"/>
                <w:color w:val="000000"/>
                <w:szCs w:val="24"/>
                <w:lang w:val="hr-HR"/>
              </w:rPr>
              <w:t>ent</w:t>
            </w:r>
          </w:p>
        </w:tc>
        <w:tc>
          <w:tcPr>
            <w:tcW w:w="1207" w:type="dxa"/>
            <w:tcBorders>
              <w:bottom w:val="double" w:sz="4" w:space="0" w:color="auto"/>
            </w:tcBorders>
            <w:vAlign w:val="center"/>
          </w:tcPr>
          <w:p w14:paraId="1B972D09" w14:textId="3550F864" w:rsidR="001C34AD" w:rsidRPr="00F6590B" w:rsidRDefault="001C34AD"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St</w:t>
            </w:r>
            <w:r w:rsidR="00EC2BB8" w:rsidRPr="00F6590B">
              <w:rPr>
                <w:rFonts w:asciiTheme="minorHAnsi" w:hAnsiTheme="minorHAnsi" w:cs="Arial"/>
                <w:color w:val="000000"/>
                <w:szCs w:val="24"/>
                <w:lang w:val="hr-HR"/>
              </w:rPr>
              <w:t>andardna</w:t>
            </w:r>
            <w:r w:rsidRPr="00F6590B">
              <w:rPr>
                <w:rFonts w:asciiTheme="minorHAnsi" w:hAnsiTheme="minorHAnsi" w:cs="Arial"/>
                <w:color w:val="000000"/>
                <w:szCs w:val="24"/>
                <w:lang w:val="hr-HR"/>
              </w:rPr>
              <w:t xml:space="preserve"> </w:t>
            </w:r>
            <w:r w:rsidR="008502A2" w:rsidRPr="00F6590B">
              <w:rPr>
                <w:rFonts w:asciiTheme="minorHAnsi" w:hAnsiTheme="minorHAnsi" w:cs="Arial"/>
                <w:color w:val="000000"/>
                <w:szCs w:val="24"/>
                <w:lang w:val="hr-HR"/>
              </w:rPr>
              <w:t>greška</w:t>
            </w:r>
          </w:p>
        </w:tc>
        <w:tc>
          <w:tcPr>
            <w:tcW w:w="1208" w:type="dxa"/>
            <w:tcBorders>
              <w:bottom w:val="double" w:sz="4" w:space="0" w:color="auto"/>
            </w:tcBorders>
            <w:vAlign w:val="center"/>
          </w:tcPr>
          <w:p w14:paraId="11A7733C" w14:textId="3380C421" w:rsidR="001C34AD"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t-s</w:t>
            </w:r>
            <w:r w:rsidR="001C34AD" w:rsidRPr="00F6590B">
              <w:rPr>
                <w:rFonts w:asciiTheme="minorHAnsi" w:hAnsiTheme="minorHAnsi" w:cs="Arial"/>
                <w:color w:val="000000"/>
                <w:szCs w:val="24"/>
                <w:lang w:val="hr-HR"/>
              </w:rPr>
              <w:t>tat</w:t>
            </w:r>
            <w:r w:rsidRPr="00F6590B">
              <w:rPr>
                <w:rFonts w:asciiTheme="minorHAnsi" w:hAnsiTheme="minorHAnsi" w:cs="Arial"/>
                <w:color w:val="000000"/>
                <w:szCs w:val="24"/>
                <w:lang w:val="hr-HR"/>
              </w:rPr>
              <w:t>.</w:t>
            </w:r>
          </w:p>
        </w:tc>
        <w:tc>
          <w:tcPr>
            <w:tcW w:w="1971" w:type="dxa"/>
            <w:tcBorders>
              <w:bottom w:val="double" w:sz="4" w:space="0" w:color="auto"/>
            </w:tcBorders>
            <w:vAlign w:val="center"/>
          </w:tcPr>
          <w:p w14:paraId="5FFC8AC7" w14:textId="500F2B25" w:rsidR="001C34AD" w:rsidRPr="00F6590B" w:rsidRDefault="001C34AD"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P</w:t>
            </w:r>
            <w:r w:rsidR="008502A2" w:rsidRPr="00F6590B">
              <w:rPr>
                <w:rFonts w:asciiTheme="minorHAnsi" w:hAnsiTheme="minorHAnsi" w:cs="Arial"/>
                <w:color w:val="000000"/>
                <w:szCs w:val="24"/>
                <w:lang w:val="hr-HR"/>
              </w:rPr>
              <w:t>-vrijednost</w:t>
            </w:r>
          </w:p>
        </w:tc>
      </w:tr>
      <w:tr w:rsidR="001C34AD" w:rsidRPr="00F6590B" w14:paraId="1747EF1A" w14:textId="77777777" w:rsidTr="005D6D81">
        <w:trPr>
          <w:trHeight w:val="225"/>
          <w:jc w:val="center"/>
        </w:trPr>
        <w:tc>
          <w:tcPr>
            <w:tcW w:w="2017" w:type="dxa"/>
            <w:tcBorders>
              <w:top w:val="double" w:sz="4" w:space="0" w:color="auto"/>
            </w:tcBorders>
            <w:vAlign w:val="center"/>
          </w:tcPr>
          <w:p w14:paraId="63B42730" w14:textId="77777777" w:rsidR="001C34AD" w:rsidRPr="00F6590B" w:rsidRDefault="001C34AD"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C</w:t>
            </w:r>
          </w:p>
        </w:tc>
        <w:tc>
          <w:tcPr>
            <w:tcW w:w="1103" w:type="dxa"/>
            <w:tcBorders>
              <w:top w:val="double" w:sz="4" w:space="0" w:color="auto"/>
            </w:tcBorders>
            <w:vAlign w:val="center"/>
          </w:tcPr>
          <w:p w14:paraId="11503EE5" w14:textId="791B95EF" w:rsidR="001C34AD" w:rsidRPr="00F6590B" w:rsidRDefault="001C34AD"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w:t>
            </w:r>
            <w:r w:rsidR="008502A2" w:rsidRPr="00F6590B">
              <w:rPr>
                <w:rFonts w:asciiTheme="minorHAnsi" w:hAnsiTheme="minorHAnsi" w:cs="Arial"/>
                <w:color w:val="000000"/>
                <w:szCs w:val="24"/>
                <w:lang w:val="hr-HR"/>
              </w:rPr>
              <w:t>,</w:t>
            </w:r>
            <w:r w:rsidRPr="00F6590B">
              <w:rPr>
                <w:rFonts w:asciiTheme="minorHAnsi" w:hAnsiTheme="minorHAnsi" w:cs="Arial"/>
                <w:color w:val="000000"/>
                <w:szCs w:val="24"/>
                <w:lang w:val="hr-HR"/>
              </w:rPr>
              <w:t>050</w:t>
            </w:r>
          </w:p>
        </w:tc>
        <w:tc>
          <w:tcPr>
            <w:tcW w:w="1207" w:type="dxa"/>
            <w:tcBorders>
              <w:top w:val="double" w:sz="4" w:space="0" w:color="auto"/>
            </w:tcBorders>
            <w:vAlign w:val="center"/>
          </w:tcPr>
          <w:p w14:paraId="4E89A497" w14:textId="56BB67D8" w:rsidR="001C34AD" w:rsidRPr="00F6590B" w:rsidRDefault="001C34AD"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w:t>
            </w:r>
            <w:r w:rsidR="008502A2" w:rsidRPr="00F6590B">
              <w:rPr>
                <w:rFonts w:asciiTheme="minorHAnsi" w:hAnsiTheme="minorHAnsi" w:cs="Arial"/>
                <w:color w:val="000000"/>
                <w:szCs w:val="24"/>
                <w:lang w:val="hr-HR"/>
              </w:rPr>
              <w:t>,</w:t>
            </w:r>
            <w:r w:rsidRPr="00F6590B">
              <w:rPr>
                <w:rFonts w:asciiTheme="minorHAnsi" w:hAnsiTheme="minorHAnsi" w:cs="Arial"/>
                <w:color w:val="000000"/>
                <w:szCs w:val="24"/>
                <w:lang w:val="hr-HR"/>
              </w:rPr>
              <w:t>2</w:t>
            </w:r>
            <w:r w:rsidR="008502A2" w:rsidRPr="00F6590B">
              <w:rPr>
                <w:rFonts w:asciiTheme="minorHAnsi" w:hAnsiTheme="minorHAnsi" w:cs="Arial"/>
                <w:color w:val="000000"/>
                <w:szCs w:val="24"/>
                <w:lang w:val="hr-HR"/>
              </w:rPr>
              <w:t>10</w:t>
            </w:r>
          </w:p>
        </w:tc>
        <w:tc>
          <w:tcPr>
            <w:tcW w:w="1208" w:type="dxa"/>
            <w:tcBorders>
              <w:top w:val="double" w:sz="4" w:space="0" w:color="auto"/>
            </w:tcBorders>
            <w:vAlign w:val="center"/>
          </w:tcPr>
          <w:p w14:paraId="117C270D" w14:textId="00356628" w:rsidR="001C34AD" w:rsidRPr="00F6590B" w:rsidRDefault="001C34AD"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w:t>
            </w:r>
            <w:r w:rsidR="008502A2" w:rsidRPr="00F6590B">
              <w:rPr>
                <w:rFonts w:asciiTheme="minorHAnsi" w:hAnsiTheme="minorHAnsi" w:cs="Arial"/>
                <w:color w:val="000000"/>
                <w:szCs w:val="24"/>
                <w:lang w:val="hr-HR"/>
              </w:rPr>
              <w:t>,</w:t>
            </w:r>
            <w:r w:rsidRPr="00F6590B">
              <w:rPr>
                <w:rFonts w:asciiTheme="minorHAnsi" w:hAnsiTheme="minorHAnsi" w:cs="Arial"/>
                <w:color w:val="000000"/>
                <w:szCs w:val="24"/>
                <w:lang w:val="hr-HR"/>
              </w:rPr>
              <w:t>239</w:t>
            </w:r>
          </w:p>
        </w:tc>
        <w:tc>
          <w:tcPr>
            <w:tcW w:w="1971" w:type="dxa"/>
            <w:tcBorders>
              <w:top w:val="double" w:sz="4" w:space="0" w:color="auto"/>
            </w:tcBorders>
            <w:vAlign w:val="center"/>
          </w:tcPr>
          <w:p w14:paraId="62F2CA4E" w14:textId="2CD543D9" w:rsidR="001C34AD" w:rsidRPr="00F6590B" w:rsidRDefault="001C34AD"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0.81</w:t>
            </w:r>
            <w:r w:rsidR="008502A2" w:rsidRPr="00F6590B">
              <w:rPr>
                <w:rFonts w:asciiTheme="minorHAnsi" w:hAnsiTheme="minorHAnsi" w:cs="Arial"/>
                <w:color w:val="000000"/>
                <w:szCs w:val="24"/>
                <w:lang w:val="hr-HR"/>
              </w:rPr>
              <w:t>2</w:t>
            </w:r>
          </w:p>
        </w:tc>
      </w:tr>
      <w:tr w:rsidR="00150142" w:rsidRPr="00F6590B" w14:paraId="3147EEAA" w14:textId="77777777" w:rsidTr="005D6D81">
        <w:trPr>
          <w:trHeight w:val="225"/>
          <w:jc w:val="center"/>
        </w:trPr>
        <w:tc>
          <w:tcPr>
            <w:tcW w:w="2017" w:type="dxa"/>
            <w:vAlign w:val="center"/>
          </w:tcPr>
          <w:p w14:paraId="3DAC66FA" w14:textId="0B0F8724"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Pr="00F6590B">
              <w:rPr>
                <w:rFonts w:asciiTheme="minorHAnsi" w:hAnsiTheme="minorHAnsi" w:cs="Arial"/>
                <w:color w:val="000000"/>
                <w:szCs w:val="24"/>
                <w:lang w:val="hr-HR"/>
              </w:rPr>
              <w:t>(NOVI)</w:t>
            </w:r>
          </w:p>
        </w:tc>
        <w:tc>
          <w:tcPr>
            <w:tcW w:w="1103" w:type="dxa"/>
            <w:vAlign w:val="center"/>
          </w:tcPr>
          <w:p w14:paraId="19F756F2" w14:textId="67BE1B8D"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0,507</w:t>
            </w:r>
          </w:p>
        </w:tc>
        <w:tc>
          <w:tcPr>
            <w:tcW w:w="1207" w:type="dxa"/>
            <w:vAlign w:val="center"/>
          </w:tcPr>
          <w:p w14:paraId="40CF3863" w14:textId="7A9B5744"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0,041</w:t>
            </w:r>
          </w:p>
        </w:tc>
        <w:tc>
          <w:tcPr>
            <w:tcW w:w="1208" w:type="dxa"/>
            <w:vAlign w:val="center"/>
          </w:tcPr>
          <w:p w14:paraId="68B309D3" w14:textId="3FDD2CBB"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12,368</w:t>
            </w:r>
          </w:p>
        </w:tc>
        <w:tc>
          <w:tcPr>
            <w:tcW w:w="1971" w:type="dxa"/>
            <w:vAlign w:val="center"/>
          </w:tcPr>
          <w:p w14:paraId="378CD804" w14:textId="0C989A40"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0.000</w:t>
            </w:r>
          </w:p>
        </w:tc>
      </w:tr>
      <w:tr w:rsidR="00150142" w:rsidRPr="00F6590B" w14:paraId="0FA2B986" w14:textId="77777777" w:rsidTr="005D6D81">
        <w:trPr>
          <w:trHeight w:val="225"/>
          <w:jc w:val="center"/>
        </w:trPr>
        <w:tc>
          <w:tcPr>
            <w:tcW w:w="2017" w:type="dxa"/>
            <w:vAlign w:val="center"/>
          </w:tcPr>
          <w:p w14:paraId="2F9BC819" w14:textId="7FAACA0C"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Pr="00F6590B">
              <w:rPr>
                <w:rFonts w:asciiTheme="minorHAnsi" w:hAnsiTheme="minorHAnsi" w:cs="Arial"/>
                <w:color w:val="000000"/>
                <w:szCs w:val="24"/>
                <w:lang w:val="hr-HR"/>
              </w:rPr>
              <w:t>(SUCI)</w:t>
            </w:r>
          </w:p>
        </w:tc>
        <w:tc>
          <w:tcPr>
            <w:tcW w:w="1103" w:type="dxa"/>
            <w:vAlign w:val="center"/>
          </w:tcPr>
          <w:p w14:paraId="065846D8" w14:textId="4E889259"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-0,074</w:t>
            </w:r>
          </w:p>
        </w:tc>
        <w:tc>
          <w:tcPr>
            <w:tcW w:w="1207" w:type="dxa"/>
            <w:vAlign w:val="center"/>
          </w:tcPr>
          <w:p w14:paraId="03A28532" w14:textId="42C6CFA1"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0,060</w:t>
            </w:r>
          </w:p>
        </w:tc>
        <w:tc>
          <w:tcPr>
            <w:tcW w:w="1208" w:type="dxa"/>
            <w:vAlign w:val="center"/>
          </w:tcPr>
          <w:p w14:paraId="0CDC6F89" w14:textId="1A8CE152"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-1,218</w:t>
            </w:r>
          </w:p>
        </w:tc>
        <w:tc>
          <w:tcPr>
            <w:tcW w:w="1971" w:type="dxa"/>
            <w:vAlign w:val="center"/>
          </w:tcPr>
          <w:p w14:paraId="7FAFA039" w14:textId="78C07DBE"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0.229</w:t>
            </w:r>
          </w:p>
        </w:tc>
      </w:tr>
      <w:tr w:rsidR="00150142" w:rsidRPr="00F6590B" w14:paraId="2CD38D57" w14:textId="77777777" w:rsidTr="005D6D81">
        <w:trPr>
          <w:trHeight w:val="225"/>
          <w:jc w:val="center"/>
        </w:trPr>
        <w:tc>
          <w:tcPr>
            <w:tcW w:w="2017" w:type="dxa"/>
            <w:tcBorders>
              <w:bottom w:val="double" w:sz="4" w:space="0" w:color="auto"/>
            </w:tcBorders>
            <w:vAlign w:val="center"/>
          </w:tcPr>
          <w:p w14:paraId="70B4053F" w14:textId="2B13A6ED"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Pr="00F6590B">
              <w:rPr>
                <w:rFonts w:asciiTheme="minorHAnsi" w:hAnsiTheme="minorHAnsi" w:cs="Arial"/>
                <w:color w:val="000000"/>
                <w:szCs w:val="24"/>
                <w:lang w:val="hr-HR"/>
              </w:rPr>
              <w:t>(NERIJESENI(-1))</w:t>
            </w:r>
          </w:p>
        </w:tc>
        <w:tc>
          <w:tcPr>
            <w:tcW w:w="1103" w:type="dxa"/>
            <w:tcBorders>
              <w:bottom w:val="double" w:sz="4" w:space="0" w:color="auto"/>
            </w:tcBorders>
            <w:vAlign w:val="center"/>
          </w:tcPr>
          <w:p w14:paraId="453A2B3C" w14:textId="62FF6E09"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0,552</w:t>
            </w:r>
          </w:p>
        </w:tc>
        <w:tc>
          <w:tcPr>
            <w:tcW w:w="1207" w:type="dxa"/>
            <w:tcBorders>
              <w:bottom w:val="double" w:sz="4" w:space="0" w:color="auto"/>
            </w:tcBorders>
            <w:vAlign w:val="center"/>
          </w:tcPr>
          <w:p w14:paraId="6399859F" w14:textId="6FB958DC"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0,058</w:t>
            </w:r>
          </w:p>
        </w:tc>
        <w:tc>
          <w:tcPr>
            <w:tcW w:w="1208" w:type="dxa"/>
            <w:tcBorders>
              <w:bottom w:val="double" w:sz="4" w:space="0" w:color="auto"/>
            </w:tcBorders>
            <w:vAlign w:val="center"/>
          </w:tcPr>
          <w:p w14:paraId="13A80306" w14:textId="04DC0453"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9,587</w:t>
            </w:r>
          </w:p>
        </w:tc>
        <w:tc>
          <w:tcPr>
            <w:tcW w:w="1971" w:type="dxa"/>
            <w:tcBorders>
              <w:bottom w:val="double" w:sz="4" w:space="0" w:color="auto"/>
            </w:tcBorders>
            <w:vAlign w:val="center"/>
          </w:tcPr>
          <w:p w14:paraId="2F88C3FD" w14:textId="0BA4EB12"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0.000</w:t>
            </w:r>
          </w:p>
        </w:tc>
      </w:tr>
      <w:tr w:rsidR="00EC2BB8" w:rsidRPr="00F6590B" w14:paraId="05A618FF" w14:textId="77777777" w:rsidTr="005D6D81">
        <w:trPr>
          <w:trHeight w:val="225"/>
          <w:jc w:val="center"/>
        </w:trPr>
        <w:tc>
          <w:tcPr>
            <w:tcW w:w="2017" w:type="dxa"/>
            <w:tcBorders>
              <w:top w:val="double" w:sz="4" w:space="0" w:color="auto"/>
            </w:tcBorders>
            <w:vAlign w:val="center"/>
          </w:tcPr>
          <w:p w14:paraId="11A6FF62" w14:textId="744634E0" w:rsidR="00EC2BB8" w:rsidRPr="00F6590B" w:rsidRDefault="00EC2BB8"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R</w:t>
            </w:r>
            <w:r w:rsidRPr="00F6590B">
              <w:rPr>
                <w:rFonts w:asciiTheme="minorHAnsi" w:hAnsiTheme="minorHAnsi" w:cs="Arial"/>
                <w:color w:val="000000"/>
                <w:szCs w:val="24"/>
                <w:vertAlign w:val="superscript"/>
                <w:lang w:val="hr-HR"/>
              </w:rPr>
              <w:t>2</w:t>
            </w:r>
          </w:p>
        </w:tc>
        <w:tc>
          <w:tcPr>
            <w:tcW w:w="1103" w:type="dxa"/>
            <w:tcBorders>
              <w:top w:val="double" w:sz="4" w:space="0" w:color="auto"/>
            </w:tcBorders>
            <w:vAlign w:val="center"/>
          </w:tcPr>
          <w:p w14:paraId="4EA007F3" w14:textId="6829444F" w:rsidR="00EC2BB8" w:rsidRPr="00F6590B" w:rsidRDefault="00EC2BB8"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0,932</w:t>
            </w:r>
          </w:p>
        </w:tc>
        <w:tc>
          <w:tcPr>
            <w:tcW w:w="2415" w:type="dxa"/>
            <w:gridSpan w:val="2"/>
            <w:tcBorders>
              <w:top w:val="double" w:sz="4" w:space="0" w:color="auto"/>
            </w:tcBorders>
            <w:vAlign w:val="center"/>
          </w:tcPr>
          <w:p w14:paraId="6C5DDBB4" w14:textId="2425B6F6" w:rsidR="00EC2BB8" w:rsidRPr="00F6590B" w:rsidRDefault="00EC2BB8" w:rsidP="00483743">
            <w:pPr>
              <w:autoSpaceDE w:val="0"/>
              <w:autoSpaceDN w:val="0"/>
              <w:adjustRightInd w:val="0"/>
              <w:spacing w:line="240" w:lineRule="auto"/>
              <w:ind w:right="10"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Stand</w:t>
            </w:r>
            <w:proofErr w:type="spellEnd"/>
            <w:r w:rsidRPr="00F6590B">
              <w:rPr>
                <w:rFonts w:asciiTheme="minorHAnsi" w:hAnsiTheme="minorHAnsi" w:cs="Arial"/>
                <w:color w:val="000000"/>
                <w:szCs w:val="24"/>
                <w:lang w:val="hr-HR"/>
              </w:rPr>
              <w:t>. greška regresije</w:t>
            </w:r>
          </w:p>
        </w:tc>
        <w:tc>
          <w:tcPr>
            <w:tcW w:w="1971" w:type="dxa"/>
            <w:tcBorders>
              <w:top w:val="double" w:sz="4" w:space="0" w:color="auto"/>
            </w:tcBorders>
            <w:vAlign w:val="center"/>
          </w:tcPr>
          <w:p w14:paraId="28FCCF36" w14:textId="55E8AE78" w:rsidR="00EC2BB8" w:rsidRPr="00F6590B" w:rsidRDefault="00EC2BB8"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0,227</w:t>
            </w:r>
          </w:p>
        </w:tc>
      </w:tr>
      <w:tr w:rsidR="005D6D81" w:rsidRPr="00F6590B" w14:paraId="57804856" w14:textId="77777777" w:rsidTr="005D6D81">
        <w:trPr>
          <w:trHeight w:val="225"/>
          <w:jc w:val="center"/>
        </w:trPr>
        <w:tc>
          <w:tcPr>
            <w:tcW w:w="2017" w:type="dxa"/>
            <w:vMerge w:val="restart"/>
            <w:vAlign w:val="center"/>
          </w:tcPr>
          <w:p w14:paraId="5019A1F6" w14:textId="5475209A" w:rsidR="005D6D81" w:rsidRPr="00F6590B" w:rsidRDefault="005D6D81"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Korigirani R</w:t>
            </w:r>
            <w:r w:rsidRPr="00F6590B">
              <w:rPr>
                <w:rFonts w:asciiTheme="minorHAnsi" w:hAnsiTheme="minorHAnsi" w:cs="Arial"/>
                <w:color w:val="000000"/>
                <w:szCs w:val="24"/>
                <w:vertAlign w:val="superscript"/>
                <w:lang w:val="hr-HR"/>
              </w:rPr>
              <w:t>2</w:t>
            </w:r>
          </w:p>
        </w:tc>
        <w:tc>
          <w:tcPr>
            <w:tcW w:w="1103" w:type="dxa"/>
            <w:vMerge w:val="restart"/>
            <w:vAlign w:val="center"/>
          </w:tcPr>
          <w:p w14:paraId="02674478" w14:textId="1A12E574"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0,923</w:t>
            </w:r>
          </w:p>
        </w:tc>
        <w:tc>
          <w:tcPr>
            <w:tcW w:w="2415" w:type="dxa"/>
            <w:gridSpan w:val="2"/>
            <w:vAlign w:val="center"/>
          </w:tcPr>
          <w:p w14:paraId="4EBA6ADD" w14:textId="5A7A06C9"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F-stat.</w:t>
            </w:r>
          </w:p>
        </w:tc>
        <w:tc>
          <w:tcPr>
            <w:tcW w:w="1971" w:type="dxa"/>
            <w:vAlign w:val="center"/>
          </w:tcPr>
          <w:p w14:paraId="5259BBA3" w14:textId="16633B04"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239,217</w:t>
            </w:r>
          </w:p>
        </w:tc>
      </w:tr>
      <w:tr w:rsidR="005D6D81" w:rsidRPr="00F6590B" w14:paraId="739D2580" w14:textId="77777777" w:rsidTr="005D6D81">
        <w:trPr>
          <w:trHeight w:val="225"/>
          <w:jc w:val="center"/>
        </w:trPr>
        <w:tc>
          <w:tcPr>
            <w:tcW w:w="2017" w:type="dxa"/>
            <w:vMerge/>
            <w:vAlign w:val="center"/>
          </w:tcPr>
          <w:p w14:paraId="6F63E933" w14:textId="04F90D05" w:rsidR="005D6D81" w:rsidRPr="00F6590B" w:rsidRDefault="005D6D81" w:rsidP="00483743">
            <w:pPr>
              <w:autoSpaceDE w:val="0"/>
              <w:autoSpaceDN w:val="0"/>
              <w:adjustRightInd w:val="0"/>
              <w:spacing w:line="240" w:lineRule="auto"/>
              <w:ind w:firstLine="0"/>
              <w:jc w:val="center"/>
              <w:rPr>
                <w:rFonts w:asciiTheme="minorHAnsi" w:hAnsiTheme="minorHAnsi" w:cs="Arial"/>
                <w:color w:val="000000"/>
                <w:szCs w:val="24"/>
                <w:lang w:val="hr-HR"/>
              </w:rPr>
            </w:pPr>
          </w:p>
        </w:tc>
        <w:tc>
          <w:tcPr>
            <w:tcW w:w="1103" w:type="dxa"/>
            <w:vMerge/>
            <w:vAlign w:val="center"/>
          </w:tcPr>
          <w:p w14:paraId="66F64130" w14:textId="55B467A5"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p>
        </w:tc>
        <w:tc>
          <w:tcPr>
            <w:tcW w:w="2415" w:type="dxa"/>
            <w:gridSpan w:val="2"/>
            <w:vAlign w:val="center"/>
          </w:tcPr>
          <w:p w14:paraId="102FAB6D" w14:textId="77DBD4CD"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P (F-stat.)</w:t>
            </w:r>
          </w:p>
        </w:tc>
        <w:tc>
          <w:tcPr>
            <w:tcW w:w="1971" w:type="dxa"/>
            <w:vAlign w:val="center"/>
          </w:tcPr>
          <w:p w14:paraId="42027707" w14:textId="477FC032"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0,000</w:t>
            </w:r>
          </w:p>
        </w:tc>
      </w:tr>
    </w:tbl>
    <w:p w14:paraId="064D4E2C" w14:textId="01A183B1"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0CE1B915" w14:textId="3858A6A3" w:rsidR="00D06778" w:rsidRPr="00F6590B" w:rsidRDefault="008F7F94" w:rsidP="00483743">
      <w:pPr>
        <w:spacing w:line="480" w:lineRule="auto"/>
        <w:rPr>
          <w:rFonts w:asciiTheme="minorHAnsi" w:hAnsiTheme="minorHAnsi" w:cs="Arial"/>
          <w:color w:val="000000"/>
          <w:szCs w:val="24"/>
          <w:lang w:val="hr-HR"/>
        </w:rPr>
      </w:pPr>
      <w:r w:rsidRPr="00F6590B">
        <w:rPr>
          <w:lang w:val="hr-HR"/>
        </w:rPr>
        <w:t xml:space="preserve">Nakon </w:t>
      </w:r>
      <w:proofErr w:type="spellStart"/>
      <w:r w:rsidRPr="00F6590B">
        <w:rPr>
          <w:i/>
          <w:lang w:val="hr-HR"/>
        </w:rPr>
        <w:t>pooled</w:t>
      </w:r>
      <w:proofErr w:type="spellEnd"/>
      <w:r w:rsidRPr="00F6590B">
        <w:rPr>
          <w:i/>
          <w:lang w:val="hr-HR"/>
        </w:rPr>
        <w:t xml:space="preserve"> OLS</w:t>
      </w:r>
      <w:r w:rsidRPr="00F6590B">
        <w:rPr>
          <w:lang w:val="hr-HR"/>
        </w:rPr>
        <w:t xml:space="preserve"> modela</w:t>
      </w:r>
      <w:r w:rsidR="002A24CF" w:rsidRPr="00F6590B">
        <w:rPr>
          <w:lang w:val="hr-HR"/>
        </w:rPr>
        <w:t xml:space="preserve"> kreirane su </w:t>
      </w:r>
      <w:proofErr w:type="spellStart"/>
      <w:r w:rsidR="002A24CF" w:rsidRPr="00F6590B">
        <w:rPr>
          <w:i/>
          <w:lang w:val="hr-HR"/>
        </w:rPr>
        <w:t>dummy</w:t>
      </w:r>
      <w:proofErr w:type="spellEnd"/>
      <w:r w:rsidR="002A24CF" w:rsidRPr="00F6590B">
        <w:rPr>
          <w:lang w:val="hr-HR"/>
        </w:rPr>
        <w:t xml:space="preserve"> varijable za svaki pojedinačni sud, te za svaku promatranu godinu (tablica </w:t>
      </w:r>
      <w:r w:rsidR="00D26260" w:rsidRPr="00F6590B">
        <w:rPr>
          <w:lang w:val="hr-HR"/>
        </w:rPr>
        <w:t>5</w:t>
      </w:r>
      <w:r w:rsidR="002A24CF" w:rsidRPr="00F6590B">
        <w:rPr>
          <w:lang w:val="hr-HR"/>
        </w:rPr>
        <w:t xml:space="preserve">.). Jednako kao i kod </w:t>
      </w:r>
      <w:proofErr w:type="spellStart"/>
      <w:r w:rsidR="002A24CF" w:rsidRPr="00F6590B">
        <w:rPr>
          <w:i/>
          <w:lang w:val="hr-HR"/>
        </w:rPr>
        <w:t>pooled</w:t>
      </w:r>
      <w:proofErr w:type="spellEnd"/>
      <w:r w:rsidR="002A24CF" w:rsidRPr="00F6590B">
        <w:rPr>
          <w:i/>
          <w:lang w:val="hr-HR"/>
        </w:rPr>
        <w:t xml:space="preserve"> OLS</w:t>
      </w:r>
      <w:r w:rsidR="002A24CF" w:rsidRPr="00F6590B">
        <w:rPr>
          <w:lang w:val="hr-HR"/>
        </w:rPr>
        <w:t xml:space="preserve">-a varijabla koja predstavlja veličinu suda (broj sudaca) pokazala se </w:t>
      </w:r>
      <w:proofErr w:type="spellStart"/>
      <w:r w:rsidR="002A24CF" w:rsidRPr="00F6590B">
        <w:rPr>
          <w:lang w:val="hr-HR"/>
        </w:rPr>
        <w:t>insignifikantnom</w:t>
      </w:r>
      <w:proofErr w:type="spellEnd"/>
      <w:r w:rsidR="002A24CF" w:rsidRPr="00F6590B">
        <w:rPr>
          <w:lang w:val="hr-HR"/>
        </w:rPr>
        <w:t>. Standardna greška regresije je niža, a R</w:t>
      </w:r>
      <w:r w:rsidR="002A24CF" w:rsidRPr="007805A6">
        <w:rPr>
          <w:vertAlign w:val="superscript"/>
          <w:lang w:val="hr-HR"/>
        </w:rPr>
        <w:t>2</w:t>
      </w:r>
      <w:r w:rsidR="002A24CF" w:rsidRPr="00F6590B">
        <w:rPr>
          <w:lang w:val="hr-HR"/>
        </w:rPr>
        <w:t xml:space="preserve"> je viši nego kod prethodnog modela, te se potom pristupilo testiranju fiksnih učinaka.</w:t>
      </w:r>
    </w:p>
    <w:p w14:paraId="45E1F556" w14:textId="1492CB14" w:rsidR="001C34AD" w:rsidRPr="00F6590B" w:rsidRDefault="001C34AD" w:rsidP="00483743">
      <w:pPr>
        <w:spacing w:line="480" w:lineRule="auto"/>
        <w:rPr>
          <w:lang w:val="hr-HR"/>
        </w:rPr>
      </w:pPr>
    </w:p>
    <w:p w14:paraId="4BC6D0D6" w14:textId="6A164470" w:rsidR="001C34AD" w:rsidRPr="00F6590B" w:rsidRDefault="00877EF1" w:rsidP="00483743">
      <w:pPr>
        <w:pStyle w:val="Caption"/>
        <w:spacing w:line="480" w:lineRule="auto"/>
        <w:rPr>
          <w:rFonts w:ascii="Arial" w:hAnsi="Arial" w:cs="Arial"/>
          <w:szCs w:val="24"/>
          <w:lang w:val="hr-HR"/>
        </w:rPr>
      </w:pPr>
      <w:r w:rsidRPr="00F6590B">
        <w:rPr>
          <w:lang w:val="hr-HR"/>
        </w:rPr>
        <w:t xml:space="preserve">Tablica </w:t>
      </w:r>
      <w:r w:rsidR="0019028F" w:rsidRPr="00F6590B">
        <w:rPr>
          <w:lang w:val="hr-HR"/>
        </w:rPr>
        <w:fldChar w:fldCharType="begin"/>
      </w:r>
      <w:r w:rsidR="0019028F" w:rsidRPr="00F6590B">
        <w:rPr>
          <w:lang w:val="hr-HR"/>
        </w:rPr>
        <w:instrText xml:space="preserve"> SEQ Tablica \* ARABIC </w:instrText>
      </w:r>
      <w:r w:rsidR="0019028F" w:rsidRPr="00F6590B">
        <w:rPr>
          <w:lang w:val="hr-HR"/>
        </w:rPr>
        <w:fldChar w:fldCharType="separate"/>
      </w:r>
      <w:r w:rsidR="00D26260" w:rsidRPr="00F6590B">
        <w:rPr>
          <w:lang w:val="hr-HR"/>
        </w:rPr>
        <w:t>5</w:t>
      </w:r>
      <w:r w:rsidR="0019028F" w:rsidRPr="00F6590B">
        <w:rPr>
          <w:lang w:val="hr-HR"/>
        </w:rPr>
        <w:fldChar w:fldCharType="end"/>
      </w:r>
      <w:r w:rsidRPr="00F6590B">
        <w:rPr>
          <w:lang w:val="hr-HR"/>
        </w:rPr>
        <w:t xml:space="preserve">. </w:t>
      </w:r>
      <w:r w:rsidR="00EC2BB8" w:rsidRPr="00F6590B">
        <w:rPr>
          <w:szCs w:val="24"/>
          <w:lang w:val="hr-HR"/>
        </w:rPr>
        <w:t>Rezultati modela s f</w:t>
      </w:r>
      <w:r w:rsidR="001C34AD" w:rsidRPr="00F6590B">
        <w:rPr>
          <w:szCs w:val="24"/>
          <w:lang w:val="hr-HR"/>
        </w:rPr>
        <w:t>iksni</w:t>
      </w:r>
      <w:r w:rsidR="00EC2BB8" w:rsidRPr="00F6590B">
        <w:rPr>
          <w:szCs w:val="24"/>
          <w:lang w:val="hr-HR"/>
        </w:rPr>
        <w:t>m</w:t>
      </w:r>
      <w:r w:rsidR="001C34AD" w:rsidRPr="00F6590B">
        <w:rPr>
          <w:szCs w:val="24"/>
          <w:lang w:val="hr-HR"/>
        </w:rPr>
        <w:t xml:space="preserve"> učinci</w:t>
      </w:r>
      <w:r w:rsidR="00EC2BB8" w:rsidRPr="00F6590B">
        <w:rPr>
          <w:szCs w:val="24"/>
          <w:lang w:val="hr-HR"/>
        </w:rPr>
        <w:t>ma</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7"/>
        <w:gridCol w:w="1103"/>
        <w:gridCol w:w="1207"/>
        <w:gridCol w:w="1208"/>
        <w:gridCol w:w="2841"/>
      </w:tblGrid>
      <w:tr w:rsidR="001C34AD" w:rsidRPr="00F6590B" w14:paraId="07435220" w14:textId="77777777" w:rsidTr="00943451">
        <w:trPr>
          <w:trHeight w:val="225"/>
          <w:jc w:val="center"/>
        </w:trPr>
        <w:tc>
          <w:tcPr>
            <w:tcW w:w="8376" w:type="dxa"/>
            <w:gridSpan w:val="5"/>
            <w:vAlign w:val="center"/>
          </w:tcPr>
          <w:p w14:paraId="3F18395F" w14:textId="77777777" w:rsidR="00EC2BB8" w:rsidRPr="00F6590B" w:rsidRDefault="00EC2BB8"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Specifikacija modela:</w:t>
            </w:r>
          </w:p>
          <w:p w14:paraId="23A6862C" w14:textId="302F5734" w:rsidR="001C34AD" w:rsidRPr="00F6590B" w:rsidRDefault="005D6D81"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i/>
                <w:szCs w:val="24"/>
                <w:lang w:val="hr-HR"/>
              </w:rPr>
              <w:t>lnRIJESENI</w:t>
            </w:r>
            <w:r w:rsidRPr="00F6590B">
              <w:rPr>
                <w:i/>
                <w:szCs w:val="24"/>
                <w:vertAlign w:val="subscript"/>
                <w:lang w:val="hr-HR"/>
              </w:rPr>
              <w:t>it</w:t>
            </w:r>
            <w:proofErr w:type="spellEnd"/>
            <w:r w:rsidRPr="00F6590B">
              <w:rPr>
                <w:i/>
                <w:szCs w:val="24"/>
                <w:lang w:val="hr-HR"/>
              </w:rPr>
              <w:t xml:space="preserve"> = </w:t>
            </w:r>
            <w:r w:rsidRPr="00F6590B">
              <w:rPr>
                <w:szCs w:val="24"/>
                <w:lang w:val="hr-HR"/>
              </w:rPr>
              <w:t>(</w:t>
            </w:r>
            <w:r w:rsidRPr="00F6590B">
              <w:rPr>
                <w:rFonts w:cs="Times New Roman"/>
                <w:i/>
                <w:szCs w:val="24"/>
                <w:lang w:val="hr-HR"/>
              </w:rPr>
              <w:t>α</w:t>
            </w:r>
            <w:r w:rsidRPr="00F6590B">
              <w:rPr>
                <w:rFonts w:cs="Times New Roman"/>
                <w:szCs w:val="24"/>
                <w:lang w:val="hr-HR"/>
              </w:rPr>
              <w:t xml:space="preserve"> </w:t>
            </w:r>
            <w:r w:rsidRPr="00F6590B">
              <w:rPr>
                <w:szCs w:val="24"/>
                <w:lang w:val="hr-HR"/>
              </w:rPr>
              <w:t xml:space="preserve">+ </w:t>
            </w:r>
            <w:proofErr w:type="spellStart"/>
            <w:r w:rsidRPr="00F6590B">
              <w:rPr>
                <w:i/>
                <w:szCs w:val="24"/>
                <w:lang w:val="hr-HR"/>
              </w:rPr>
              <w:t>u</w:t>
            </w:r>
            <w:r w:rsidRPr="00F6590B">
              <w:rPr>
                <w:i/>
                <w:szCs w:val="24"/>
                <w:vertAlign w:val="subscript"/>
                <w:lang w:val="hr-HR"/>
              </w:rPr>
              <w:t>i</w:t>
            </w:r>
            <w:proofErr w:type="spellEnd"/>
            <w:r w:rsidR="00943451" w:rsidRPr="00F6590B">
              <w:rPr>
                <w:szCs w:val="24"/>
                <w:lang w:val="hr-HR"/>
              </w:rPr>
              <w:t xml:space="preserve"> + </w:t>
            </w:r>
            <w:proofErr w:type="spellStart"/>
            <w:r w:rsidR="00943451" w:rsidRPr="00F6590B">
              <w:rPr>
                <w:i/>
                <w:szCs w:val="24"/>
                <w:lang w:val="hr-HR"/>
              </w:rPr>
              <w:t>u</w:t>
            </w:r>
            <w:r w:rsidR="00943451" w:rsidRPr="00F6590B">
              <w:rPr>
                <w:i/>
                <w:szCs w:val="24"/>
                <w:vertAlign w:val="subscript"/>
                <w:lang w:val="hr-HR"/>
              </w:rPr>
              <w:t>t</w:t>
            </w:r>
            <w:proofErr w:type="spellEnd"/>
            <w:r w:rsidR="00943451" w:rsidRPr="00F6590B">
              <w:rPr>
                <w:szCs w:val="24"/>
                <w:lang w:val="hr-HR"/>
              </w:rPr>
              <w:t>)</w:t>
            </w:r>
            <w:r w:rsidRPr="00F6590B">
              <w:rPr>
                <w:szCs w:val="24"/>
                <w:lang w:val="hr-HR"/>
              </w:rPr>
              <w:t xml:space="preserve"> </w:t>
            </w:r>
            <w:r w:rsidRPr="00F6590B">
              <w:rPr>
                <w:i/>
                <w:szCs w:val="24"/>
                <w:lang w:val="hr-HR"/>
              </w:rPr>
              <w:t>+ β</w:t>
            </w:r>
            <w:r w:rsidRPr="00F6590B">
              <w:rPr>
                <w:szCs w:val="24"/>
                <w:vertAlign w:val="subscript"/>
                <w:lang w:val="hr-HR"/>
              </w:rPr>
              <w:t>1</w:t>
            </w:r>
            <w:r w:rsidRPr="00F6590B">
              <w:rPr>
                <w:i/>
                <w:szCs w:val="24"/>
                <w:lang w:val="hr-HR"/>
              </w:rPr>
              <w:t>lnNOVI</w:t>
            </w:r>
            <w:r w:rsidRPr="00F6590B">
              <w:rPr>
                <w:i/>
                <w:szCs w:val="24"/>
                <w:vertAlign w:val="subscript"/>
                <w:lang w:val="hr-HR"/>
              </w:rPr>
              <w:t xml:space="preserve">it </w:t>
            </w:r>
            <w:r w:rsidRPr="00F6590B">
              <w:rPr>
                <w:i/>
                <w:szCs w:val="24"/>
                <w:lang w:val="hr-HR"/>
              </w:rPr>
              <w:t>+ β</w:t>
            </w:r>
            <w:r w:rsidRPr="00F6590B">
              <w:rPr>
                <w:szCs w:val="24"/>
                <w:vertAlign w:val="subscript"/>
                <w:lang w:val="hr-HR"/>
              </w:rPr>
              <w:t>2</w:t>
            </w:r>
            <w:r w:rsidRPr="00F6590B">
              <w:rPr>
                <w:i/>
                <w:szCs w:val="24"/>
                <w:lang w:val="hr-HR"/>
              </w:rPr>
              <w:t>lnSUCI</w:t>
            </w:r>
            <w:r w:rsidRPr="00F6590B">
              <w:rPr>
                <w:i/>
                <w:szCs w:val="24"/>
                <w:vertAlign w:val="subscript"/>
                <w:lang w:val="hr-HR"/>
              </w:rPr>
              <w:t xml:space="preserve">it </w:t>
            </w:r>
            <w:r w:rsidRPr="00F6590B">
              <w:rPr>
                <w:i/>
                <w:szCs w:val="24"/>
                <w:lang w:val="hr-HR"/>
              </w:rPr>
              <w:t xml:space="preserve"> + β</w:t>
            </w:r>
            <w:r w:rsidRPr="00F6590B">
              <w:rPr>
                <w:szCs w:val="24"/>
                <w:vertAlign w:val="subscript"/>
                <w:lang w:val="hr-HR"/>
              </w:rPr>
              <w:t>3</w:t>
            </w:r>
            <w:r w:rsidRPr="00F6590B">
              <w:rPr>
                <w:i/>
                <w:szCs w:val="24"/>
                <w:lang w:val="hr-HR"/>
              </w:rPr>
              <w:t>lnNERIJESENI</w:t>
            </w:r>
            <w:r w:rsidRPr="00F6590B">
              <w:rPr>
                <w:i/>
                <w:szCs w:val="24"/>
                <w:vertAlign w:val="subscript"/>
                <w:lang w:val="hr-HR"/>
              </w:rPr>
              <w:t>it-1</w:t>
            </w:r>
            <w:r w:rsidRPr="00F6590B">
              <w:rPr>
                <w:i/>
                <w:szCs w:val="24"/>
                <w:lang w:val="hr-HR"/>
              </w:rPr>
              <w:t xml:space="preserve"> + v</w:t>
            </w:r>
            <w:r w:rsidRPr="00F6590B">
              <w:rPr>
                <w:i/>
                <w:szCs w:val="24"/>
                <w:vertAlign w:val="subscript"/>
                <w:lang w:val="hr-HR"/>
              </w:rPr>
              <w:t>it</w:t>
            </w:r>
          </w:p>
        </w:tc>
      </w:tr>
      <w:tr w:rsidR="005D6D81" w:rsidRPr="00F6590B" w14:paraId="28949390" w14:textId="77777777" w:rsidTr="00943451">
        <w:trPr>
          <w:trHeight w:val="225"/>
          <w:jc w:val="center"/>
        </w:trPr>
        <w:tc>
          <w:tcPr>
            <w:tcW w:w="2017" w:type="dxa"/>
            <w:tcBorders>
              <w:bottom w:val="double" w:sz="4" w:space="0" w:color="auto"/>
            </w:tcBorders>
            <w:vAlign w:val="center"/>
          </w:tcPr>
          <w:p w14:paraId="354E99B3" w14:textId="6F2649B0" w:rsidR="005D6D81" w:rsidRPr="00F6590B" w:rsidRDefault="005D6D81"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Varijabla</w:t>
            </w:r>
          </w:p>
        </w:tc>
        <w:tc>
          <w:tcPr>
            <w:tcW w:w="1103" w:type="dxa"/>
            <w:tcBorders>
              <w:bottom w:val="double" w:sz="4" w:space="0" w:color="auto"/>
            </w:tcBorders>
            <w:vAlign w:val="center"/>
          </w:tcPr>
          <w:p w14:paraId="236B405F" w14:textId="4D0AF07D"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Koeficijent</w:t>
            </w:r>
          </w:p>
        </w:tc>
        <w:tc>
          <w:tcPr>
            <w:tcW w:w="1207" w:type="dxa"/>
            <w:tcBorders>
              <w:bottom w:val="double" w:sz="4" w:space="0" w:color="auto"/>
            </w:tcBorders>
            <w:vAlign w:val="center"/>
          </w:tcPr>
          <w:p w14:paraId="649135E8" w14:textId="4574256F"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Standardna greška</w:t>
            </w:r>
          </w:p>
        </w:tc>
        <w:tc>
          <w:tcPr>
            <w:tcW w:w="1208" w:type="dxa"/>
            <w:tcBorders>
              <w:bottom w:val="double" w:sz="4" w:space="0" w:color="auto"/>
            </w:tcBorders>
            <w:vAlign w:val="center"/>
          </w:tcPr>
          <w:p w14:paraId="31CDE45E" w14:textId="351B33CE"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t-stat.</w:t>
            </w:r>
          </w:p>
        </w:tc>
        <w:tc>
          <w:tcPr>
            <w:tcW w:w="2841" w:type="dxa"/>
            <w:tcBorders>
              <w:bottom w:val="double" w:sz="4" w:space="0" w:color="auto"/>
            </w:tcBorders>
            <w:vAlign w:val="center"/>
          </w:tcPr>
          <w:p w14:paraId="42BEB0E2" w14:textId="4A384E95"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P-vrijednost</w:t>
            </w:r>
          </w:p>
        </w:tc>
      </w:tr>
      <w:tr w:rsidR="008502A2" w:rsidRPr="00F6590B" w14:paraId="0AE40278" w14:textId="77777777" w:rsidTr="00943451">
        <w:trPr>
          <w:trHeight w:val="225"/>
          <w:jc w:val="center"/>
        </w:trPr>
        <w:tc>
          <w:tcPr>
            <w:tcW w:w="2017" w:type="dxa"/>
            <w:tcBorders>
              <w:top w:val="double" w:sz="4" w:space="0" w:color="auto"/>
            </w:tcBorders>
            <w:vAlign w:val="center"/>
          </w:tcPr>
          <w:p w14:paraId="0F3A4EC9" w14:textId="6028697D" w:rsidR="008502A2" w:rsidRPr="00F6590B" w:rsidRDefault="008502A2"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C</w:t>
            </w:r>
          </w:p>
        </w:tc>
        <w:tc>
          <w:tcPr>
            <w:tcW w:w="1103" w:type="dxa"/>
            <w:tcBorders>
              <w:top w:val="double" w:sz="4" w:space="0" w:color="auto"/>
            </w:tcBorders>
            <w:vAlign w:val="center"/>
          </w:tcPr>
          <w:p w14:paraId="4AED3A2E" w14:textId="18B28114"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-1</w:t>
            </w:r>
            <w:r w:rsidR="00604E4A" w:rsidRPr="00F6590B">
              <w:rPr>
                <w:rFonts w:ascii="Calibri" w:hAnsi="Calibri"/>
                <w:color w:val="000000"/>
                <w:lang w:val="hr-HR"/>
              </w:rPr>
              <w:t>,</w:t>
            </w:r>
            <w:r w:rsidRPr="00F6590B">
              <w:rPr>
                <w:rFonts w:ascii="Calibri" w:hAnsi="Calibri"/>
                <w:color w:val="000000"/>
                <w:lang w:val="hr-HR"/>
              </w:rPr>
              <w:t>694</w:t>
            </w:r>
          </w:p>
        </w:tc>
        <w:tc>
          <w:tcPr>
            <w:tcW w:w="1207" w:type="dxa"/>
            <w:tcBorders>
              <w:top w:val="double" w:sz="4" w:space="0" w:color="auto"/>
            </w:tcBorders>
            <w:vAlign w:val="center"/>
          </w:tcPr>
          <w:p w14:paraId="09DDC34B" w14:textId="3433D517"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723</w:t>
            </w:r>
          </w:p>
        </w:tc>
        <w:tc>
          <w:tcPr>
            <w:tcW w:w="1208" w:type="dxa"/>
            <w:tcBorders>
              <w:top w:val="double" w:sz="4" w:space="0" w:color="auto"/>
            </w:tcBorders>
            <w:vAlign w:val="center"/>
          </w:tcPr>
          <w:p w14:paraId="1B99B9CA" w14:textId="02F6D9FC"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-2</w:t>
            </w:r>
            <w:r w:rsidR="00604E4A" w:rsidRPr="00F6590B">
              <w:rPr>
                <w:rFonts w:ascii="Calibri" w:hAnsi="Calibri"/>
                <w:color w:val="000000"/>
                <w:lang w:val="hr-HR"/>
              </w:rPr>
              <w:t>,</w:t>
            </w:r>
            <w:r w:rsidRPr="00F6590B">
              <w:rPr>
                <w:rFonts w:ascii="Calibri" w:hAnsi="Calibri"/>
                <w:color w:val="000000"/>
                <w:lang w:val="hr-HR"/>
              </w:rPr>
              <w:t>342</w:t>
            </w:r>
          </w:p>
        </w:tc>
        <w:tc>
          <w:tcPr>
            <w:tcW w:w="2841" w:type="dxa"/>
            <w:tcBorders>
              <w:top w:val="double" w:sz="4" w:space="0" w:color="auto"/>
            </w:tcBorders>
            <w:vAlign w:val="center"/>
          </w:tcPr>
          <w:p w14:paraId="73792DEE" w14:textId="71F8A086"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024</w:t>
            </w:r>
          </w:p>
        </w:tc>
      </w:tr>
      <w:tr w:rsidR="008502A2" w:rsidRPr="00F6590B" w14:paraId="757DC448" w14:textId="77777777" w:rsidTr="00943451">
        <w:trPr>
          <w:trHeight w:val="225"/>
          <w:jc w:val="center"/>
        </w:trPr>
        <w:tc>
          <w:tcPr>
            <w:tcW w:w="2017" w:type="dxa"/>
            <w:vAlign w:val="center"/>
          </w:tcPr>
          <w:p w14:paraId="683F6492" w14:textId="6239FB39" w:rsidR="008502A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008502A2" w:rsidRPr="00F6590B">
              <w:rPr>
                <w:rFonts w:asciiTheme="minorHAnsi" w:hAnsiTheme="minorHAnsi" w:cs="Arial"/>
                <w:color w:val="000000"/>
                <w:szCs w:val="24"/>
                <w:lang w:val="hr-HR"/>
              </w:rPr>
              <w:t>(NOVI)</w:t>
            </w:r>
          </w:p>
        </w:tc>
        <w:tc>
          <w:tcPr>
            <w:tcW w:w="1103" w:type="dxa"/>
            <w:vAlign w:val="center"/>
          </w:tcPr>
          <w:p w14:paraId="630230F8" w14:textId="4A2A2C4B"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783</w:t>
            </w:r>
          </w:p>
        </w:tc>
        <w:tc>
          <w:tcPr>
            <w:tcW w:w="1207" w:type="dxa"/>
            <w:vAlign w:val="center"/>
          </w:tcPr>
          <w:p w14:paraId="661D8491" w14:textId="37E723C2"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058</w:t>
            </w:r>
          </w:p>
        </w:tc>
        <w:tc>
          <w:tcPr>
            <w:tcW w:w="1208" w:type="dxa"/>
            <w:vAlign w:val="center"/>
          </w:tcPr>
          <w:p w14:paraId="15738CCA" w14:textId="5A08FC73"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13</w:t>
            </w:r>
            <w:r w:rsidR="00604E4A" w:rsidRPr="00F6590B">
              <w:rPr>
                <w:rFonts w:ascii="Calibri" w:hAnsi="Calibri"/>
                <w:color w:val="000000"/>
                <w:lang w:val="hr-HR"/>
              </w:rPr>
              <w:t>,</w:t>
            </w:r>
            <w:r w:rsidRPr="00F6590B">
              <w:rPr>
                <w:rFonts w:ascii="Calibri" w:hAnsi="Calibri"/>
                <w:color w:val="000000"/>
                <w:lang w:val="hr-HR"/>
              </w:rPr>
              <w:t>456</w:t>
            </w:r>
          </w:p>
        </w:tc>
        <w:tc>
          <w:tcPr>
            <w:tcW w:w="2841" w:type="dxa"/>
            <w:vAlign w:val="center"/>
          </w:tcPr>
          <w:p w14:paraId="0CECDA42" w14:textId="433B9CB8"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r w:rsidR="008502A2" w:rsidRPr="00F6590B" w14:paraId="4F63517D" w14:textId="77777777" w:rsidTr="00943451">
        <w:trPr>
          <w:trHeight w:val="225"/>
          <w:jc w:val="center"/>
        </w:trPr>
        <w:tc>
          <w:tcPr>
            <w:tcW w:w="2017" w:type="dxa"/>
            <w:vAlign w:val="center"/>
          </w:tcPr>
          <w:p w14:paraId="74DFE1BC" w14:textId="07C16DF0" w:rsidR="008502A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008502A2" w:rsidRPr="00F6590B">
              <w:rPr>
                <w:rFonts w:asciiTheme="minorHAnsi" w:hAnsiTheme="minorHAnsi" w:cs="Arial"/>
                <w:color w:val="000000"/>
                <w:szCs w:val="24"/>
                <w:lang w:val="hr-HR"/>
              </w:rPr>
              <w:t>(SUCI)</w:t>
            </w:r>
          </w:p>
        </w:tc>
        <w:tc>
          <w:tcPr>
            <w:tcW w:w="1103" w:type="dxa"/>
            <w:vAlign w:val="center"/>
          </w:tcPr>
          <w:p w14:paraId="4BE3D292" w14:textId="261D42AD"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126</w:t>
            </w:r>
          </w:p>
        </w:tc>
        <w:tc>
          <w:tcPr>
            <w:tcW w:w="1207" w:type="dxa"/>
            <w:vAlign w:val="center"/>
          </w:tcPr>
          <w:p w14:paraId="7E120CD1" w14:textId="791B4DBE"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254</w:t>
            </w:r>
          </w:p>
        </w:tc>
        <w:tc>
          <w:tcPr>
            <w:tcW w:w="1208" w:type="dxa"/>
            <w:vAlign w:val="center"/>
          </w:tcPr>
          <w:p w14:paraId="1582AFB4" w14:textId="520BD0C0"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497</w:t>
            </w:r>
          </w:p>
        </w:tc>
        <w:tc>
          <w:tcPr>
            <w:tcW w:w="2841" w:type="dxa"/>
            <w:vAlign w:val="center"/>
          </w:tcPr>
          <w:p w14:paraId="519B56F2" w14:textId="7C871072"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622</w:t>
            </w:r>
          </w:p>
        </w:tc>
      </w:tr>
      <w:tr w:rsidR="008502A2" w:rsidRPr="00F6590B" w14:paraId="4043B8AD" w14:textId="77777777" w:rsidTr="00943451">
        <w:trPr>
          <w:trHeight w:val="225"/>
          <w:jc w:val="center"/>
        </w:trPr>
        <w:tc>
          <w:tcPr>
            <w:tcW w:w="2017" w:type="dxa"/>
            <w:tcBorders>
              <w:bottom w:val="double" w:sz="4" w:space="0" w:color="auto"/>
            </w:tcBorders>
            <w:vAlign w:val="center"/>
          </w:tcPr>
          <w:p w14:paraId="3039FE81" w14:textId="66C816ED" w:rsidR="008502A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008502A2" w:rsidRPr="00F6590B">
              <w:rPr>
                <w:rFonts w:asciiTheme="minorHAnsi" w:hAnsiTheme="minorHAnsi" w:cs="Arial"/>
                <w:color w:val="000000"/>
                <w:szCs w:val="24"/>
                <w:lang w:val="hr-HR"/>
              </w:rPr>
              <w:t>(NERIJESENI(-1))</w:t>
            </w:r>
          </w:p>
        </w:tc>
        <w:tc>
          <w:tcPr>
            <w:tcW w:w="1103" w:type="dxa"/>
            <w:tcBorders>
              <w:bottom w:val="double" w:sz="4" w:space="0" w:color="auto"/>
            </w:tcBorders>
            <w:vAlign w:val="center"/>
          </w:tcPr>
          <w:p w14:paraId="3BE56964" w14:textId="560C3299"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501</w:t>
            </w:r>
          </w:p>
        </w:tc>
        <w:tc>
          <w:tcPr>
            <w:tcW w:w="1207" w:type="dxa"/>
            <w:tcBorders>
              <w:bottom w:val="double" w:sz="4" w:space="0" w:color="auto"/>
            </w:tcBorders>
            <w:vAlign w:val="center"/>
          </w:tcPr>
          <w:p w14:paraId="6B08E297" w14:textId="28FD818D"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059</w:t>
            </w:r>
          </w:p>
        </w:tc>
        <w:tc>
          <w:tcPr>
            <w:tcW w:w="1208" w:type="dxa"/>
            <w:tcBorders>
              <w:bottom w:val="double" w:sz="4" w:space="0" w:color="auto"/>
            </w:tcBorders>
            <w:vAlign w:val="center"/>
          </w:tcPr>
          <w:p w14:paraId="4EE99CB6" w14:textId="1302C843"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8</w:t>
            </w:r>
            <w:r w:rsidR="00604E4A" w:rsidRPr="00F6590B">
              <w:rPr>
                <w:rFonts w:ascii="Calibri" w:hAnsi="Calibri"/>
                <w:color w:val="000000"/>
                <w:lang w:val="hr-HR"/>
              </w:rPr>
              <w:t>,</w:t>
            </w:r>
            <w:r w:rsidRPr="00F6590B">
              <w:rPr>
                <w:rFonts w:ascii="Calibri" w:hAnsi="Calibri"/>
                <w:color w:val="000000"/>
                <w:lang w:val="hr-HR"/>
              </w:rPr>
              <w:t>487</w:t>
            </w:r>
          </w:p>
        </w:tc>
        <w:tc>
          <w:tcPr>
            <w:tcW w:w="2841" w:type="dxa"/>
            <w:tcBorders>
              <w:bottom w:val="double" w:sz="4" w:space="0" w:color="auto"/>
            </w:tcBorders>
            <w:vAlign w:val="center"/>
          </w:tcPr>
          <w:p w14:paraId="732DD4A5" w14:textId="062B6AE7" w:rsidR="008502A2" w:rsidRPr="00F6590B" w:rsidRDefault="008502A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r w:rsidR="00EC2BB8" w:rsidRPr="00F6590B" w14:paraId="449989C3" w14:textId="77777777" w:rsidTr="00943451">
        <w:trPr>
          <w:trHeight w:val="225"/>
          <w:jc w:val="center"/>
        </w:trPr>
        <w:tc>
          <w:tcPr>
            <w:tcW w:w="2017" w:type="dxa"/>
            <w:tcBorders>
              <w:top w:val="double" w:sz="4" w:space="0" w:color="auto"/>
            </w:tcBorders>
            <w:vAlign w:val="center"/>
          </w:tcPr>
          <w:p w14:paraId="181E6D3E" w14:textId="53E6164B" w:rsidR="00EC2BB8" w:rsidRPr="00F6590B" w:rsidRDefault="00EC2BB8"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R</w:t>
            </w:r>
            <w:r w:rsidRPr="00F6590B">
              <w:rPr>
                <w:rFonts w:asciiTheme="minorHAnsi" w:hAnsiTheme="minorHAnsi" w:cs="Arial"/>
                <w:color w:val="000000"/>
                <w:szCs w:val="24"/>
                <w:vertAlign w:val="superscript"/>
                <w:lang w:val="hr-HR"/>
              </w:rPr>
              <w:t>2</w:t>
            </w:r>
          </w:p>
        </w:tc>
        <w:tc>
          <w:tcPr>
            <w:tcW w:w="1103" w:type="dxa"/>
            <w:tcBorders>
              <w:top w:val="double" w:sz="4" w:space="0" w:color="auto"/>
            </w:tcBorders>
            <w:vAlign w:val="center"/>
          </w:tcPr>
          <w:p w14:paraId="6251949A" w14:textId="7C48DFC2" w:rsidR="00EC2BB8" w:rsidRPr="00F6590B" w:rsidRDefault="00EC2BB8"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971</w:t>
            </w:r>
          </w:p>
        </w:tc>
        <w:tc>
          <w:tcPr>
            <w:tcW w:w="2415" w:type="dxa"/>
            <w:gridSpan w:val="2"/>
            <w:tcBorders>
              <w:top w:val="double" w:sz="4" w:space="0" w:color="auto"/>
            </w:tcBorders>
            <w:vAlign w:val="center"/>
          </w:tcPr>
          <w:p w14:paraId="6EBEB0CF" w14:textId="51125B16" w:rsidR="00EC2BB8" w:rsidRPr="00F6590B" w:rsidRDefault="00EC2BB8" w:rsidP="00483743">
            <w:pPr>
              <w:autoSpaceDE w:val="0"/>
              <w:autoSpaceDN w:val="0"/>
              <w:adjustRightInd w:val="0"/>
              <w:spacing w:line="240" w:lineRule="auto"/>
              <w:ind w:right="10"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Stand</w:t>
            </w:r>
            <w:proofErr w:type="spellEnd"/>
            <w:r w:rsidRPr="00F6590B">
              <w:rPr>
                <w:rFonts w:asciiTheme="minorHAnsi" w:hAnsiTheme="minorHAnsi" w:cs="Arial"/>
                <w:color w:val="000000"/>
                <w:szCs w:val="24"/>
                <w:lang w:val="hr-HR"/>
              </w:rPr>
              <w:t>. greška regresije</w:t>
            </w:r>
          </w:p>
        </w:tc>
        <w:tc>
          <w:tcPr>
            <w:tcW w:w="2841" w:type="dxa"/>
            <w:tcBorders>
              <w:top w:val="double" w:sz="4" w:space="0" w:color="auto"/>
            </w:tcBorders>
            <w:vAlign w:val="center"/>
          </w:tcPr>
          <w:p w14:paraId="0B332831" w14:textId="02A55CBC" w:rsidR="00EC2BB8" w:rsidRPr="00F6590B" w:rsidRDefault="00EC2BB8"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173</w:t>
            </w:r>
          </w:p>
        </w:tc>
      </w:tr>
      <w:tr w:rsidR="005D6D81" w:rsidRPr="00F6590B" w14:paraId="2F13C691" w14:textId="77777777" w:rsidTr="00943451">
        <w:trPr>
          <w:trHeight w:val="225"/>
          <w:jc w:val="center"/>
        </w:trPr>
        <w:tc>
          <w:tcPr>
            <w:tcW w:w="2017" w:type="dxa"/>
            <w:vMerge w:val="restart"/>
            <w:vAlign w:val="center"/>
          </w:tcPr>
          <w:p w14:paraId="5146CCE3" w14:textId="2FDA6AC0" w:rsidR="005D6D81" w:rsidRPr="00F6590B" w:rsidRDefault="005D6D81"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Korigirani R</w:t>
            </w:r>
            <w:r w:rsidRPr="00F6590B">
              <w:rPr>
                <w:rFonts w:asciiTheme="minorHAnsi" w:hAnsiTheme="minorHAnsi" w:cs="Arial"/>
                <w:color w:val="000000"/>
                <w:szCs w:val="24"/>
                <w:vertAlign w:val="superscript"/>
                <w:lang w:val="hr-HR"/>
              </w:rPr>
              <w:t>2</w:t>
            </w:r>
          </w:p>
        </w:tc>
        <w:tc>
          <w:tcPr>
            <w:tcW w:w="1103" w:type="dxa"/>
            <w:vMerge w:val="restart"/>
            <w:vAlign w:val="center"/>
          </w:tcPr>
          <w:p w14:paraId="242F1282" w14:textId="78E49DC0"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959</w:t>
            </w:r>
          </w:p>
        </w:tc>
        <w:tc>
          <w:tcPr>
            <w:tcW w:w="2415" w:type="dxa"/>
            <w:gridSpan w:val="2"/>
            <w:vAlign w:val="center"/>
          </w:tcPr>
          <w:p w14:paraId="3CE5CA3C" w14:textId="1C88E717"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F-stat.</w:t>
            </w:r>
          </w:p>
        </w:tc>
        <w:tc>
          <w:tcPr>
            <w:tcW w:w="2841" w:type="dxa"/>
            <w:vAlign w:val="center"/>
          </w:tcPr>
          <w:p w14:paraId="5E38409E" w14:textId="56494354"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80</w:t>
            </w:r>
            <w:r w:rsidR="00604E4A" w:rsidRPr="00F6590B">
              <w:rPr>
                <w:rFonts w:ascii="Calibri" w:hAnsi="Calibri"/>
                <w:color w:val="000000"/>
                <w:lang w:val="hr-HR"/>
              </w:rPr>
              <w:t>,</w:t>
            </w:r>
            <w:r w:rsidRPr="00F6590B">
              <w:rPr>
                <w:rFonts w:ascii="Calibri" w:hAnsi="Calibri"/>
                <w:color w:val="000000"/>
                <w:lang w:val="hr-HR"/>
              </w:rPr>
              <w:t>793</w:t>
            </w:r>
          </w:p>
        </w:tc>
      </w:tr>
      <w:tr w:rsidR="005D6D81" w:rsidRPr="00F6590B" w14:paraId="21994BD1" w14:textId="77777777" w:rsidTr="00943451">
        <w:trPr>
          <w:trHeight w:val="225"/>
          <w:jc w:val="center"/>
        </w:trPr>
        <w:tc>
          <w:tcPr>
            <w:tcW w:w="2017" w:type="dxa"/>
            <w:vMerge/>
            <w:vAlign w:val="center"/>
          </w:tcPr>
          <w:p w14:paraId="24B561FF" w14:textId="4BAAE3EE" w:rsidR="005D6D81" w:rsidRPr="00F6590B" w:rsidRDefault="005D6D81" w:rsidP="00483743">
            <w:pPr>
              <w:autoSpaceDE w:val="0"/>
              <w:autoSpaceDN w:val="0"/>
              <w:adjustRightInd w:val="0"/>
              <w:spacing w:line="240" w:lineRule="auto"/>
              <w:ind w:firstLine="0"/>
              <w:jc w:val="center"/>
              <w:rPr>
                <w:rFonts w:asciiTheme="minorHAnsi" w:hAnsiTheme="minorHAnsi" w:cs="Arial"/>
                <w:color w:val="000000"/>
                <w:szCs w:val="24"/>
                <w:lang w:val="hr-HR"/>
              </w:rPr>
            </w:pPr>
          </w:p>
        </w:tc>
        <w:tc>
          <w:tcPr>
            <w:tcW w:w="1103" w:type="dxa"/>
            <w:vMerge/>
            <w:vAlign w:val="center"/>
          </w:tcPr>
          <w:p w14:paraId="5D7D4BC0" w14:textId="151B196B"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p>
        </w:tc>
        <w:tc>
          <w:tcPr>
            <w:tcW w:w="2415" w:type="dxa"/>
            <w:gridSpan w:val="2"/>
            <w:vAlign w:val="center"/>
          </w:tcPr>
          <w:p w14:paraId="2ACFF5F8" w14:textId="2B36EE88"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P (F-stat.)</w:t>
            </w:r>
          </w:p>
        </w:tc>
        <w:tc>
          <w:tcPr>
            <w:tcW w:w="2841" w:type="dxa"/>
            <w:vAlign w:val="center"/>
          </w:tcPr>
          <w:p w14:paraId="55D9DA51" w14:textId="0DF49439" w:rsidR="005D6D81" w:rsidRPr="00F6590B" w:rsidRDefault="005D6D81"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r w:rsidR="00EC2BB8" w:rsidRPr="00F6590B" w14:paraId="59F02385" w14:textId="77777777" w:rsidTr="00943451">
        <w:trPr>
          <w:trHeight w:val="225"/>
          <w:jc w:val="center"/>
        </w:trPr>
        <w:tc>
          <w:tcPr>
            <w:tcW w:w="8376" w:type="dxa"/>
            <w:gridSpan w:val="5"/>
            <w:vAlign w:val="bottom"/>
          </w:tcPr>
          <w:p w14:paraId="4837C0D4" w14:textId="2EBDEE6C" w:rsidR="00EC2BB8" w:rsidRPr="00F6590B" w:rsidRDefault="00EC2BB8" w:rsidP="00483743">
            <w:pPr>
              <w:pStyle w:val="ListParagraph"/>
              <w:numPr>
                <w:ilvl w:val="0"/>
                <w:numId w:val="9"/>
              </w:numPr>
              <w:autoSpaceDE w:val="0"/>
              <w:autoSpaceDN w:val="0"/>
              <w:adjustRightInd w:val="0"/>
              <w:spacing w:line="240" w:lineRule="auto"/>
              <w:ind w:right="10"/>
              <w:jc w:val="left"/>
              <w:rPr>
                <w:rFonts w:asciiTheme="minorHAnsi" w:hAnsiTheme="minorHAnsi" w:cs="Arial"/>
                <w:color w:val="000000"/>
                <w:szCs w:val="24"/>
                <w:lang w:val="hr-HR"/>
              </w:rPr>
            </w:pPr>
            <w:r w:rsidRPr="00F6590B">
              <w:rPr>
                <w:rFonts w:asciiTheme="minorHAnsi" w:hAnsiTheme="minorHAnsi" w:cs="Arial"/>
                <w:color w:val="000000"/>
                <w:szCs w:val="24"/>
                <w:lang w:val="hr-HR"/>
              </w:rPr>
              <w:t xml:space="preserve">Fiksni učinci </w:t>
            </w:r>
            <w:r w:rsidR="00742DC9" w:rsidRPr="00F6590B">
              <w:rPr>
                <w:rFonts w:asciiTheme="minorHAnsi" w:hAnsiTheme="minorHAnsi" w:cs="Arial"/>
                <w:color w:val="000000"/>
                <w:szCs w:val="24"/>
                <w:lang w:val="hr-HR"/>
              </w:rPr>
              <w:t>sudova</w:t>
            </w:r>
            <w:r w:rsidR="002D65D5" w:rsidRPr="00F6590B">
              <w:rPr>
                <w:rFonts w:asciiTheme="minorHAnsi" w:hAnsiTheme="minorHAnsi" w:cs="Arial"/>
                <w:color w:val="000000"/>
                <w:szCs w:val="24"/>
                <w:lang w:val="hr-HR"/>
              </w:rPr>
              <w:t xml:space="preserve"> </w:t>
            </w:r>
            <w:r w:rsidRPr="00F6590B">
              <w:rPr>
                <w:rFonts w:asciiTheme="minorHAnsi" w:hAnsiTheme="minorHAnsi" w:cs="Arial"/>
                <w:color w:val="000000"/>
                <w:szCs w:val="24"/>
                <w:lang w:val="hr-HR"/>
              </w:rPr>
              <w:t>(</w:t>
            </w:r>
            <w:proofErr w:type="spellStart"/>
            <w:r w:rsidRPr="00F6590B">
              <w:rPr>
                <w:rFonts w:asciiTheme="minorHAnsi" w:hAnsiTheme="minorHAnsi" w:cs="Arial"/>
                <w:i/>
                <w:color w:val="000000"/>
                <w:szCs w:val="24"/>
                <w:lang w:val="hr-HR"/>
              </w:rPr>
              <w:t>dummy</w:t>
            </w:r>
            <w:proofErr w:type="spellEnd"/>
            <w:r w:rsidRPr="00F6590B">
              <w:rPr>
                <w:rFonts w:asciiTheme="minorHAnsi" w:hAnsiTheme="minorHAnsi" w:cs="Arial"/>
                <w:color w:val="000000"/>
                <w:szCs w:val="24"/>
                <w:lang w:val="hr-HR"/>
              </w:rPr>
              <w:t xml:space="preserve"> varijable)</w:t>
            </w:r>
          </w:p>
          <w:p w14:paraId="723F5AC7" w14:textId="506D57E4" w:rsidR="00EC2BB8" w:rsidRPr="00F6590B" w:rsidRDefault="00EC2BB8" w:rsidP="00483743">
            <w:pPr>
              <w:pStyle w:val="ListParagraph"/>
              <w:numPr>
                <w:ilvl w:val="0"/>
                <w:numId w:val="9"/>
              </w:numPr>
              <w:autoSpaceDE w:val="0"/>
              <w:autoSpaceDN w:val="0"/>
              <w:adjustRightInd w:val="0"/>
              <w:spacing w:line="240" w:lineRule="auto"/>
              <w:ind w:right="10"/>
              <w:jc w:val="left"/>
              <w:rPr>
                <w:rFonts w:asciiTheme="minorHAnsi" w:hAnsiTheme="minorHAnsi" w:cs="Arial"/>
                <w:color w:val="000000"/>
                <w:szCs w:val="24"/>
                <w:lang w:val="hr-HR"/>
              </w:rPr>
            </w:pPr>
            <w:r w:rsidRPr="00F6590B">
              <w:rPr>
                <w:rFonts w:asciiTheme="minorHAnsi" w:hAnsiTheme="minorHAnsi" w:cs="Arial"/>
                <w:color w:val="000000"/>
                <w:szCs w:val="24"/>
                <w:lang w:val="hr-HR"/>
              </w:rPr>
              <w:t xml:space="preserve">Fiksni učinci </w:t>
            </w:r>
            <w:r w:rsidR="00742DC9" w:rsidRPr="00F6590B">
              <w:rPr>
                <w:rFonts w:asciiTheme="minorHAnsi" w:hAnsiTheme="minorHAnsi" w:cs="Arial"/>
                <w:color w:val="000000"/>
                <w:szCs w:val="24"/>
                <w:lang w:val="hr-HR"/>
              </w:rPr>
              <w:t>vremenskih</w:t>
            </w:r>
            <w:r w:rsidRPr="00F6590B">
              <w:rPr>
                <w:rFonts w:asciiTheme="minorHAnsi" w:hAnsiTheme="minorHAnsi" w:cs="Arial"/>
                <w:color w:val="000000"/>
                <w:szCs w:val="24"/>
                <w:lang w:val="hr-HR"/>
              </w:rPr>
              <w:t xml:space="preserve"> razdoblja</w:t>
            </w:r>
            <w:r w:rsidR="002D65D5" w:rsidRPr="00F6590B">
              <w:rPr>
                <w:rFonts w:asciiTheme="minorHAnsi" w:hAnsiTheme="minorHAnsi" w:cs="Arial"/>
                <w:color w:val="000000"/>
                <w:szCs w:val="24"/>
                <w:lang w:val="hr-HR"/>
              </w:rPr>
              <w:t xml:space="preserve"> </w:t>
            </w:r>
            <w:r w:rsidRPr="00F6590B">
              <w:rPr>
                <w:rFonts w:asciiTheme="minorHAnsi" w:hAnsiTheme="minorHAnsi" w:cs="Arial"/>
                <w:color w:val="000000"/>
                <w:szCs w:val="24"/>
                <w:lang w:val="hr-HR"/>
              </w:rPr>
              <w:t>(</w:t>
            </w:r>
            <w:proofErr w:type="spellStart"/>
            <w:r w:rsidRPr="00F6590B">
              <w:rPr>
                <w:rFonts w:asciiTheme="minorHAnsi" w:hAnsiTheme="minorHAnsi" w:cs="Arial"/>
                <w:i/>
                <w:color w:val="000000"/>
                <w:szCs w:val="24"/>
                <w:lang w:val="hr-HR"/>
              </w:rPr>
              <w:t>dummy</w:t>
            </w:r>
            <w:proofErr w:type="spellEnd"/>
            <w:r w:rsidRPr="00F6590B">
              <w:rPr>
                <w:rFonts w:asciiTheme="minorHAnsi" w:hAnsiTheme="minorHAnsi" w:cs="Arial"/>
                <w:color w:val="000000"/>
                <w:szCs w:val="24"/>
                <w:lang w:val="hr-HR"/>
              </w:rPr>
              <w:t xml:space="preserve"> varijable)</w:t>
            </w:r>
          </w:p>
          <w:p w14:paraId="02824079" w14:textId="5721A0F2" w:rsidR="00EC2BB8" w:rsidRPr="00F6590B" w:rsidRDefault="00EC2BB8" w:rsidP="00483743">
            <w:pPr>
              <w:pStyle w:val="ListParagraph"/>
              <w:numPr>
                <w:ilvl w:val="0"/>
                <w:numId w:val="9"/>
              </w:numPr>
              <w:autoSpaceDE w:val="0"/>
              <w:autoSpaceDN w:val="0"/>
              <w:adjustRightInd w:val="0"/>
              <w:spacing w:line="240" w:lineRule="auto"/>
              <w:ind w:right="10"/>
              <w:jc w:val="left"/>
              <w:rPr>
                <w:rFonts w:asciiTheme="minorHAnsi" w:hAnsiTheme="minorHAnsi" w:cs="Arial"/>
                <w:color w:val="000000"/>
                <w:szCs w:val="24"/>
                <w:lang w:val="hr-HR"/>
              </w:rPr>
            </w:pPr>
            <w:r w:rsidRPr="00F6590B">
              <w:rPr>
                <w:rFonts w:asciiTheme="minorHAnsi" w:hAnsiTheme="minorHAnsi" w:cs="Arial"/>
                <w:color w:val="000000"/>
                <w:szCs w:val="24"/>
                <w:lang w:val="hr-HR"/>
              </w:rPr>
              <w:t>Standardne greške i kovarijanca konzistentne s obzirom na heteroskedastičnost</w:t>
            </w:r>
            <w:r w:rsidR="00E51BB1" w:rsidRPr="00F6590B">
              <w:rPr>
                <w:rFonts w:asciiTheme="minorHAnsi" w:hAnsiTheme="minorHAnsi" w:cs="Arial"/>
                <w:color w:val="000000"/>
                <w:szCs w:val="24"/>
                <w:lang w:val="hr-HR"/>
              </w:rPr>
              <w:t xml:space="preserve"> (White), korigirano za stupnjeve slobode</w:t>
            </w:r>
          </w:p>
        </w:tc>
      </w:tr>
    </w:tbl>
    <w:p w14:paraId="5EBC92FF" w14:textId="0BCF0655"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1F39E400" w14:textId="6BA45224" w:rsidR="001C34AD" w:rsidRPr="00F6590B" w:rsidRDefault="001C34AD" w:rsidP="00483743">
      <w:pPr>
        <w:spacing w:line="480" w:lineRule="auto"/>
        <w:rPr>
          <w:szCs w:val="24"/>
          <w:lang w:val="hr-HR"/>
        </w:rPr>
      </w:pPr>
    </w:p>
    <w:p w14:paraId="02158713" w14:textId="3126A6A5" w:rsidR="002702D6" w:rsidRPr="00F6590B" w:rsidRDefault="00E83E57" w:rsidP="00483743">
      <w:pPr>
        <w:spacing w:line="480" w:lineRule="auto"/>
        <w:rPr>
          <w:szCs w:val="24"/>
          <w:lang w:val="hr-HR"/>
        </w:rPr>
      </w:pPr>
      <w:r w:rsidRPr="00F6590B">
        <w:rPr>
          <w:szCs w:val="24"/>
          <w:lang w:val="hr-HR"/>
        </w:rPr>
        <w:t>Testovi redundancije fiksnih učinaka pokazuj</w:t>
      </w:r>
      <w:r w:rsidR="002A24CF" w:rsidRPr="00F6590B">
        <w:rPr>
          <w:szCs w:val="24"/>
          <w:lang w:val="hr-HR"/>
        </w:rPr>
        <w:t>u</w:t>
      </w:r>
      <w:r w:rsidRPr="00F6590B">
        <w:rPr>
          <w:szCs w:val="24"/>
          <w:lang w:val="hr-HR"/>
        </w:rPr>
        <w:t xml:space="preserve"> kako se s visokim stupnjem statističke sigurnosti može odbaciti hipoteza kako su fiksni učinci i sudova i vremenskih razdoblja suvišni</w:t>
      </w:r>
      <w:r w:rsidR="002A24CF" w:rsidRPr="00F6590B">
        <w:rPr>
          <w:szCs w:val="24"/>
          <w:lang w:val="hr-HR"/>
        </w:rPr>
        <w:t xml:space="preserve"> (tabli</w:t>
      </w:r>
      <w:r w:rsidR="00313EEF" w:rsidRPr="00F6590B">
        <w:rPr>
          <w:szCs w:val="24"/>
          <w:lang w:val="hr-HR"/>
        </w:rPr>
        <w:t xml:space="preserve">ca </w:t>
      </w:r>
      <w:r w:rsidR="00D26260" w:rsidRPr="00F6590B">
        <w:rPr>
          <w:szCs w:val="24"/>
          <w:lang w:val="hr-HR"/>
        </w:rPr>
        <w:t>6</w:t>
      </w:r>
      <w:r w:rsidR="00313EEF" w:rsidRPr="00F6590B">
        <w:rPr>
          <w:szCs w:val="24"/>
          <w:lang w:val="hr-HR"/>
        </w:rPr>
        <w:t>.). Drugim riječima,</w:t>
      </w:r>
      <w:r w:rsidR="002A24CF" w:rsidRPr="00F6590B">
        <w:rPr>
          <w:szCs w:val="24"/>
          <w:lang w:val="hr-HR"/>
        </w:rPr>
        <w:t xml:space="preserve"> </w:t>
      </w:r>
      <w:r w:rsidR="00313EEF" w:rsidRPr="00F6590B">
        <w:rPr>
          <w:szCs w:val="24"/>
          <w:lang w:val="hr-HR"/>
        </w:rPr>
        <w:t xml:space="preserve">ovi rezultati pokazuju kako je </w:t>
      </w:r>
      <w:r w:rsidR="002A24CF" w:rsidRPr="00F6590B">
        <w:rPr>
          <w:szCs w:val="24"/>
          <w:lang w:val="hr-HR"/>
        </w:rPr>
        <w:t xml:space="preserve">model s fiksnim učincima </w:t>
      </w:r>
      <w:r w:rsidR="00D06778" w:rsidRPr="00F6590B">
        <w:rPr>
          <w:szCs w:val="24"/>
          <w:lang w:val="hr-HR"/>
        </w:rPr>
        <w:t xml:space="preserve">(i za sudove, i za vremenska razdoblja) </w:t>
      </w:r>
      <w:r w:rsidR="00313EEF" w:rsidRPr="00F6590B">
        <w:rPr>
          <w:szCs w:val="24"/>
          <w:lang w:val="hr-HR"/>
        </w:rPr>
        <w:t>prikladniji</w:t>
      </w:r>
      <w:r w:rsidR="002A24CF" w:rsidRPr="00F6590B">
        <w:rPr>
          <w:szCs w:val="24"/>
          <w:lang w:val="hr-HR"/>
        </w:rPr>
        <w:t xml:space="preserve"> od </w:t>
      </w:r>
      <w:proofErr w:type="spellStart"/>
      <w:r w:rsidR="002A24CF" w:rsidRPr="00F6590B">
        <w:rPr>
          <w:i/>
          <w:szCs w:val="24"/>
          <w:lang w:val="hr-HR"/>
        </w:rPr>
        <w:t>pooled</w:t>
      </w:r>
      <w:proofErr w:type="spellEnd"/>
      <w:r w:rsidR="002A24CF" w:rsidRPr="00F6590B">
        <w:rPr>
          <w:i/>
          <w:szCs w:val="24"/>
          <w:lang w:val="hr-HR"/>
        </w:rPr>
        <w:t xml:space="preserve"> OLS</w:t>
      </w:r>
      <w:r w:rsidR="002A24CF" w:rsidRPr="00F6590B">
        <w:rPr>
          <w:szCs w:val="24"/>
          <w:lang w:val="hr-HR"/>
        </w:rPr>
        <w:t xml:space="preserve"> modela</w:t>
      </w:r>
      <w:r w:rsidRPr="00F6590B">
        <w:rPr>
          <w:szCs w:val="24"/>
          <w:lang w:val="hr-HR"/>
        </w:rPr>
        <w:t>.</w:t>
      </w:r>
    </w:p>
    <w:p w14:paraId="0151936F" w14:textId="77777777" w:rsidR="002702D6" w:rsidRPr="00F6590B" w:rsidRDefault="002702D6" w:rsidP="00483743">
      <w:pPr>
        <w:spacing w:line="480" w:lineRule="auto"/>
        <w:rPr>
          <w:szCs w:val="24"/>
          <w:lang w:val="hr-HR"/>
        </w:rPr>
      </w:pPr>
    </w:p>
    <w:p w14:paraId="5178B2C7" w14:textId="2294584D" w:rsidR="001C34AD" w:rsidRPr="00F6590B" w:rsidRDefault="00877EF1" w:rsidP="00483743">
      <w:pPr>
        <w:pStyle w:val="Caption"/>
        <w:spacing w:line="480" w:lineRule="auto"/>
        <w:rPr>
          <w:szCs w:val="24"/>
          <w:lang w:val="hr-HR"/>
        </w:rPr>
      </w:pPr>
      <w:r w:rsidRPr="00F6590B">
        <w:rPr>
          <w:lang w:val="hr-HR"/>
        </w:rPr>
        <w:t xml:space="preserve">Tablica </w:t>
      </w:r>
      <w:r w:rsidR="0019028F" w:rsidRPr="00F6590B">
        <w:rPr>
          <w:lang w:val="hr-HR"/>
        </w:rPr>
        <w:fldChar w:fldCharType="begin"/>
      </w:r>
      <w:r w:rsidR="0019028F" w:rsidRPr="00F6590B">
        <w:rPr>
          <w:lang w:val="hr-HR"/>
        </w:rPr>
        <w:instrText xml:space="preserve"> SEQ Tablica \* ARABIC </w:instrText>
      </w:r>
      <w:r w:rsidR="0019028F" w:rsidRPr="00F6590B">
        <w:rPr>
          <w:lang w:val="hr-HR"/>
        </w:rPr>
        <w:fldChar w:fldCharType="separate"/>
      </w:r>
      <w:r w:rsidR="00D26260" w:rsidRPr="00F6590B">
        <w:rPr>
          <w:lang w:val="hr-HR"/>
        </w:rPr>
        <w:t>6</w:t>
      </w:r>
      <w:r w:rsidR="0019028F" w:rsidRPr="00F6590B">
        <w:rPr>
          <w:lang w:val="hr-HR"/>
        </w:rPr>
        <w:fldChar w:fldCharType="end"/>
      </w:r>
      <w:r w:rsidRPr="00F6590B">
        <w:rPr>
          <w:lang w:val="hr-HR"/>
        </w:rPr>
        <w:t xml:space="preserve">. </w:t>
      </w:r>
      <w:r w:rsidR="001C34AD" w:rsidRPr="00F6590B">
        <w:rPr>
          <w:szCs w:val="24"/>
          <w:lang w:val="hr-HR"/>
        </w:rPr>
        <w:t>Test</w:t>
      </w:r>
      <w:r w:rsidR="00E83E57" w:rsidRPr="00F6590B">
        <w:rPr>
          <w:szCs w:val="24"/>
          <w:lang w:val="hr-HR"/>
        </w:rPr>
        <w:t>ovi</w:t>
      </w:r>
      <w:r w:rsidR="001C34AD" w:rsidRPr="00F6590B">
        <w:rPr>
          <w:szCs w:val="24"/>
          <w:lang w:val="hr-HR"/>
        </w:rPr>
        <w:t xml:space="preserve"> redundancije fiksnih učinaka</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3"/>
        <w:gridCol w:w="1207"/>
        <w:gridCol w:w="1208"/>
        <w:gridCol w:w="1563"/>
      </w:tblGrid>
      <w:tr w:rsidR="001C34AD" w:rsidRPr="00F6590B" w14:paraId="25E73263" w14:textId="77777777" w:rsidTr="001D2239">
        <w:trPr>
          <w:trHeight w:val="225"/>
          <w:jc w:val="center"/>
        </w:trPr>
        <w:tc>
          <w:tcPr>
            <w:tcW w:w="3273" w:type="dxa"/>
            <w:tcBorders>
              <w:bottom w:val="double" w:sz="4" w:space="0" w:color="auto"/>
            </w:tcBorders>
            <w:vAlign w:val="center"/>
          </w:tcPr>
          <w:p w14:paraId="2AD04C8F" w14:textId="3A06DDCC" w:rsidR="001C34AD" w:rsidRPr="00F6590B" w:rsidRDefault="00BB1B1A"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Test</w:t>
            </w:r>
            <w:r w:rsidR="00E83E57" w:rsidRPr="00F6590B">
              <w:rPr>
                <w:rFonts w:asciiTheme="minorHAnsi" w:hAnsiTheme="minorHAnsi" w:cs="Arial"/>
                <w:color w:val="000000"/>
                <w:szCs w:val="24"/>
                <w:lang w:val="hr-HR"/>
              </w:rPr>
              <w:t>ovi</w:t>
            </w:r>
            <w:r w:rsidRPr="00F6590B">
              <w:rPr>
                <w:rFonts w:asciiTheme="minorHAnsi" w:hAnsiTheme="minorHAnsi" w:cs="Arial"/>
                <w:color w:val="000000"/>
                <w:szCs w:val="24"/>
                <w:lang w:val="hr-HR"/>
              </w:rPr>
              <w:t xml:space="preserve"> </w:t>
            </w:r>
            <w:r w:rsidR="00E83E57" w:rsidRPr="00F6590B">
              <w:rPr>
                <w:rFonts w:asciiTheme="minorHAnsi" w:hAnsiTheme="minorHAnsi" w:cs="Arial"/>
                <w:color w:val="000000"/>
                <w:szCs w:val="24"/>
                <w:lang w:val="hr-HR"/>
              </w:rPr>
              <w:t>fiksnih učinaka</w:t>
            </w:r>
          </w:p>
        </w:tc>
        <w:tc>
          <w:tcPr>
            <w:tcW w:w="1207" w:type="dxa"/>
            <w:tcBorders>
              <w:bottom w:val="double" w:sz="4" w:space="0" w:color="auto"/>
            </w:tcBorders>
            <w:vAlign w:val="center"/>
          </w:tcPr>
          <w:p w14:paraId="246F2979" w14:textId="5ADE847D" w:rsidR="001C34AD"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Rezultat</w:t>
            </w:r>
          </w:p>
        </w:tc>
        <w:tc>
          <w:tcPr>
            <w:tcW w:w="1208" w:type="dxa"/>
            <w:tcBorders>
              <w:bottom w:val="double" w:sz="4" w:space="0" w:color="auto"/>
            </w:tcBorders>
            <w:vAlign w:val="center"/>
          </w:tcPr>
          <w:p w14:paraId="5796D7A7" w14:textId="418C7149" w:rsidR="001C34AD"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Stupnjevi slobode</w:t>
            </w:r>
          </w:p>
        </w:tc>
        <w:tc>
          <w:tcPr>
            <w:tcW w:w="1563" w:type="dxa"/>
            <w:tcBorders>
              <w:bottom w:val="double" w:sz="4" w:space="0" w:color="auto"/>
            </w:tcBorders>
            <w:vAlign w:val="center"/>
          </w:tcPr>
          <w:p w14:paraId="50DC138F" w14:textId="56C43C5A" w:rsidR="001C34AD"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P-vrijednost</w:t>
            </w:r>
          </w:p>
        </w:tc>
      </w:tr>
      <w:tr w:rsidR="00BB1B1A" w:rsidRPr="00F6590B" w14:paraId="142D22D1" w14:textId="77777777" w:rsidTr="001D2239">
        <w:trPr>
          <w:trHeight w:val="225"/>
          <w:jc w:val="center"/>
        </w:trPr>
        <w:tc>
          <w:tcPr>
            <w:tcW w:w="3273" w:type="dxa"/>
            <w:tcBorders>
              <w:top w:val="double" w:sz="4" w:space="0" w:color="auto"/>
            </w:tcBorders>
            <w:vAlign w:val="bottom"/>
          </w:tcPr>
          <w:p w14:paraId="65188A57" w14:textId="2FA0FA31" w:rsidR="00BB1B1A" w:rsidRPr="00F6590B" w:rsidRDefault="00BB1B1A" w:rsidP="00483743">
            <w:pPr>
              <w:autoSpaceDE w:val="0"/>
              <w:autoSpaceDN w:val="0"/>
              <w:adjustRightInd w:val="0"/>
              <w:spacing w:line="240" w:lineRule="auto"/>
              <w:ind w:firstLine="0"/>
              <w:jc w:val="left"/>
              <w:rPr>
                <w:rFonts w:asciiTheme="minorHAnsi" w:hAnsiTheme="minorHAnsi" w:cs="Arial"/>
                <w:color w:val="000000"/>
                <w:szCs w:val="24"/>
                <w:lang w:val="hr-HR"/>
              </w:rPr>
            </w:pPr>
            <w:r w:rsidRPr="00F6590B">
              <w:rPr>
                <w:rFonts w:asciiTheme="minorHAnsi" w:hAnsiTheme="minorHAnsi" w:cs="Arial"/>
                <w:color w:val="000000"/>
                <w:szCs w:val="24"/>
                <w:lang w:val="hr-HR"/>
              </w:rPr>
              <w:t>Sudovi, F</w:t>
            </w:r>
          </w:p>
        </w:tc>
        <w:tc>
          <w:tcPr>
            <w:tcW w:w="1207" w:type="dxa"/>
            <w:tcBorders>
              <w:top w:val="double" w:sz="4" w:space="0" w:color="auto"/>
            </w:tcBorders>
            <w:vAlign w:val="center"/>
          </w:tcPr>
          <w:p w14:paraId="4473DD80" w14:textId="0DC11A6D"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3</w:t>
            </w:r>
            <w:r w:rsidR="00604E4A" w:rsidRPr="00F6590B">
              <w:rPr>
                <w:rFonts w:ascii="Calibri" w:hAnsi="Calibri"/>
                <w:color w:val="000000"/>
                <w:lang w:val="hr-HR"/>
              </w:rPr>
              <w:t>,</w:t>
            </w:r>
            <w:r w:rsidRPr="00F6590B">
              <w:rPr>
                <w:rFonts w:ascii="Calibri" w:hAnsi="Calibri"/>
                <w:color w:val="000000"/>
                <w:lang w:val="hr-HR"/>
              </w:rPr>
              <w:t>241</w:t>
            </w:r>
          </w:p>
        </w:tc>
        <w:tc>
          <w:tcPr>
            <w:tcW w:w="1208" w:type="dxa"/>
            <w:tcBorders>
              <w:top w:val="double" w:sz="4" w:space="0" w:color="auto"/>
            </w:tcBorders>
            <w:vAlign w:val="center"/>
          </w:tcPr>
          <w:p w14:paraId="2C055DEE" w14:textId="77777777"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(6,39)</w:t>
            </w:r>
          </w:p>
        </w:tc>
        <w:tc>
          <w:tcPr>
            <w:tcW w:w="1563" w:type="dxa"/>
            <w:tcBorders>
              <w:top w:val="double" w:sz="4" w:space="0" w:color="auto"/>
            </w:tcBorders>
            <w:vAlign w:val="center"/>
          </w:tcPr>
          <w:p w14:paraId="64F1328C" w14:textId="096D7ACC"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011</w:t>
            </w:r>
          </w:p>
        </w:tc>
      </w:tr>
      <w:tr w:rsidR="00BB1B1A" w:rsidRPr="00F6590B" w14:paraId="673A222C" w14:textId="77777777" w:rsidTr="001D2239">
        <w:trPr>
          <w:trHeight w:val="225"/>
          <w:jc w:val="center"/>
        </w:trPr>
        <w:tc>
          <w:tcPr>
            <w:tcW w:w="3273" w:type="dxa"/>
            <w:vAlign w:val="bottom"/>
          </w:tcPr>
          <w:p w14:paraId="229D6C5E" w14:textId="31FCFBAD" w:rsidR="00BB1B1A" w:rsidRPr="00F6590B" w:rsidRDefault="00BB1B1A" w:rsidP="00483743">
            <w:pPr>
              <w:autoSpaceDE w:val="0"/>
              <w:autoSpaceDN w:val="0"/>
              <w:adjustRightInd w:val="0"/>
              <w:spacing w:line="240" w:lineRule="auto"/>
              <w:ind w:firstLine="0"/>
              <w:jc w:val="left"/>
              <w:rPr>
                <w:rFonts w:asciiTheme="minorHAnsi" w:hAnsiTheme="minorHAnsi" w:cs="Arial"/>
                <w:color w:val="000000"/>
                <w:szCs w:val="24"/>
                <w:lang w:val="hr-HR"/>
              </w:rPr>
            </w:pPr>
            <w:r w:rsidRPr="00F6590B">
              <w:rPr>
                <w:rFonts w:asciiTheme="minorHAnsi" w:hAnsiTheme="minorHAnsi" w:cs="Arial"/>
                <w:color w:val="000000"/>
                <w:szCs w:val="24"/>
                <w:lang w:val="hr-HR"/>
              </w:rPr>
              <w:t xml:space="preserve">Sudovi, </w:t>
            </w:r>
            <w:r w:rsidRPr="00F6590B">
              <w:rPr>
                <w:rFonts w:cs="Times New Roman"/>
                <w:szCs w:val="24"/>
                <w:lang w:val="hr-HR"/>
              </w:rPr>
              <w:t>χ</w:t>
            </w:r>
            <w:r w:rsidRPr="00F6590B">
              <w:rPr>
                <w:szCs w:val="24"/>
                <w:vertAlign w:val="superscript"/>
                <w:lang w:val="hr-HR"/>
              </w:rPr>
              <w:t>2</w:t>
            </w:r>
          </w:p>
        </w:tc>
        <w:tc>
          <w:tcPr>
            <w:tcW w:w="1207" w:type="dxa"/>
            <w:vAlign w:val="center"/>
          </w:tcPr>
          <w:p w14:paraId="69420ED4" w14:textId="288D0B3B"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22</w:t>
            </w:r>
            <w:r w:rsidR="00604E4A" w:rsidRPr="00F6590B">
              <w:rPr>
                <w:rFonts w:ascii="Calibri" w:hAnsi="Calibri"/>
                <w:color w:val="000000"/>
                <w:lang w:val="hr-HR"/>
              </w:rPr>
              <w:t>,</w:t>
            </w:r>
            <w:r w:rsidRPr="00F6590B">
              <w:rPr>
                <w:rFonts w:ascii="Calibri" w:hAnsi="Calibri"/>
                <w:color w:val="000000"/>
                <w:lang w:val="hr-HR"/>
              </w:rPr>
              <w:t>656</w:t>
            </w:r>
          </w:p>
        </w:tc>
        <w:tc>
          <w:tcPr>
            <w:tcW w:w="1208" w:type="dxa"/>
            <w:vAlign w:val="center"/>
          </w:tcPr>
          <w:p w14:paraId="263FC3B1" w14:textId="77777777"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6</w:t>
            </w:r>
          </w:p>
        </w:tc>
        <w:tc>
          <w:tcPr>
            <w:tcW w:w="1563" w:type="dxa"/>
            <w:vAlign w:val="center"/>
          </w:tcPr>
          <w:p w14:paraId="77432D9F" w14:textId="55DF0D54"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001</w:t>
            </w:r>
          </w:p>
        </w:tc>
      </w:tr>
      <w:tr w:rsidR="00BB1B1A" w:rsidRPr="00F6590B" w14:paraId="42174908" w14:textId="77777777" w:rsidTr="001D2239">
        <w:trPr>
          <w:trHeight w:val="225"/>
          <w:jc w:val="center"/>
        </w:trPr>
        <w:tc>
          <w:tcPr>
            <w:tcW w:w="3273" w:type="dxa"/>
            <w:vAlign w:val="bottom"/>
          </w:tcPr>
          <w:p w14:paraId="3C3DE41A" w14:textId="04184C89" w:rsidR="00BB1B1A" w:rsidRPr="00F6590B" w:rsidRDefault="00BB1B1A" w:rsidP="00483743">
            <w:pPr>
              <w:autoSpaceDE w:val="0"/>
              <w:autoSpaceDN w:val="0"/>
              <w:adjustRightInd w:val="0"/>
              <w:spacing w:line="240" w:lineRule="auto"/>
              <w:ind w:firstLine="0"/>
              <w:jc w:val="left"/>
              <w:rPr>
                <w:rFonts w:asciiTheme="minorHAnsi" w:hAnsiTheme="minorHAnsi" w:cs="Arial"/>
                <w:color w:val="000000"/>
                <w:szCs w:val="24"/>
                <w:lang w:val="hr-HR"/>
              </w:rPr>
            </w:pPr>
            <w:r w:rsidRPr="00F6590B">
              <w:rPr>
                <w:rFonts w:asciiTheme="minorHAnsi" w:hAnsiTheme="minorHAnsi" w:cs="Arial"/>
                <w:color w:val="000000"/>
                <w:szCs w:val="24"/>
                <w:lang w:val="hr-HR"/>
              </w:rPr>
              <w:t>Vremensko razdoblje, F</w:t>
            </w:r>
          </w:p>
        </w:tc>
        <w:tc>
          <w:tcPr>
            <w:tcW w:w="1207" w:type="dxa"/>
            <w:vAlign w:val="center"/>
          </w:tcPr>
          <w:p w14:paraId="045F611F" w14:textId="0492E6AB"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3</w:t>
            </w:r>
            <w:r w:rsidR="00604E4A" w:rsidRPr="00F6590B">
              <w:rPr>
                <w:rFonts w:ascii="Calibri" w:hAnsi="Calibri"/>
                <w:color w:val="000000"/>
                <w:lang w:val="hr-HR"/>
              </w:rPr>
              <w:t>,</w:t>
            </w:r>
            <w:r w:rsidRPr="00F6590B">
              <w:rPr>
                <w:rFonts w:ascii="Calibri" w:hAnsi="Calibri"/>
                <w:color w:val="000000"/>
                <w:lang w:val="hr-HR"/>
              </w:rPr>
              <w:t>140</w:t>
            </w:r>
          </w:p>
        </w:tc>
        <w:tc>
          <w:tcPr>
            <w:tcW w:w="1208" w:type="dxa"/>
            <w:vAlign w:val="center"/>
          </w:tcPr>
          <w:p w14:paraId="5A1D906B" w14:textId="77777777"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(7,39)</w:t>
            </w:r>
          </w:p>
        </w:tc>
        <w:tc>
          <w:tcPr>
            <w:tcW w:w="1563" w:type="dxa"/>
            <w:vAlign w:val="center"/>
          </w:tcPr>
          <w:p w14:paraId="3B3A2E84" w14:textId="4BF9CE1A"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010</w:t>
            </w:r>
          </w:p>
        </w:tc>
      </w:tr>
      <w:tr w:rsidR="00BB1B1A" w:rsidRPr="00F6590B" w14:paraId="40EEACA4" w14:textId="77777777" w:rsidTr="001D2239">
        <w:trPr>
          <w:trHeight w:val="225"/>
          <w:jc w:val="center"/>
        </w:trPr>
        <w:tc>
          <w:tcPr>
            <w:tcW w:w="3273" w:type="dxa"/>
            <w:vAlign w:val="bottom"/>
          </w:tcPr>
          <w:p w14:paraId="125991E6" w14:textId="73FD3DBA" w:rsidR="00BB1B1A" w:rsidRPr="00F6590B" w:rsidRDefault="00BB1B1A" w:rsidP="00483743">
            <w:pPr>
              <w:autoSpaceDE w:val="0"/>
              <w:autoSpaceDN w:val="0"/>
              <w:adjustRightInd w:val="0"/>
              <w:spacing w:line="240" w:lineRule="auto"/>
              <w:ind w:firstLine="0"/>
              <w:jc w:val="left"/>
              <w:rPr>
                <w:rFonts w:asciiTheme="minorHAnsi" w:hAnsiTheme="minorHAnsi" w:cs="Arial"/>
                <w:color w:val="000000"/>
                <w:szCs w:val="24"/>
                <w:lang w:val="hr-HR"/>
              </w:rPr>
            </w:pPr>
            <w:r w:rsidRPr="00F6590B">
              <w:rPr>
                <w:rFonts w:asciiTheme="minorHAnsi" w:hAnsiTheme="minorHAnsi" w:cs="Arial"/>
                <w:color w:val="000000"/>
                <w:szCs w:val="24"/>
                <w:lang w:val="hr-HR"/>
              </w:rPr>
              <w:t xml:space="preserve">Vremensko razdoblje, </w:t>
            </w:r>
            <w:r w:rsidRPr="00F6590B">
              <w:rPr>
                <w:rFonts w:cs="Times New Roman"/>
                <w:szCs w:val="24"/>
                <w:lang w:val="hr-HR"/>
              </w:rPr>
              <w:t>χ</w:t>
            </w:r>
            <w:r w:rsidRPr="00F6590B">
              <w:rPr>
                <w:szCs w:val="24"/>
                <w:vertAlign w:val="superscript"/>
                <w:lang w:val="hr-HR"/>
              </w:rPr>
              <w:t>2</w:t>
            </w:r>
          </w:p>
        </w:tc>
        <w:tc>
          <w:tcPr>
            <w:tcW w:w="1207" w:type="dxa"/>
            <w:vAlign w:val="center"/>
          </w:tcPr>
          <w:p w14:paraId="33CFD29F" w14:textId="31ABEF9C"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25</w:t>
            </w:r>
            <w:r w:rsidR="00604E4A" w:rsidRPr="00F6590B">
              <w:rPr>
                <w:rFonts w:ascii="Calibri" w:hAnsi="Calibri"/>
                <w:color w:val="000000"/>
                <w:lang w:val="hr-HR"/>
              </w:rPr>
              <w:t>,</w:t>
            </w:r>
            <w:r w:rsidRPr="00F6590B">
              <w:rPr>
                <w:rFonts w:ascii="Calibri" w:hAnsi="Calibri"/>
                <w:color w:val="000000"/>
                <w:lang w:val="hr-HR"/>
              </w:rPr>
              <w:t>029</w:t>
            </w:r>
          </w:p>
        </w:tc>
        <w:tc>
          <w:tcPr>
            <w:tcW w:w="1208" w:type="dxa"/>
            <w:vAlign w:val="center"/>
          </w:tcPr>
          <w:p w14:paraId="46CFECBC" w14:textId="77777777"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7</w:t>
            </w:r>
          </w:p>
        </w:tc>
        <w:tc>
          <w:tcPr>
            <w:tcW w:w="1563" w:type="dxa"/>
            <w:vAlign w:val="center"/>
          </w:tcPr>
          <w:p w14:paraId="31B9D35F" w14:textId="14521A90"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001</w:t>
            </w:r>
          </w:p>
        </w:tc>
      </w:tr>
      <w:tr w:rsidR="00BB1B1A" w:rsidRPr="00F6590B" w14:paraId="5DAB4397" w14:textId="77777777" w:rsidTr="001D2239">
        <w:trPr>
          <w:trHeight w:val="225"/>
          <w:jc w:val="center"/>
        </w:trPr>
        <w:tc>
          <w:tcPr>
            <w:tcW w:w="3273" w:type="dxa"/>
            <w:vAlign w:val="bottom"/>
          </w:tcPr>
          <w:p w14:paraId="1F61F436" w14:textId="11804DC5" w:rsidR="00BB1B1A" w:rsidRPr="00F6590B" w:rsidRDefault="00BB1B1A" w:rsidP="00483743">
            <w:pPr>
              <w:autoSpaceDE w:val="0"/>
              <w:autoSpaceDN w:val="0"/>
              <w:adjustRightInd w:val="0"/>
              <w:spacing w:line="240" w:lineRule="auto"/>
              <w:ind w:firstLine="0"/>
              <w:jc w:val="left"/>
              <w:rPr>
                <w:rFonts w:asciiTheme="minorHAnsi" w:hAnsiTheme="minorHAnsi" w:cs="Arial"/>
                <w:color w:val="000000"/>
                <w:szCs w:val="24"/>
                <w:lang w:val="hr-HR"/>
              </w:rPr>
            </w:pPr>
            <w:r w:rsidRPr="00F6590B">
              <w:rPr>
                <w:rFonts w:asciiTheme="minorHAnsi" w:hAnsiTheme="minorHAnsi" w:cs="Arial"/>
                <w:color w:val="000000"/>
                <w:szCs w:val="24"/>
                <w:lang w:val="hr-HR"/>
              </w:rPr>
              <w:t>Sudovi i vremensko razdoblje, F</w:t>
            </w:r>
          </w:p>
        </w:tc>
        <w:tc>
          <w:tcPr>
            <w:tcW w:w="1207" w:type="dxa"/>
            <w:vAlign w:val="center"/>
          </w:tcPr>
          <w:p w14:paraId="08796125" w14:textId="0760AE92"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3</w:t>
            </w:r>
            <w:r w:rsidR="00604E4A" w:rsidRPr="00F6590B">
              <w:rPr>
                <w:rFonts w:ascii="Calibri" w:hAnsi="Calibri"/>
                <w:color w:val="000000"/>
                <w:lang w:val="hr-HR"/>
              </w:rPr>
              <w:t>,</w:t>
            </w:r>
            <w:r w:rsidRPr="00F6590B">
              <w:rPr>
                <w:rFonts w:ascii="Calibri" w:hAnsi="Calibri"/>
                <w:color w:val="000000"/>
                <w:lang w:val="hr-HR"/>
              </w:rPr>
              <w:t>921</w:t>
            </w:r>
          </w:p>
        </w:tc>
        <w:tc>
          <w:tcPr>
            <w:tcW w:w="1208" w:type="dxa"/>
            <w:vAlign w:val="center"/>
          </w:tcPr>
          <w:p w14:paraId="33907FE4" w14:textId="77777777"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(13,39)</w:t>
            </w:r>
          </w:p>
        </w:tc>
        <w:tc>
          <w:tcPr>
            <w:tcW w:w="1563" w:type="dxa"/>
            <w:vAlign w:val="center"/>
          </w:tcPr>
          <w:p w14:paraId="49871130" w14:textId="18E11AC7"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001</w:t>
            </w:r>
          </w:p>
        </w:tc>
      </w:tr>
      <w:tr w:rsidR="00BB1B1A" w:rsidRPr="00F6590B" w14:paraId="59658E80" w14:textId="77777777" w:rsidTr="001D2239">
        <w:trPr>
          <w:trHeight w:val="225"/>
          <w:jc w:val="center"/>
        </w:trPr>
        <w:tc>
          <w:tcPr>
            <w:tcW w:w="3273" w:type="dxa"/>
            <w:vAlign w:val="bottom"/>
          </w:tcPr>
          <w:p w14:paraId="0E4CD9F1" w14:textId="063365B0" w:rsidR="00BB1B1A" w:rsidRPr="00F6590B" w:rsidRDefault="00BB1B1A" w:rsidP="00483743">
            <w:pPr>
              <w:autoSpaceDE w:val="0"/>
              <w:autoSpaceDN w:val="0"/>
              <w:adjustRightInd w:val="0"/>
              <w:spacing w:line="240" w:lineRule="auto"/>
              <w:ind w:firstLine="0"/>
              <w:jc w:val="left"/>
              <w:rPr>
                <w:rFonts w:asciiTheme="minorHAnsi" w:hAnsiTheme="minorHAnsi" w:cs="Arial"/>
                <w:color w:val="000000"/>
                <w:szCs w:val="24"/>
                <w:lang w:val="hr-HR"/>
              </w:rPr>
            </w:pPr>
            <w:r w:rsidRPr="00F6590B">
              <w:rPr>
                <w:rFonts w:asciiTheme="minorHAnsi" w:hAnsiTheme="minorHAnsi" w:cs="Arial"/>
                <w:color w:val="000000"/>
                <w:szCs w:val="24"/>
                <w:lang w:val="hr-HR"/>
              </w:rPr>
              <w:t xml:space="preserve">Sudovi i vremensko razdoblje, </w:t>
            </w:r>
            <w:r w:rsidRPr="00F6590B">
              <w:rPr>
                <w:rFonts w:cs="Times New Roman"/>
                <w:szCs w:val="24"/>
                <w:lang w:val="hr-HR"/>
              </w:rPr>
              <w:t>χ</w:t>
            </w:r>
            <w:r w:rsidRPr="00F6590B">
              <w:rPr>
                <w:szCs w:val="24"/>
                <w:vertAlign w:val="superscript"/>
                <w:lang w:val="hr-HR"/>
              </w:rPr>
              <w:t>2</w:t>
            </w:r>
          </w:p>
        </w:tc>
        <w:tc>
          <w:tcPr>
            <w:tcW w:w="1207" w:type="dxa"/>
            <w:vAlign w:val="center"/>
          </w:tcPr>
          <w:p w14:paraId="17051B9B" w14:textId="6C54E3AE"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46</w:t>
            </w:r>
            <w:r w:rsidR="00604E4A" w:rsidRPr="00F6590B">
              <w:rPr>
                <w:rFonts w:ascii="Calibri" w:hAnsi="Calibri"/>
                <w:color w:val="000000"/>
                <w:lang w:val="hr-HR"/>
              </w:rPr>
              <w:t>,</w:t>
            </w:r>
            <w:r w:rsidRPr="00F6590B">
              <w:rPr>
                <w:rFonts w:ascii="Calibri" w:hAnsi="Calibri"/>
                <w:color w:val="000000"/>
                <w:lang w:val="hr-HR"/>
              </w:rPr>
              <w:t>813</w:t>
            </w:r>
          </w:p>
        </w:tc>
        <w:tc>
          <w:tcPr>
            <w:tcW w:w="1208" w:type="dxa"/>
            <w:vAlign w:val="center"/>
          </w:tcPr>
          <w:p w14:paraId="3A00DA62" w14:textId="77777777"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13</w:t>
            </w:r>
          </w:p>
        </w:tc>
        <w:tc>
          <w:tcPr>
            <w:tcW w:w="1563" w:type="dxa"/>
            <w:vAlign w:val="center"/>
          </w:tcPr>
          <w:p w14:paraId="4DC6A99B" w14:textId="586FC384" w:rsidR="00BB1B1A" w:rsidRPr="00F6590B" w:rsidRDefault="00BB1B1A"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bl>
    <w:p w14:paraId="03603681" w14:textId="540F86D7"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324A6063" w14:textId="13321DC4" w:rsidR="00313EEF" w:rsidRPr="00F6590B" w:rsidRDefault="00313EEF" w:rsidP="00483743">
      <w:pPr>
        <w:spacing w:line="480" w:lineRule="auto"/>
        <w:rPr>
          <w:lang w:val="hr-HR"/>
        </w:rPr>
      </w:pPr>
    </w:p>
    <w:p w14:paraId="4CB1B83A" w14:textId="0305A44D" w:rsidR="00742DC9" w:rsidRPr="00F6590B" w:rsidRDefault="002A24CF" w:rsidP="00483743">
      <w:pPr>
        <w:spacing w:line="480" w:lineRule="auto"/>
        <w:rPr>
          <w:lang w:val="hr-HR"/>
        </w:rPr>
      </w:pPr>
      <w:r w:rsidRPr="00F6590B">
        <w:rPr>
          <w:lang w:val="hr-HR"/>
        </w:rPr>
        <w:t xml:space="preserve">Nasuprot fiksnim učincima moguć je i scenarij u kojem su učinci sudova nasumični, odnosno onaj u kojem razlike u efikasnosti sudova postoje, ali one nisu inherentne </w:t>
      </w:r>
      <w:r w:rsidR="00F164B8" w:rsidRPr="00F6590B">
        <w:rPr>
          <w:lang w:val="hr-HR"/>
        </w:rPr>
        <w:t xml:space="preserve">specifičnim karakteristikama sudova, već su dio statističke pogreške. Stoga je specificiran i model s nasumičnim učincima, čiji su rezultati predstavljeni u tablici </w:t>
      </w:r>
      <w:r w:rsidR="00D26260" w:rsidRPr="00F6590B">
        <w:rPr>
          <w:lang w:val="hr-HR"/>
        </w:rPr>
        <w:t>7</w:t>
      </w:r>
      <w:r w:rsidR="00F164B8" w:rsidRPr="00F6590B">
        <w:rPr>
          <w:lang w:val="hr-HR"/>
        </w:rPr>
        <w:t>.</w:t>
      </w:r>
      <w:r w:rsidR="00E83E57" w:rsidRPr="00F6590B">
        <w:rPr>
          <w:lang w:val="hr-HR"/>
        </w:rPr>
        <w:t xml:space="preserve"> </w:t>
      </w:r>
      <w:r w:rsidR="00D06778" w:rsidRPr="00F6590B">
        <w:rPr>
          <w:lang w:val="hr-HR"/>
        </w:rPr>
        <w:t>P</w:t>
      </w:r>
      <w:r w:rsidR="00742DC9" w:rsidRPr="00F6590B">
        <w:rPr>
          <w:lang w:val="hr-HR"/>
        </w:rPr>
        <w:t>rocijenjene standardne devijacije za sudove i za vremen</w:t>
      </w:r>
      <w:r w:rsidR="00E83E57" w:rsidRPr="00F6590B">
        <w:rPr>
          <w:lang w:val="hr-HR"/>
        </w:rPr>
        <w:t>ska razdoblja (</w:t>
      </w:r>
      <w:r w:rsidR="00742DC9" w:rsidRPr="00F6590B">
        <w:rPr>
          <w:lang w:val="hr-HR"/>
        </w:rPr>
        <w:t>kao komponenti greške</w:t>
      </w:r>
      <w:r w:rsidR="00E83E57" w:rsidRPr="00F6590B">
        <w:rPr>
          <w:lang w:val="hr-HR"/>
        </w:rPr>
        <w:t>)</w:t>
      </w:r>
      <w:r w:rsidR="00742DC9" w:rsidRPr="00F6590B">
        <w:rPr>
          <w:lang w:val="hr-HR"/>
        </w:rPr>
        <w:t xml:space="preserve"> </w:t>
      </w:r>
      <w:r w:rsidR="00D06778" w:rsidRPr="00F6590B">
        <w:rPr>
          <w:lang w:val="hr-HR"/>
        </w:rPr>
        <w:t xml:space="preserve">su </w:t>
      </w:r>
      <w:r w:rsidR="00742DC9" w:rsidRPr="00F6590B">
        <w:rPr>
          <w:lang w:val="hr-HR"/>
        </w:rPr>
        <w:t xml:space="preserve">jednake nula, odnosno ukupna varijanca </w:t>
      </w:r>
      <w:r w:rsidR="00D06778" w:rsidRPr="00F6590B">
        <w:rPr>
          <w:lang w:val="hr-HR"/>
        </w:rPr>
        <w:t xml:space="preserve">se </w:t>
      </w:r>
      <w:r w:rsidR="00742DC9" w:rsidRPr="00F6590B">
        <w:rPr>
          <w:lang w:val="hr-HR"/>
        </w:rPr>
        <w:t>u potpunosti (</w:t>
      </w:r>
      <w:r w:rsidR="00742DC9" w:rsidRPr="00F6590B">
        <w:rPr>
          <w:rFonts w:cs="Times New Roman"/>
          <w:i/>
          <w:color w:val="000000"/>
          <w:szCs w:val="24"/>
          <w:lang w:val="hr-HR"/>
        </w:rPr>
        <w:t>ρ</w:t>
      </w:r>
      <w:r w:rsidR="00742DC9" w:rsidRPr="00F6590B">
        <w:rPr>
          <w:rFonts w:cs="Times New Roman"/>
          <w:color w:val="000000"/>
          <w:szCs w:val="24"/>
          <w:lang w:val="hr-HR"/>
        </w:rPr>
        <w:t>=1</w:t>
      </w:r>
      <w:r w:rsidR="00742DC9" w:rsidRPr="00F6590B">
        <w:rPr>
          <w:lang w:val="hr-HR"/>
        </w:rPr>
        <w:t>) sastoji samo od specifične (karakteristične) nasumičnosti, te ne postoje (</w:t>
      </w:r>
      <w:r w:rsidR="00742DC9" w:rsidRPr="00F6590B">
        <w:rPr>
          <w:rFonts w:cs="Times New Roman"/>
          <w:i/>
          <w:color w:val="000000"/>
          <w:szCs w:val="24"/>
          <w:lang w:val="hr-HR"/>
        </w:rPr>
        <w:t>ρ</w:t>
      </w:r>
      <w:r w:rsidR="00742DC9" w:rsidRPr="00F6590B">
        <w:rPr>
          <w:rFonts w:cs="Times New Roman"/>
          <w:color w:val="000000"/>
          <w:szCs w:val="24"/>
          <w:lang w:val="hr-HR"/>
        </w:rPr>
        <w:t>=0</w:t>
      </w:r>
      <w:r w:rsidR="00742DC9" w:rsidRPr="00F6590B">
        <w:rPr>
          <w:lang w:val="hr-HR"/>
        </w:rPr>
        <w:t xml:space="preserve">) </w:t>
      </w:r>
      <w:r w:rsidR="00CA6110" w:rsidRPr="00F6590B">
        <w:rPr>
          <w:lang w:val="hr-HR"/>
        </w:rPr>
        <w:t>ni nasumični udjeli sudova, niti vremenskih razdoblja.</w:t>
      </w:r>
    </w:p>
    <w:p w14:paraId="5A72C436" w14:textId="77777777" w:rsidR="00742DC9" w:rsidRPr="00F6590B" w:rsidRDefault="00742DC9" w:rsidP="00483743">
      <w:pPr>
        <w:autoSpaceDE w:val="0"/>
        <w:autoSpaceDN w:val="0"/>
        <w:adjustRightInd w:val="0"/>
        <w:spacing w:line="480" w:lineRule="auto"/>
        <w:ind w:firstLine="0"/>
        <w:jc w:val="left"/>
        <w:rPr>
          <w:rFonts w:ascii="Slimbach-Book" w:hAnsi="Slimbach-Book" w:cs="Slimbach-Book"/>
          <w:szCs w:val="18"/>
          <w:lang w:val="hr-HR"/>
        </w:rPr>
      </w:pPr>
    </w:p>
    <w:p w14:paraId="5310C093" w14:textId="77777777" w:rsidR="00483743" w:rsidRPr="00F6590B" w:rsidRDefault="00483743" w:rsidP="00483743">
      <w:pPr>
        <w:autoSpaceDE w:val="0"/>
        <w:autoSpaceDN w:val="0"/>
        <w:adjustRightInd w:val="0"/>
        <w:spacing w:line="480" w:lineRule="auto"/>
        <w:ind w:firstLine="0"/>
        <w:jc w:val="left"/>
        <w:rPr>
          <w:rFonts w:ascii="Slimbach-Book" w:hAnsi="Slimbach-Book" w:cs="Slimbach-Book"/>
          <w:szCs w:val="18"/>
          <w:lang w:val="hr-HR"/>
        </w:rPr>
      </w:pPr>
    </w:p>
    <w:p w14:paraId="44B8B8C5" w14:textId="77777777" w:rsidR="00483743" w:rsidRPr="00F6590B" w:rsidRDefault="00483743" w:rsidP="00483743">
      <w:pPr>
        <w:autoSpaceDE w:val="0"/>
        <w:autoSpaceDN w:val="0"/>
        <w:adjustRightInd w:val="0"/>
        <w:spacing w:line="480" w:lineRule="auto"/>
        <w:ind w:firstLine="0"/>
        <w:jc w:val="left"/>
        <w:rPr>
          <w:rFonts w:ascii="Slimbach-Book" w:hAnsi="Slimbach-Book" w:cs="Slimbach-Book"/>
          <w:szCs w:val="18"/>
          <w:lang w:val="hr-HR"/>
        </w:rPr>
      </w:pPr>
    </w:p>
    <w:p w14:paraId="46699069" w14:textId="28C23D00" w:rsidR="00150142" w:rsidRPr="00F6590B" w:rsidRDefault="00877EF1" w:rsidP="00483743">
      <w:pPr>
        <w:pStyle w:val="Caption"/>
        <w:spacing w:line="480" w:lineRule="auto"/>
        <w:rPr>
          <w:szCs w:val="24"/>
          <w:lang w:val="hr-HR"/>
        </w:rPr>
      </w:pPr>
      <w:r w:rsidRPr="00F6590B">
        <w:rPr>
          <w:lang w:val="hr-HR"/>
        </w:rPr>
        <w:lastRenderedPageBreak/>
        <w:t xml:space="preserve">Tablica </w:t>
      </w:r>
      <w:r w:rsidR="0019028F" w:rsidRPr="00F6590B">
        <w:rPr>
          <w:lang w:val="hr-HR"/>
        </w:rPr>
        <w:fldChar w:fldCharType="begin"/>
      </w:r>
      <w:r w:rsidR="0019028F" w:rsidRPr="00F6590B">
        <w:rPr>
          <w:lang w:val="hr-HR"/>
        </w:rPr>
        <w:instrText xml:space="preserve"> SEQ Tablica \* ARABIC </w:instrText>
      </w:r>
      <w:r w:rsidR="0019028F" w:rsidRPr="00F6590B">
        <w:rPr>
          <w:lang w:val="hr-HR"/>
        </w:rPr>
        <w:fldChar w:fldCharType="separate"/>
      </w:r>
      <w:r w:rsidR="00D26260" w:rsidRPr="00F6590B">
        <w:rPr>
          <w:lang w:val="hr-HR"/>
        </w:rPr>
        <w:t>7</w:t>
      </w:r>
      <w:r w:rsidR="0019028F" w:rsidRPr="00F6590B">
        <w:rPr>
          <w:lang w:val="hr-HR"/>
        </w:rPr>
        <w:fldChar w:fldCharType="end"/>
      </w:r>
      <w:r w:rsidRPr="00F6590B">
        <w:rPr>
          <w:lang w:val="hr-HR"/>
        </w:rPr>
        <w:t xml:space="preserve">. </w:t>
      </w:r>
      <w:r w:rsidR="00150142" w:rsidRPr="00F6590B">
        <w:rPr>
          <w:szCs w:val="24"/>
          <w:lang w:val="hr-HR"/>
        </w:rPr>
        <w:t>Rezultati modela s nasumičnim učincima</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7"/>
        <w:gridCol w:w="1103"/>
        <w:gridCol w:w="1207"/>
        <w:gridCol w:w="1208"/>
        <w:gridCol w:w="573"/>
        <w:gridCol w:w="1134"/>
        <w:gridCol w:w="746"/>
      </w:tblGrid>
      <w:tr w:rsidR="00150142" w:rsidRPr="00F6590B" w14:paraId="6B6687A4" w14:textId="77777777" w:rsidTr="00617FF9">
        <w:trPr>
          <w:trHeight w:val="225"/>
          <w:jc w:val="center"/>
        </w:trPr>
        <w:tc>
          <w:tcPr>
            <w:tcW w:w="7988" w:type="dxa"/>
            <w:gridSpan w:val="7"/>
            <w:vAlign w:val="center"/>
          </w:tcPr>
          <w:p w14:paraId="5821A608" w14:textId="77777777"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Specifikacija modela:</w:t>
            </w:r>
          </w:p>
          <w:p w14:paraId="1DEB6AA2" w14:textId="239811B4"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i/>
                <w:szCs w:val="24"/>
                <w:lang w:val="hr-HR"/>
              </w:rPr>
              <w:t>lnRIJESENI</w:t>
            </w:r>
            <w:r w:rsidRPr="00F6590B">
              <w:rPr>
                <w:i/>
                <w:szCs w:val="24"/>
                <w:vertAlign w:val="subscript"/>
                <w:lang w:val="hr-HR"/>
              </w:rPr>
              <w:t>it</w:t>
            </w:r>
            <w:proofErr w:type="spellEnd"/>
            <w:r w:rsidRPr="00F6590B">
              <w:rPr>
                <w:i/>
                <w:szCs w:val="24"/>
                <w:lang w:val="hr-HR"/>
              </w:rPr>
              <w:t xml:space="preserve"> = </w:t>
            </w:r>
            <w:r w:rsidRPr="00F6590B">
              <w:rPr>
                <w:rFonts w:cs="Times New Roman"/>
                <w:i/>
                <w:szCs w:val="24"/>
                <w:lang w:val="hr-HR"/>
              </w:rPr>
              <w:t>α</w:t>
            </w:r>
            <w:r w:rsidRPr="00F6590B">
              <w:rPr>
                <w:rFonts w:cs="Times New Roman"/>
                <w:szCs w:val="24"/>
                <w:lang w:val="hr-HR"/>
              </w:rPr>
              <w:t xml:space="preserve"> </w:t>
            </w:r>
            <w:r w:rsidRPr="00F6590B">
              <w:rPr>
                <w:i/>
                <w:szCs w:val="24"/>
                <w:lang w:val="hr-HR"/>
              </w:rPr>
              <w:t>+ β</w:t>
            </w:r>
            <w:r w:rsidRPr="00F6590B">
              <w:rPr>
                <w:szCs w:val="24"/>
                <w:vertAlign w:val="subscript"/>
                <w:lang w:val="hr-HR"/>
              </w:rPr>
              <w:t>1</w:t>
            </w:r>
            <w:r w:rsidRPr="00F6590B">
              <w:rPr>
                <w:i/>
                <w:szCs w:val="24"/>
                <w:lang w:val="hr-HR"/>
              </w:rPr>
              <w:t>lnNOVI</w:t>
            </w:r>
            <w:r w:rsidRPr="00F6590B">
              <w:rPr>
                <w:i/>
                <w:szCs w:val="24"/>
                <w:vertAlign w:val="subscript"/>
                <w:lang w:val="hr-HR"/>
              </w:rPr>
              <w:t xml:space="preserve">it </w:t>
            </w:r>
            <w:r w:rsidRPr="00F6590B">
              <w:rPr>
                <w:i/>
                <w:szCs w:val="24"/>
                <w:lang w:val="hr-HR"/>
              </w:rPr>
              <w:t>+ β</w:t>
            </w:r>
            <w:r w:rsidRPr="00F6590B">
              <w:rPr>
                <w:szCs w:val="24"/>
                <w:vertAlign w:val="subscript"/>
                <w:lang w:val="hr-HR"/>
              </w:rPr>
              <w:t>2</w:t>
            </w:r>
            <w:r w:rsidRPr="00F6590B">
              <w:rPr>
                <w:i/>
                <w:szCs w:val="24"/>
                <w:lang w:val="hr-HR"/>
              </w:rPr>
              <w:t>lnSUCI</w:t>
            </w:r>
            <w:r w:rsidRPr="00F6590B">
              <w:rPr>
                <w:i/>
                <w:szCs w:val="24"/>
                <w:vertAlign w:val="subscript"/>
                <w:lang w:val="hr-HR"/>
              </w:rPr>
              <w:t xml:space="preserve">it </w:t>
            </w:r>
            <w:r w:rsidRPr="00F6590B">
              <w:rPr>
                <w:i/>
                <w:szCs w:val="24"/>
                <w:lang w:val="hr-HR"/>
              </w:rPr>
              <w:t xml:space="preserve"> + β</w:t>
            </w:r>
            <w:r w:rsidRPr="00F6590B">
              <w:rPr>
                <w:szCs w:val="24"/>
                <w:vertAlign w:val="subscript"/>
                <w:lang w:val="hr-HR"/>
              </w:rPr>
              <w:t>3</w:t>
            </w:r>
            <w:r w:rsidRPr="00F6590B">
              <w:rPr>
                <w:i/>
                <w:szCs w:val="24"/>
                <w:lang w:val="hr-HR"/>
              </w:rPr>
              <w:t>lnNERIJESENI</w:t>
            </w:r>
            <w:r w:rsidRPr="00F6590B">
              <w:rPr>
                <w:i/>
                <w:szCs w:val="24"/>
                <w:vertAlign w:val="subscript"/>
                <w:lang w:val="hr-HR"/>
              </w:rPr>
              <w:t>it-1</w:t>
            </w:r>
            <w:r w:rsidRPr="00F6590B">
              <w:rPr>
                <w:i/>
                <w:szCs w:val="24"/>
                <w:lang w:val="hr-HR"/>
              </w:rPr>
              <w:t xml:space="preserve"> +</w:t>
            </w:r>
            <w:r w:rsidRPr="00F6590B">
              <w:rPr>
                <w:szCs w:val="24"/>
                <w:lang w:val="hr-HR"/>
              </w:rPr>
              <w:t xml:space="preserve"> (</w:t>
            </w:r>
            <w:proofErr w:type="spellStart"/>
            <w:r w:rsidRPr="00F6590B">
              <w:rPr>
                <w:i/>
                <w:szCs w:val="24"/>
                <w:lang w:val="hr-HR"/>
              </w:rPr>
              <w:t>u</w:t>
            </w:r>
            <w:r w:rsidRPr="00F6590B">
              <w:rPr>
                <w:i/>
                <w:szCs w:val="24"/>
                <w:vertAlign w:val="subscript"/>
                <w:lang w:val="hr-HR"/>
              </w:rPr>
              <w:t>i</w:t>
            </w:r>
            <w:proofErr w:type="spellEnd"/>
            <w:r w:rsidRPr="00F6590B">
              <w:rPr>
                <w:i/>
                <w:szCs w:val="24"/>
                <w:lang w:val="hr-HR"/>
              </w:rPr>
              <w:t xml:space="preserve"> + v</w:t>
            </w:r>
            <w:r w:rsidRPr="00F6590B">
              <w:rPr>
                <w:i/>
                <w:szCs w:val="24"/>
                <w:vertAlign w:val="subscript"/>
                <w:lang w:val="hr-HR"/>
              </w:rPr>
              <w:t>it</w:t>
            </w:r>
            <w:r w:rsidRPr="00F6590B">
              <w:rPr>
                <w:szCs w:val="24"/>
                <w:lang w:val="hr-HR"/>
              </w:rPr>
              <w:t>)</w:t>
            </w:r>
          </w:p>
        </w:tc>
      </w:tr>
      <w:tr w:rsidR="00150142" w:rsidRPr="00F6590B" w14:paraId="155B9B4B" w14:textId="77777777" w:rsidTr="00617FF9">
        <w:trPr>
          <w:trHeight w:val="225"/>
          <w:jc w:val="center"/>
        </w:trPr>
        <w:tc>
          <w:tcPr>
            <w:tcW w:w="2017" w:type="dxa"/>
            <w:tcBorders>
              <w:bottom w:val="double" w:sz="4" w:space="0" w:color="auto"/>
            </w:tcBorders>
            <w:vAlign w:val="center"/>
          </w:tcPr>
          <w:p w14:paraId="576E80A8" w14:textId="77777777"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Varijabla</w:t>
            </w:r>
          </w:p>
        </w:tc>
        <w:tc>
          <w:tcPr>
            <w:tcW w:w="1103" w:type="dxa"/>
            <w:tcBorders>
              <w:bottom w:val="double" w:sz="4" w:space="0" w:color="auto"/>
            </w:tcBorders>
            <w:vAlign w:val="center"/>
          </w:tcPr>
          <w:p w14:paraId="454AA464" w14:textId="77777777"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Koeficijent</w:t>
            </w:r>
          </w:p>
        </w:tc>
        <w:tc>
          <w:tcPr>
            <w:tcW w:w="1207" w:type="dxa"/>
            <w:tcBorders>
              <w:bottom w:val="double" w:sz="4" w:space="0" w:color="auto"/>
            </w:tcBorders>
            <w:vAlign w:val="center"/>
          </w:tcPr>
          <w:p w14:paraId="5B9177BA" w14:textId="77777777"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Standardna greška</w:t>
            </w:r>
          </w:p>
        </w:tc>
        <w:tc>
          <w:tcPr>
            <w:tcW w:w="1208" w:type="dxa"/>
            <w:tcBorders>
              <w:bottom w:val="double" w:sz="4" w:space="0" w:color="auto"/>
            </w:tcBorders>
            <w:vAlign w:val="center"/>
          </w:tcPr>
          <w:p w14:paraId="76AB0DE2" w14:textId="77777777"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t-stat.</w:t>
            </w:r>
          </w:p>
        </w:tc>
        <w:tc>
          <w:tcPr>
            <w:tcW w:w="2453" w:type="dxa"/>
            <w:gridSpan w:val="3"/>
            <w:tcBorders>
              <w:bottom w:val="double" w:sz="4" w:space="0" w:color="auto"/>
            </w:tcBorders>
            <w:vAlign w:val="center"/>
          </w:tcPr>
          <w:p w14:paraId="1B4085D9" w14:textId="77777777"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P-vrijednost</w:t>
            </w:r>
          </w:p>
        </w:tc>
      </w:tr>
      <w:tr w:rsidR="00150142" w:rsidRPr="00F6590B" w14:paraId="521F163B" w14:textId="77777777" w:rsidTr="00617FF9">
        <w:trPr>
          <w:trHeight w:val="225"/>
          <w:jc w:val="center"/>
        </w:trPr>
        <w:tc>
          <w:tcPr>
            <w:tcW w:w="2017" w:type="dxa"/>
            <w:tcBorders>
              <w:top w:val="double" w:sz="4" w:space="0" w:color="auto"/>
            </w:tcBorders>
            <w:vAlign w:val="center"/>
          </w:tcPr>
          <w:p w14:paraId="76614E54" w14:textId="77777777"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C</w:t>
            </w:r>
          </w:p>
        </w:tc>
        <w:tc>
          <w:tcPr>
            <w:tcW w:w="1103" w:type="dxa"/>
            <w:tcBorders>
              <w:top w:val="double" w:sz="4" w:space="0" w:color="auto"/>
            </w:tcBorders>
            <w:vAlign w:val="center"/>
          </w:tcPr>
          <w:p w14:paraId="0E06F4AA" w14:textId="420C8298"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050</w:t>
            </w:r>
          </w:p>
        </w:tc>
        <w:tc>
          <w:tcPr>
            <w:tcW w:w="1207" w:type="dxa"/>
            <w:tcBorders>
              <w:top w:val="double" w:sz="4" w:space="0" w:color="auto"/>
            </w:tcBorders>
            <w:vAlign w:val="center"/>
          </w:tcPr>
          <w:p w14:paraId="3BE4D2E2" w14:textId="55624F40"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210</w:t>
            </w:r>
          </w:p>
        </w:tc>
        <w:tc>
          <w:tcPr>
            <w:tcW w:w="1208" w:type="dxa"/>
            <w:tcBorders>
              <w:top w:val="double" w:sz="4" w:space="0" w:color="auto"/>
            </w:tcBorders>
            <w:vAlign w:val="center"/>
          </w:tcPr>
          <w:p w14:paraId="547AF99F" w14:textId="59B6730A"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240</w:t>
            </w:r>
          </w:p>
        </w:tc>
        <w:tc>
          <w:tcPr>
            <w:tcW w:w="2453" w:type="dxa"/>
            <w:gridSpan w:val="3"/>
            <w:tcBorders>
              <w:top w:val="double" w:sz="4" w:space="0" w:color="auto"/>
            </w:tcBorders>
            <w:vAlign w:val="center"/>
          </w:tcPr>
          <w:p w14:paraId="0CC73A95" w14:textId="0239820B"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812</w:t>
            </w:r>
          </w:p>
        </w:tc>
      </w:tr>
      <w:tr w:rsidR="00150142" w:rsidRPr="00F6590B" w14:paraId="248BB16F" w14:textId="77777777" w:rsidTr="00617FF9">
        <w:trPr>
          <w:trHeight w:val="225"/>
          <w:jc w:val="center"/>
        </w:trPr>
        <w:tc>
          <w:tcPr>
            <w:tcW w:w="2017" w:type="dxa"/>
            <w:vAlign w:val="center"/>
          </w:tcPr>
          <w:p w14:paraId="0DA4C6CE" w14:textId="77777777"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Pr="00F6590B">
              <w:rPr>
                <w:rFonts w:asciiTheme="minorHAnsi" w:hAnsiTheme="minorHAnsi" w:cs="Arial"/>
                <w:color w:val="000000"/>
                <w:szCs w:val="24"/>
                <w:lang w:val="hr-HR"/>
              </w:rPr>
              <w:t>(NOVI)</w:t>
            </w:r>
          </w:p>
        </w:tc>
        <w:tc>
          <w:tcPr>
            <w:tcW w:w="1103" w:type="dxa"/>
            <w:vAlign w:val="center"/>
          </w:tcPr>
          <w:p w14:paraId="056B797F" w14:textId="44DA018B"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507</w:t>
            </w:r>
          </w:p>
        </w:tc>
        <w:tc>
          <w:tcPr>
            <w:tcW w:w="1207" w:type="dxa"/>
            <w:vAlign w:val="center"/>
          </w:tcPr>
          <w:p w14:paraId="0720BA82" w14:textId="35A1C478"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041</w:t>
            </w:r>
          </w:p>
        </w:tc>
        <w:tc>
          <w:tcPr>
            <w:tcW w:w="1208" w:type="dxa"/>
            <w:vAlign w:val="center"/>
          </w:tcPr>
          <w:p w14:paraId="0D9FB7A4" w14:textId="4D2A4A11"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12</w:t>
            </w:r>
            <w:r w:rsidR="00604E4A" w:rsidRPr="00F6590B">
              <w:rPr>
                <w:rFonts w:ascii="Calibri" w:hAnsi="Calibri"/>
                <w:color w:val="000000"/>
                <w:lang w:val="hr-HR"/>
              </w:rPr>
              <w:t>,</w:t>
            </w:r>
            <w:r w:rsidRPr="00F6590B">
              <w:rPr>
                <w:rFonts w:ascii="Calibri" w:hAnsi="Calibri"/>
                <w:color w:val="000000"/>
                <w:lang w:val="hr-HR"/>
              </w:rPr>
              <w:t>368</w:t>
            </w:r>
          </w:p>
        </w:tc>
        <w:tc>
          <w:tcPr>
            <w:tcW w:w="2453" w:type="dxa"/>
            <w:gridSpan w:val="3"/>
            <w:vAlign w:val="center"/>
          </w:tcPr>
          <w:p w14:paraId="4354BAB6" w14:textId="3E96C801"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r w:rsidR="00150142" w:rsidRPr="00F6590B" w14:paraId="10C63818" w14:textId="77777777" w:rsidTr="00617FF9">
        <w:trPr>
          <w:trHeight w:val="225"/>
          <w:jc w:val="center"/>
        </w:trPr>
        <w:tc>
          <w:tcPr>
            <w:tcW w:w="2017" w:type="dxa"/>
            <w:vAlign w:val="center"/>
          </w:tcPr>
          <w:p w14:paraId="1E22B695" w14:textId="77777777"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Pr="00F6590B">
              <w:rPr>
                <w:rFonts w:asciiTheme="minorHAnsi" w:hAnsiTheme="minorHAnsi" w:cs="Arial"/>
                <w:color w:val="000000"/>
                <w:szCs w:val="24"/>
                <w:lang w:val="hr-HR"/>
              </w:rPr>
              <w:t>(SUCI)</w:t>
            </w:r>
          </w:p>
        </w:tc>
        <w:tc>
          <w:tcPr>
            <w:tcW w:w="1103" w:type="dxa"/>
            <w:vAlign w:val="center"/>
          </w:tcPr>
          <w:p w14:paraId="34C34201" w14:textId="0968B51F"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074</w:t>
            </w:r>
          </w:p>
        </w:tc>
        <w:tc>
          <w:tcPr>
            <w:tcW w:w="1207" w:type="dxa"/>
            <w:vAlign w:val="center"/>
          </w:tcPr>
          <w:p w14:paraId="41C7EBF7" w14:textId="3DDC0AAA"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060</w:t>
            </w:r>
          </w:p>
        </w:tc>
        <w:tc>
          <w:tcPr>
            <w:tcW w:w="1208" w:type="dxa"/>
            <w:vAlign w:val="center"/>
          </w:tcPr>
          <w:p w14:paraId="2DB44723" w14:textId="1FFB6920"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-1</w:t>
            </w:r>
            <w:r w:rsidR="00604E4A" w:rsidRPr="00F6590B">
              <w:rPr>
                <w:rFonts w:ascii="Calibri" w:hAnsi="Calibri"/>
                <w:color w:val="000000"/>
                <w:lang w:val="hr-HR"/>
              </w:rPr>
              <w:t>,</w:t>
            </w:r>
            <w:r w:rsidRPr="00F6590B">
              <w:rPr>
                <w:rFonts w:ascii="Calibri" w:hAnsi="Calibri"/>
                <w:color w:val="000000"/>
                <w:lang w:val="hr-HR"/>
              </w:rPr>
              <w:t>218</w:t>
            </w:r>
          </w:p>
        </w:tc>
        <w:tc>
          <w:tcPr>
            <w:tcW w:w="2453" w:type="dxa"/>
            <w:gridSpan w:val="3"/>
            <w:vAlign w:val="center"/>
          </w:tcPr>
          <w:p w14:paraId="7819CC79" w14:textId="18CE8F84"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229</w:t>
            </w:r>
          </w:p>
        </w:tc>
      </w:tr>
      <w:tr w:rsidR="00150142" w:rsidRPr="00F6590B" w14:paraId="7839238C" w14:textId="77777777" w:rsidTr="00617FF9">
        <w:trPr>
          <w:trHeight w:val="225"/>
          <w:jc w:val="center"/>
        </w:trPr>
        <w:tc>
          <w:tcPr>
            <w:tcW w:w="2017" w:type="dxa"/>
            <w:tcBorders>
              <w:bottom w:val="double" w:sz="4" w:space="0" w:color="auto"/>
            </w:tcBorders>
            <w:vAlign w:val="center"/>
          </w:tcPr>
          <w:p w14:paraId="1F62A732" w14:textId="77777777" w:rsidR="00150142" w:rsidRPr="00F6590B" w:rsidRDefault="00150142"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Pr="00F6590B">
              <w:rPr>
                <w:rFonts w:asciiTheme="minorHAnsi" w:hAnsiTheme="minorHAnsi" w:cs="Arial"/>
                <w:color w:val="000000"/>
                <w:szCs w:val="24"/>
                <w:lang w:val="hr-HR"/>
              </w:rPr>
              <w:t>(NERIJESENI(-1))</w:t>
            </w:r>
          </w:p>
        </w:tc>
        <w:tc>
          <w:tcPr>
            <w:tcW w:w="1103" w:type="dxa"/>
            <w:tcBorders>
              <w:bottom w:val="double" w:sz="4" w:space="0" w:color="auto"/>
            </w:tcBorders>
            <w:vAlign w:val="center"/>
          </w:tcPr>
          <w:p w14:paraId="26B4DEAA" w14:textId="769C1936"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552</w:t>
            </w:r>
          </w:p>
        </w:tc>
        <w:tc>
          <w:tcPr>
            <w:tcW w:w="1207" w:type="dxa"/>
            <w:tcBorders>
              <w:bottom w:val="double" w:sz="4" w:space="0" w:color="auto"/>
            </w:tcBorders>
            <w:vAlign w:val="center"/>
          </w:tcPr>
          <w:p w14:paraId="03CEEDC3" w14:textId="17DA1655"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058</w:t>
            </w:r>
          </w:p>
        </w:tc>
        <w:tc>
          <w:tcPr>
            <w:tcW w:w="1208" w:type="dxa"/>
            <w:tcBorders>
              <w:bottom w:val="double" w:sz="4" w:space="0" w:color="auto"/>
            </w:tcBorders>
            <w:vAlign w:val="center"/>
          </w:tcPr>
          <w:p w14:paraId="348408B0" w14:textId="647F1C0B"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9</w:t>
            </w:r>
            <w:r w:rsidR="00604E4A" w:rsidRPr="00F6590B">
              <w:rPr>
                <w:rFonts w:ascii="Calibri" w:hAnsi="Calibri"/>
                <w:color w:val="000000"/>
                <w:lang w:val="hr-HR"/>
              </w:rPr>
              <w:t>,</w:t>
            </w:r>
            <w:r w:rsidRPr="00F6590B">
              <w:rPr>
                <w:rFonts w:ascii="Calibri" w:hAnsi="Calibri"/>
                <w:color w:val="000000"/>
                <w:lang w:val="hr-HR"/>
              </w:rPr>
              <w:t>587</w:t>
            </w:r>
          </w:p>
        </w:tc>
        <w:tc>
          <w:tcPr>
            <w:tcW w:w="2453" w:type="dxa"/>
            <w:gridSpan w:val="3"/>
            <w:tcBorders>
              <w:bottom w:val="double" w:sz="4" w:space="0" w:color="auto"/>
            </w:tcBorders>
            <w:vAlign w:val="center"/>
          </w:tcPr>
          <w:p w14:paraId="484E2047" w14:textId="3AF79494" w:rsidR="00150142" w:rsidRPr="00F6590B" w:rsidRDefault="0015014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r w:rsidR="005A5B52" w:rsidRPr="00F6590B" w14:paraId="3CF651CB" w14:textId="77777777" w:rsidTr="005A5B52">
        <w:trPr>
          <w:trHeight w:val="225"/>
          <w:jc w:val="center"/>
        </w:trPr>
        <w:tc>
          <w:tcPr>
            <w:tcW w:w="6108" w:type="dxa"/>
            <w:gridSpan w:val="5"/>
            <w:tcBorders>
              <w:top w:val="double" w:sz="4" w:space="0" w:color="auto"/>
              <w:bottom w:val="single" w:sz="4" w:space="0" w:color="auto"/>
            </w:tcBorders>
            <w:vAlign w:val="center"/>
          </w:tcPr>
          <w:p w14:paraId="33261882" w14:textId="2F747FF0" w:rsidR="005A5B52" w:rsidRPr="00F6590B" w:rsidRDefault="005A5B52" w:rsidP="00483743">
            <w:pPr>
              <w:autoSpaceDE w:val="0"/>
              <w:autoSpaceDN w:val="0"/>
              <w:adjustRightInd w:val="0"/>
              <w:spacing w:line="240" w:lineRule="auto"/>
              <w:ind w:firstLine="0"/>
              <w:jc w:val="left"/>
              <w:rPr>
                <w:rFonts w:asciiTheme="minorHAnsi" w:hAnsiTheme="minorHAnsi" w:cs="Arial"/>
                <w:color w:val="000000"/>
                <w:szCs w:val="24"/>
                <w:lang w:val="hr-HR"/>
              </w:rPr>
            </w:pPr>
          </w:p>
        </w:tc>
        <w:tc>
          <w:tcPr>
            <w:tcW w:w="1134" w:type="dxa"/>
            <w:tcBorders>
              <w:top w:val="double" w:sz="4" w:space="0" w:color="auto"/>
              <w:bottom w:val="single" w:sz="4" w:space="0" w:color="auto"/>
            </w:tcBorders>
            <w:vAlign w:val="bottom"/>
          </w:tcPr>
          <w:p w14:paraId="5786FFA7" w14:textId="02D3D688" w:rsidR="005A5B52" w:rsidRPr="00F6590B" w:rsidRDefault="002702D6" w:rsidP="00483743">
            <w:pPr>
              <w:autoSpaceDE w:val="0"/>
              <w:autoSpaceDN w:val="0"/>
              <w:adjustRightInd w:val="0"/>
              <w:spacing w:line="240" w:lineRule="auto"/>
              <w:ind w:right="10"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Stand</w:t>
            </w:r>
            <w:proofErr w:type="spellEnd"/>
            <w:r w:rsidRPr="00F6590B">
              <w:rPr>
                <w:rFonts w:asciiTheme="minorHAnsi" w:hAnsiTheme="minorHAnsi" w:cs="Arial"/>
                <w:color w:val="000000"/>
                <w:szCs w:val="24"/>
                <w:lang w:val="hr-HR"/>
              </w:rPr>
              <w:t>. devijacija</w:t>
            </w:r>
          </w:p>
        </w:tc>
        <w:tc>
          <w:tcPr>
            <w:tcW w:w="746" w:type="dxa"/>
            <w:tcBorders>
              <w:top w:val="double" w:sz="4" w:space="0" w:color="auto"/>
              <w:bottom w:val="single" w:sz="4" w:space="0" w:color="auto"/>
            </w:tcBorders>
            <w:vAlign w:val="bottom"/>
          </w:tcPr>
          <w:p w14:paraId="710A8DFF" w14:textId="6E077E9D" w:rsidR="005A5B52" w:rsidRPr="00F6590B" w:rsidRDefault="005A5B52" w:rsidP="00483743">
            <w:pPr>
              <w:autoSpaceDE w:val="0"/>
              <w:autoSpaceDN w:val="0"/>
              <w:adjustRightInd w:val="0"/>
              <w:spacing w:line="240" w:lineRule="auto"/>
              <w:ind w:right="10" w:firstLine="0"/>
              <w:jc w:val="center"/>
              <w:rPr>
                <w:rFonts w:cs="Times New Roman"/>
                <w:i/>
                <w:color w:val="000000"/>
                <w:szCs w:val="24"/>
                <w:lang w:val="hr-HR"/>
              </w:rPr>
            </w:pPr>
            <w:r w:rsidRPr="00F6590B">
              <w:rPr>
                <w:rFonts w:cs="Times New Roman"/>
                <w:i/>
                <w:color w:val="000000"/>
                <w:szCs w:val="24"/>
                <w:lang w:val="hr-HR"/>
              </w:rPr>
              <w:t>ρ  </w:t>
            </w:r>
          </w:p>
        </w:tc>
      </w:tr>
      <w:tr w:rsidR="005A5B52" w:rsidRPr="00F6590B" w14:paraId="43AFE75B" w14:textId="77777777" w:rsidTr="005A5B52">
        <w:trPr>
          <w:trHeight w:val="225"/>
          <w:jc w:val="center"/>
        </w:trPr>
        <w:tc>
          <w:tcPr>
            <w:tcW w:w="6108" w:type="dxa"/>
            <w:gridSpan w:val="5"/>
            <w:tcBorders>
              <w:top w:val="single" w:sz="4" w:space="0" w:color="auto"/>
            </w:tcBorders>
            <w:vAlign w:val="center"/>
          </w:tcPr>
          <w:p w14:paraId="1A900238" w14:textId="6C8353CB" w:rsidR="005A5B52" w:rsidRPr="00F6590B" w:rsidRDefault="005A5B52" w:rsidP="00483743">
            <w:pPr>
              <w:autoSpaceDE w:val="0"/>
              <w:autoSpaceDN w:val="0"/>
              <w:adjustRightInd w:val="0"/>
              <w:spacing w:line="240" w:lineRule="auto"/>
              <w:ind w:firstLine="0"/>
              <w:jc w:val="left"/>
              <w:rPr>
                <w:rFonts w:ascii="Calibri" w:hAnsi="Calibri"/>
                <w:color w:val="000000"/>
                <w:lang w:val="hr-HR"/>
              </w:rPr>
            </w:pPr>
            <w:r w:rsidRPr="00F6590B">
              <w:rPr>
                <w:rFonts w:asciiTheme="minorHAnsi" w:hAnsiTheme="minorHAnsi" w:cs="Arial"/>
                <w:color w:val="000000"/>
                <w:szCs w:val="24"/>
                <w:lang w:val="hr-HR"/>
              </w:rPr>
              <w:t xml:space="preserve">Nasumični učinci </w:t>
            </w:r>
            <w:r w:rsidR="00742DC9" w:rsidRPr="00F6590B">
              <w:rPr>
                <w:rFonts w:asciiTheme="minorHAnsi" w:hAnsiTheme="minorHAnsi" w:cs="Arial"/>
                <w:color w:val="000000"/>
                <w:szCs w:val="24"/>
                <w:lang w:val="hr-HR"/>
              </w:rPr>
              <w:t>sudova</w:t>
            </w:r>
            <w:r w:rsidRPr="00F6590B">
              <w:rPr>
                <w:rFonts w:asciiTheme="minorHAnsi" w:hAnsiTheme="minorHAnsi" w:cs="Arial"/>
                <w:color w:val="000000"/>
                <w:szCs w:val="24"/>
                <w:lang w:val="hr-HR"/>
              </w:rPr>
              <w:t xml:space="preserve"> (</w:t>
            </w:r>
            <w:proofErr w:type="spellStart"/>
            <w:r w:rsidRPr="00F6590B">
              <w:rPr>
                <w:rFonts w:asciiTheme="minorHAnsi" w:hAnsiTheme="minorHAnsi" w:cs="Arial"/>
                <w:i/>
                <w:color w:val="000000"/>
                <w:szCs w:val="24"/>
                <w:lang w:val="hr-HR"/>
              </w:rPr>
              <w:t>dummy</w:t>
            </w:r>
            <w:proofErr w:type="spellEnd"/>
            <w:r w:rsidRPr="00F6590B">
              <w:rPr>
                <w:rFonts w:asciiTheme="minorHAnsi" w:hAnsiTheme="minorHAnsi" w:cs="Arial"/>
                <w:color w:val="000000"/>
                <w:szCs w:val="24"/>
                <w:lang w:val="hr-HR"/>
              </w:rPr>
              <w:t xml:space="preserve"> varijable)</w:t>
            </w:r>
          </w:p>
        </w:tc>
        <w:tc>
          <w:tcPr>
            <w:tcW w:w="1134" w:type="dxa"/>
            <w:tcBorders>
              <w:top w:val="single" w:sz="4" w:space="0" w:color="auto"/>
            </w:tcBorders>
            <w:vAlign w:val="center"/>
          </w:tcPr>
          <w:p w14:paraId="21B1D844" w14:textId="27A92C59"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c>
          <w:tcPr>
            <w:tcW w:w="746" w:type="dxa"/>
            <w:tcBorders>
              <w:top w:val="single" w:sz="4" w:space="0" w:color="auto"/>
            </w:tcBorders>
            <w:vAlign w:val="center"/>
          </w:tcPr>
          <w:p w14:paraId="3EC26BD7" w14:textId="32517951" w:rsidR="005A5B52" w:rsidRPr="00F6590B" w:rsidRDefault="005A5B52"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r w:rsidR="005A5B52" w:rsidRPr="00F6590B" w14:paraId="36166DFD" w14:textId="77777777" w:rsidTr="005A5B52">
        <w:trPr>
          <w:trHeight w:val="225"/>
          <w:jc w:val="center"/>
        </w:trPr>
        <w:tc>
          <w:tcPr>
            <w:tcW w:w="6108" w:type="dxa"/>
            <w:gridSpan w:val="5"/>
            <w:tcBorders>
              <w:top w:val="single" w:sz="4" w:space="0" w:color="auto"/>
            </w:tcBorders>
            <w:vAlign w:val="center"/>
          </w:tcPr>
          <w:p w14:paraId="37201C1C" w14:textId="68932F94" w:rsidR="005A5B52" w:rsidRPr="00F6590B" w:rsidRDefault="005A5B52" w:rsidP="00483743">
            <w:pPr>
              <w:autoSpaceDE w:val="0"/>
              <w:autoSpaceDN w:val="0"/>
              <w:adjustRightInd w:val="0"/>
              <w:spacing w:line="240" w:lineRule="auto"/>
              <w:ind w:right="10" w:firstLine="0"/>
              <w:jc w:val="left"/>
              <w:rPr>
                <w:rFonts w:ascii="Calibri" w:hAnsi="Calibri"/>
                <w:color w:val="000000"/>
                <w:lang w:val="hr-HR"/>
              </w:rPr>
            </w:pPr>
            <w:r w:rsidRPr="00F6590B">
              <w:rPr>
                <w:rFonts w:asciiTheme="minorHAnsi" w:hAnsiTheme="minorHAnsi" w:cs="Arial"/>
                <w:color w:val="000000"/>
                <w:szCs w:val="24"/>
                <w:lang w:val="hr-HR"/>
              </w:rPr>
              <w:t xml:space="preserve">Nasumični učinci </w:t>
            </w:r>
            <w:r w:rsidR="00742DC9" w:rsidRPr="00F6590B">
              <w:rPr>
                <w:rFonts w:asciiTheme="minorHAnsi" w:hAnsiTheme="minorHAnsi" w:cs="Arial"/>
                <w:color w:val="000000"/>
                <w:szCs w:val="24"/>
                <w:lang w:val="hr-HR"/>
              </w:rPr>
              <w:t>vremenskih</w:t>
            </w:r>
            <w:r w:rsidRPr="00F6590B">
              <w:rPr>
                <w:rFonts w:asciiTheme="minorHAnsi" w:hAnsiTheme="minorHAnsi" w:cs="Arial"/>
                <w:color w:val="000000"/>
                <w:szCs w:val="24"/>
                <w:lang w:val="hr-HR"/>
              </w:rPr>
              <w:t xml:space="preserve"> razdoblja (</w:t>
            </w:r>
            <w:proofErr w:type="spellStart"/>
            <w:r w:rsidRPr="00F6590B">
              <w:rPr>
                <w:rFonts w:asciiTheme="minorHAnsi" w:hAnsiTheme="minorHAnsi" w:cs="Arial"/>
                <w:i/>
                <w:color w:val="000000"/>
                <w:szCs w:val="24"/>
                <w:lang w:val="hr-HR"/>
              </w:rPr>
              <w:t>dummy</w:t>
            </w:r>
            <w:proofErr w:type="spellEnd"/>
            <w:r w:rsidRPr="00F6590B">
              <w:rPr>
                <w:rFonts w:asciiTheme="minorHAnsi" w:hAnsiTheme="minorHAnsi" w:cs="Arial"/>
                <w:color w:val="000000"/>
                <w:szCs w:val="24"/>
                <w:lang w:val="hr-HR"/>
              </w:rPr>
              <w:t xml:space="preserve"> varijable)</w:t>
            </w:r>
          </w:p>
        </w:tc>
        <w:tc>
          <w:tcPr>
            <w:tcW w:w="1134" w:type="dxa"/>
            <w:tcBorders>
              <w:top w:val="single" w:sz="4" w:space="0" w:color="auto"/>
            </w:tcBorders>
            <w:vAlign w:val="center"/>
          </w:tcPr>
          <w:p w14:paraId="65E32919" w14:textId="1417D9A4"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c>
          <w:tcPr>
            <w:tcW w:w="746" w:type="dxa"/>
            <w:tcBorders>
              <w:top w:val="single" w:sz="4" w:space="0" w:color="auto"/>
            </w:tcBorders>
            <w:vAlign w:val="center"/>
          </w:tcPr>
          <w:p w14:paraId="56AC967F" w14:textId="4C706FF6" w:rsidR="005A5B52" w:rsidRPr="00F6590B" w:rsidRDefault="005A5B52"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r w:rsidR="005A5B52" w:rsidRPr="00F6590B" w14:paraId="01B08A50" w14:textId="77777777" w:rsidTr="005A5B52">
        <w:trPr>
          <w:trHeight w:val="225"/>
          <w:jc w:val="center"/>
        </w:trPr>
        <w:tc>
          <w:tcPr>
            <w:tcW w:w="6108" w:type="dxa"/>
            <w:gridSpan w:val="5"/>
            <w:tcBorders>
              <w:top w:val="single" w:sz="4" w:space="0" w:color="auto"/>
              <w:bottom w:val="double" w:sz="4" w:space="0" w:color="auto"/>
            </w:tcBorders>
            <w:vAlign w:val="center"/>
          </w:tcPr>
          <w:p w14:paraId="5514B090" w14:textId="516CDC9C" w:rsidR="005A5B52" w:rsidRPr="00F6590B" w:rsidRDefault="005A5B52" w:rsidP="00483743">
            <w:pPr>
              <w:autoSpaceDE w:val="0"/>
              <w:autoSpaceDN w:val="0"/>
              <w:adjustRightInd w:val="0"/>
              <w:spacing w:line="240" w:lineRule="auto"/>
              <w:ind w:right="10" w:firstLine="0"/>
              <w:jc w:val="left"/>
              <w:rPr>
                <w:rFonts w:ascii="Calibri" w:hAnsi="Calibri"/>
                <w:color w:val="000000"/>
                <w:lang w:val="hr-HR"/>
              </w:rPr>
            </w:pPr>
            <w:proofErr w:type="spellStart"/>
            <w:r w:rsidRPr="00F6590B">
              <w:rPr>
                <w:rFonts w:asciiTheme="minorHAnsi" w:hAnsiTheme="minorHAnsi" w:cs="Arial"/>
                <w:color w:val="000000"/>
                <w:szCs w:val="24"/>
                <w:lang w:val="hr-HR"/>
              </w:rPr>
              <w:t>Idiosyncratic</w:t>
            </w:r>
            <w:proofErr w:type="spellEnd"/>
            <w:r w:rsidRPr="00F6590B">
              <w:rPr>
                <w:rFonts w:asciiTheme="minorHAnsi" w:hAnsiTheme="minorHAnsi" w:cs="Arial"/>
                <w:color w:val="000000"/>
                <w:szCs w:val="24"/>
                <w:lang w:val="hr-HR"/>
              </w:rPr>
              <w:t xml:space="preserve"> </w:t>
            </w:r>
            <w:proofErr w:type="spellStart"/>
            <w:r w:rsidRPr="00F6590B">
              <w:rPr>
                <w:rFonts w:asciiTheme="minorHAnsi" w:hAnsiTheme="minorHAnsi" w:cs="Arial"/>
                <w:color w:val="000000"/>
                <w:szCs w:val="24"/>
                <w:lang w:val="hr-HR"/>
              </w:rPr>
              <w:t>random</w:t>
            </w:r>
            <w:proofErr w:type="spellEnd"/>
          </w:p>
        </w:tc>
        <w:tc>
          <w:tcPr>
            <w:tcW w:w="1134" w:type="dxa"/>
            <w:tcBorders>
              <w:top w:val="single" w:sz="4" w:space="0" w:color="auto"/>
              <w:bottom w:val="double" w:sz="4" w:space="0" w:color="auto"/>
            </w:tcBorders>
            <w:vAlign w:val="center"/>
          </w:tcPr>
          <w:p w14:paraId="15C65FA7" w14:textId="332F7472"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173</w:t>
            </w:r>
          </w:p>
        </w:tc>
        <w:tc>
          <w:tcPr>
            <w:tcW w:w="746" w:type="dxa"/>
            <w:tcBorders>
              <w:top w:val="single" w:sz="4" w:space="0" w:color="auto"/>
              <w:bottom w:val="double" w:sz="4" w:space="0" w:color="auto"/>
            </w:tcBorders>
            <w:vAlign w:val="center"/>
          </w:tcPr>
          <w:p w14:paraId="76504D40" w14:textId="2AA43E4E"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1</w:t>
            </w:r>
            <w:r w:rsidR="00604E4A" w:rsidRPr="00F6590B">
              <w:rPr>
                <w:rFonts w:ascii="Calibri" w:hAnsi="Calibri"/>
                <w:color w:val="000000"/>
                <w:lang w:val="hr-HR"/>
              </w:rPr>
              <w:t>,</w:t>
            </w:r>
            <w:r w:rsidRPr="00F6590B">
              <w:rPr>
                <w:rFonts w:ascii="Calibri" w:hAnsi="Calibri"/>
                <w:color w:val="000000"/>
                <w:lang w:val="hr-HR"/>
              </w:rPr>
              <w:t>000</w:t>
            </w:r>
          </w:p>
        </w:tc>
      </w:tr>
      <w:tr w:rsidR="005A5B52" w:rsidRPr="00F6590B" w14:paraId="1A643182" w14:textId="77777777" w:rsidTr="005A5B52">
        <w:trPr>
          <w:trHeight w:val="225"/>
          <w:jc w:val="center"/>
        </w:trPr>
        <w:tc>
          <w:tcPr>
            <w:tcW w:w="2017" w:type="dxa"/>
            <w:tcBorders>
              <w:top w:val="double" w:sz="4" w:space="0" w:color="auto"/>
            </w:tcBorders>
            <w:vAlign w:val="center"/>
          </w:tcPr>
          <w:p w14:paraId="49F3DCCD" w14:textId="7707151A" w:rsidR="005A5B52" w:rsidRPr="00F6590B" w:rsidRDefault="005A5B52"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R</w:t>
            </w:r>
            <w:r w:rsidRPr="00F6590B">
              <w:rPr>
                <w:rFonts w:asciiTheme="minorHAnsi" w:hAnsiTheme="minorHAnsi" w:cs="Arial"/>
                <w:color w:val="000000"/>
                <w:szCs w:val="24"/>
                <w:vertAlign w:val="superscript"/>
                <w:lang w:val="hr-HR"/>
              </w:rPr>
              <w:t>2</w:t>
            </w:r>
          </w:p>
        </w:tc>
        <w:tc>
          <w:tcPr>
            <w:tcW w:w="1103" w:type="dxa"/>
            <w:tcBorders>
              <w:top w:val="double" w:sz="4" w:space="0" w:color="auto"/>
            </w:tcBorders>
            <w:vAlign w:val="center"/>
          </w:tcPr>
          <w:p w14:paraId="2B6A71E0" w14:textId="142EF74D" w:rsidR="005A5B52" w:rsidRPr="00F6590B" w:rsidRDefault="005A5B52"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971</w:t>
            </w:r>
          </w:p>
        </w:tc>
        <w:tc>
          <w:tcPr>
            <w:tcW w:w="2415" w:type="dxa"/>
            <w:gridSpan w:val="2"/>
            <w:tcBorders>
              <w:top w:val="double" w:sz="4" w:space="0" w:color="auto"/>
            </w:tcBorders>
            <w:vAlign w:val="center"/>
          </w:tcPr>
          <w:p w14:paraId="2D9F6A34" w14:textId="5C180FB9"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Stand</w:t>
            </w:r>
            <w:proofErr w:type="spellEnd"/>
            <w:r w:rsidR="00604E4A" w:rsidRPr="00F6590B">
              <w:rPr>
                <w:rFonts w:asciiTheme="minorHAnsi" w:hAnsiTheme="minorHAnsi" w:cs="Arial"/>
                <w:color w:val="000000"/>
                <w:szCs w:val="24"/>
                <w:lang w:val="hr-HR"/>
              </w:rPr>
              <w:t>,</w:t>
            </w:r>
            <w:r w:rsidRPr="00F6590B">
              <w:rPr>
                <w:rFonts w:asciiTheme="minorHAnsi" w:hAnsiTheme="minorHAnsi" w:cs="Arial"/>
                <w:color w:val="000000"/>
                <w:szCs w:val="24"/>
                <w:lang w:val="hr-HR"/>
              </w:rPr>
              <w:t xml:space="preserve"> greška regresije</w:t>
            </w:r>
          </w:p>
        </w:tc>
        <w:tc>
          <w:tcPr>
            <w:tcW w:w="2453" w:type="dxa"/>
            <w:gridSpan w:val="3"/>
            <w:tcBorders>
              <w:top w:val="double" w:sz="4" w:space="0" w:color="auto"/>
            </w:tcBorders>
            <w:vAlign w:val="center"/>
          </w:tcPr>
          <w:p w14:paraId="57BA1FD6" w14:textId="413E8FE9" w:rsidR="005A5B52" w:rsidRPr="00F6590B" w:rsidRDefault="005A5B52"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173</w:t>
            </w:r>
          </w:p>
        </w:tc>
      </w:tr>
      <w:tr w:rsidR="005A5B52" w:rsidRPr="00F6590B" w14:paraId="07D8444F" w14:textId="77777777" w:rsidTr="00617FF9">
        <w:trPr>
          <w:trHeight w:val="225"/>
          <w:jc w:val="center"/>
        </w:trPr>
        <w:tc>
          <w:tcPr>
            <w:tcW w:w="2017" w:type="dxa"/>
            <w:vMerge w:val="restart"/>
            <w:vAlign w:val="center"/>
          </w:tcPr>
          <w:p w14:paraId="50ACB0C9" w14:textId="77777777" w:rsidR="005A5B52" w:rsidRPr="00F6590B" w:rsidRDefault="005A5B52"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Korigirani R</w:t>
            </w:r>
            <w:r w:rsidRPr="00F6590B">
              <w:rPr>
                <w:rFonts w:asciiTheme="minorHAnsi" w:hAnsiTheme="minorHAnsi" w:cs="Arial"/>
                <w:color w:val="000000"/>
                <w:szCs w:val="24"/>
                <w:vertAlign w:val="superscript"/>
                <w:lang w:val="hr-HR"/>
              </w:rPr>
              <w:t>2</w:t>
            </w:r>
          </w:p>
        </w:tc>
        <w:tc>
          <w:tcPr>
            <w:tcW w:w="1103" w:type="dxa"/>
            <w:vMerge w:val="restart"/>
            <w:vAlign w:val="center"/>
          </w:tcPr>
          <w:p w14:paraId="0C06F945" w14:textId="2E7953C1"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959</w:t>
            </w:r>
          </w:p>
        </w:tc>
        <w:tc>
          <w:tcPr>
            <w:tcW w:w="2415" w:type="dxa"/>
            <w:gridSpan w:val="2"/>
            <w:vAlign w:val="center"/>
          </w:tcPr>
          <w:p w14:paraId="02959547" w14:textId="117C1A8A"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F-stat</w:t>
            </w:r>
            <w:r w:rsidR="00604E4A" w:rsidRPr="00F6590B">
              <w:rPr>
                <w:rFonts w:asciiTheme="minorHAnsi" w:hAnsiTheme="minorHAnsi" w:cs="Arial"/>
                <w:color w:val="000000"/>
                <w:szCs w:val="24"/>
                <w:lang w:val="hr-HR"/>
              </w:rPr>
              <w:t>.</w:t>
            </w:r>
          </w:p>
        </w:tc>
        <w:tc>
          <w:tcPr>
            <w:tcW w:w="2453" w:type="dxa"/>
            <w:gridSpan w:val="3"/>
            <w:vAlign w:val="center"/>
          </w:tcPr>
          <w:p w14:paraId="3F8C63AA" w14:textId="2E981CB3"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80</w:t>
            </w:r>
            <w:r w:rsidR="00604E4A" w:rsidRPr="00F6590B">
              <w:rPr>
                <w:rFonts w:ascii="Calibri" w:hAnsi="Calibri"/>
                <w:color w:val="000000"/>
                <w:lang w:val="hr-HR"/>
              </w:rPr>
              <w:t>,</w:t>
            </w:r>
            <w:r w:rsidRPr="00F6590B">
              <w:rPr>
                <w:rFonts w:ascii="Calibri" w:hAnsi="Calibri"/>
                <w:color w:val="000000"/>
                <w:lang w:val="hr-HR"/>
              </w:rPr>
              <w:t>793</w:t>
            </w:r>
          </w:p>
        </w:tc>
      </w:tr>
      <w:tr w:rsidR="005A5B52" w:rsidRPr="00F6590B" w14:paraId="35B3B2CA" w14:textId="77777777" w:rsidTr="00617FF9">
        <w:trPr>
          <w:trHeight w:val="225"/>
          <w:jc w:val="center"/>
        </w:trPr>
        <w:tc>
          <w:tcPr>
            <w:tcW w:w="2017" w:type="dxa"/>
            <w:vMerge/>
            <w:vAlign w:val="center"/>
          </w:tcPr>
          <w:p w14:paraId="0EC14320" w14:textId="77777777" w:rsidR="005A5B52" w:rsidRPr="00F6590B" w:rsidRDefault="005A5B52" w:rsidP="00483743">
            <w:pPr>
              <w:autoSpaceDE w:val="0"/>
              <w:autoSpaceDN w:val="0"/>
              <w:adjustRightInd w:val="0"/>
              <w:spacing w:line="240" w:lineRule="auto"/>
              <w:ind w:firstLine="0"/>
              <w:jc w:val="center"/>
              <w:rPr>
                <w:rFonts w:asciiTheme="minorHAnsi" w:hAnsiTheme="minorHAnsi" w:cs="Arial"/>
                <w:color w:val="000000"/>
                <w:szCs w:val="24"/>
                <w:lang w:val="hr-HR"/>
              </w:rPr>
            </w:pPr>
          </w:p>
        </w:tc>
        <w:tc>
          <w:tcPr>
            <w:tcW w:w="1103" w:type="dxa"/>
            <w:vMerge/>
            <w:vAlign w:val="center"/>
          </w:tcPr>
          <w:p w14:paraId="2738CD7C" w14:textId="77777777"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p>
        </w:tc>
        <w:tc>
          <w:tcPr>
            <w:tcW w:w="2415" w:type="dxa"/>
            <w:gridSpan w:val="2"/>
            <w:vAlign w:val="center"/>
          </w:tcPr>
          <w:p w14:paraId="492FE3FD" w14:textId="2DCDB0FF"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P (F-stat</w:t>
            </w:r>
            <w:r w:rsidR="00604E4A" w:rsidRPr="00F6590B">
              <w:rPr>
                <w:rFonts w:asciiTheme="minorHAnsi" w:hAnsiTheme="minorHAnsi" w:cs="Arial"/>
                <w:color w:val="000000"/>
                <w:szCs w:val="24"/>
                <w:lang w:val="hr-HR"/>
              </w:rPr>
              <w:t>.</w:t>
            </w:r>
            <w:r w:rsidRPr="00F6590B">
              <w:rPr>
                <w:rFonts w:asciiTheme="minorHAnsi" w:hAnsiTheme="minorHAnsi" w:cs="Arial"/>
                <w:color w:val="000000"/>
                <w:szCs w:val="24"/>
                <w:lang w:val="hr-HR"/>
              </w:rPr>
              <w:t>)</w:t>
            </w:r>
          </w:p>
        </w:tc>
        <w:tc>
          <w:tcPr>
            <w:tcW w:w="2453" w:type="dxa"/>
            <w:gridSpan w:val="3"/>
            <w:vAlign w:val="center"/>
          </w:tcPr>
          <w:p w14:paraId="4D4A47DC" w14:textId="688ECF91" w:rsidR="005A5B52" w:rsidRPr="00F6590B" w:rsidRDefault="005A5B52"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Calibri" w:hAnsi="Calibri"/>
                <w:color w:val="000000"/>
                <w:lang w:val="hr-HR"/>
              </w:rPr>
              <w:t>0</w:t>
            </w:r>
            <w:r w:rsidR="00604E4A" w:rsidRPr="00F6590B">
              <w:rPr>
                <w:rFonts w:ascii="Calibri" w:hAnsi="Calibri"/>
                <w:color w:val="000000"/>
                <w:lang w:val="hr-HR"/>
              </w:rPr>
              <w:t>,</w:t>
            </w:r>
            <w:r w:rsidRPr="00F6590B">
              <w:rPr>
                <w:rFonts w:ascii="Calibri" w:hAnsi="Calibri"/>
                <w:color w:val="000000"/>
                <w:lang w:val="hr-HR"/>
              </w:rPr>
              <w:t>000</w:t>
            </w:r>
          </w:p>
        </w:tc>
      </w:tr>
    </w:tbl>
    <w:p w14:paraId="1D179BA0" w14:textId="1F1B5BAF"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34AE18C9" w14:textId="77777777" w:rsidR="001C34AD" w:rsidRPr="00F6590B" w:rsidRDefault="001C34AD" w:rsidP="00483743">
      <w:pPr>
        <w:autoSpaceDE w:val="0"/>
        <w:autoSpaceDN w:val="0"/>
        <w:adjustRightInd w:val="0"/>
        <w:spacing w:line="480" w:lineRule="auto"/>
        <w:ind w:firstLine="0"/>
        <w:jc w:val="left"/>
        <w:rPr>
          <w:rFonts w:ascii="Arial" w:hAnsi="Arial" w:cs="Arial"/>
          <w:szCs w:val="24"/>
          <w:lang w:val="hr-HR"/>
        </w:rPr>
      </w:pPr>
    </w:p>
    <w:p w14:paraId="10529CF1" w14:textId="16266BA9" w:rsidR="001C34AD" w:rsidRPr="00F6590B" w:rsidRDefault="00313EEF" w:rsidP="00483743">
      <w:pPr>
        <w:spacing w:line="480" w:lineRule="auto"/>
        <w:rPr>
          <w:szCs w:val="24"/>
          <w:lang w:val="hr-HR"/>
        </w:rPr>
      </w:pPr>
      <w:r w:rsidRPr="00F6590B">
        <w:rPr>
          <w:szCs w:val="24"/>
          <w:lang w:val="hr-HR"/>
        </w:rPr>
        <w:t>U usporedbi</w:t>
      </w:r>
      <w:r w:rsidR="001C34AD" w:rsidRPr="00F6590B">
        <w:rPr>
          <w:szCs w:val="24"/>
          <w:lang w:val="hr-HR"/>
        </w:rPr>
        <w:t xml:space="preserve"> nasumičnih učinaka i </w:t>
      </w:r>
      <w:proofErr w:type="spellStart"/>
      <w:r w:rsidR="001C34AD" w:rsidRPr="00F6590B">
        <w:rPr>
          <w:i/>
          <w:szCs w:val="24"/>
          <w:lang w:val="hr-HR"/>
        </w:rPr>
        <w:t>pooled</w:t>
      </w:r>
      <w:proofErr w:type="spellEnd"/>
      <w:r w:rsidR="001C34AD" w:rsidRPr="00F6590B">
        <w:rPr>
          <w:i/>
          <w:szCs w:val="24"/>
          <w:lang w:val="hr-HR"/>
        </w:rPr>
        <w:t xml:space="preserve"> OLS</w:t>
      </w:r>
      <w:r w:rsidR="001C34AD" w:rsidRPr="00F6590B">
        <w:rPr>
          <w:szCs w:val="24"/>
          <w:lang w:val="hr-HR"/>
        </w:rPr>
        <w:t xml:space="preserve"> modela</w:t>
      </w:r>
      <w:r w:rsidRPr="00F6590B">
        <w:rPr>
          <w:szCs w:val="24"/>
          <w:lang w:val="hr-HR"/>
        </w:rPr>
        <w:t xml:space="preserve"> </w:t>
      </w:r>
      <w:proofErr w:type="spellStart"/>
      <w:r w:rsidR="00ED737D" w:rsidRPr="00F6590B">
        <w:rPr>
          <w:szCs w:val="24"/>
          <w:lang w:val="hr-HR"/>
        </w:rPr>
        <w:t>Breusch</w:t>
      </w:r>
      <w:proofErr w:type="spellEnd"/>
      <w:r w:rsidR="00ED737D" w:rsidRPr="00F6590B">
        <w:rPr>
          <w:szCs w:val="24"/>
          <w:lang w:val="hr-HR"/>
        </w:rPr>
        <w:t xml:space="preserve"> </w:t>
      </w:r>
      <w:r w:rsidRPr="00F6590B">
        <w:rPr>
          <w:szCs w:val="24"/>
          <w:lang w:val="hr-HR"/>
        </w:rPr>
        <w:t xml:space="preserve">i </w:t>
      </w:r>
      <w:proofErr w:type="spellStart"/>
      <w:r w:rsidRPr="00F6590B">
        <w:rPr>
          <w:szCs w:val="24"/>
          <w:lang w:val="hr-HR"/>
        </w:rPr>
        <w:t>Pagan</w:t>
      </w:r>
      <w:proofErr w:type="spellEnd"/>
      <w:r w:rsidRPr="00F6590B">
        <w:rPr>
          <w:szCs w:val="24"/>
          <w:lang w:val="hr-HR"/>
        </w:rPr>
        <w:t xml:space="preserve"> </w:t>
      </w:r>
      <w:proofErr w:type="spellStart"/>
      <w:r w:rsidRPr="00F6590B">
        <w:rPr>
          <w:szCs w:val="24"/>
          <w:lang w:val="hr-HR"/>
        </w:rPr>
        <w:t>Lagrange</w:t>
      </w:r>
      <w:proofErr w:type="spellEnd"/>
      <w:r w:rsidRPr="00F6590B">
        <w:rPr>
          <w:szCs w:val="24"/>
          <w:lang w:val="hr-HR"/>
        </w:rPr>
        <w:t>-</w:t>
      </w:r>
      <w:proofErr w:type="spellStart"/>
      <w:r w:rsidRPr="00F6590B">
        <w:rPr>
          <w:szCs w:val="24"/>
          <w:lang w:val="hr-HR"/>
        </w:rPr>
        <w:t>ov</w:t>
      </w:r>
      <w:proofErr w:type="spellEnd"/>
      <w:r w:rsidR="00ED737D" w:rsidRPr="00F6590B">
        <w:rPr>
          <w:szCs w:val="24"/>
          <w:lang w:val="hr-HR"/>
        </w:rPr>
        <w:t xml:space="preserve"> test </w:t>
      </w:r>
      <w:r w:rsidR="000E070F" w:rsidRPr="00F6590B">
        <w:rPr>
          <w:szCs w:val="24"/>
          <w:lang w:val="hr-HR"/>
        </w:rPr>
        <w:t xml:space="preserve">ukazuje na inferiornost </w:t>
      </w:r>
      <w:proofErr w:type="spellStart"/>
      <w:r w:rsidR="000E070F" w:rsidRPr="00F6590B">
        <w:rPr>
          <w:i/>
          <w:szCs w:val="24"/>
          <w:lang w:val="hr-HR"/>
        </w:rPr>
        <w:t>pooled</w:t>
      </w:r>
      <w:proofErr w:type="spellEnd"/>
      <w:r w:rsidR="000E070F" w:rsidRPr="00F6590B">
        <w:rPr>
          <w:i/>
          <w:szCs w:val="24"/>
          <w:lang w:val="hr-HR"/>
        </w:rPr>
        <w:t xml:space="preserve"> OLS</w:t>
      </w:r>
      <w:r w:rsidR="000E070F" w:rsidRPr="00F6590B">
        <w:rPr>
          <w:szCs w:val="24"/>
          <w:lang w:val="hr-HR"/>
        </w:rPr>
        <w:t xml:space="preserve"> modela</w:t>
      </w:r>
      <w:r w:rsidR="000E070F" w:rsidRPr="00F6590B">
        <w:rPr>
          <w:rStyle w:val="FootnoteReference"/>
          <w:szCs w:val="24"/>
          <w:lang w:val="hr-HR"/>
        </w:rPr>
        <w:footnoteReference w:id="10"/>
      </w:r>
      <w:r w:rsidR="000E070F" w:rsidRPr="00F6590B">
        <w:rPr>
          <w:szCs w:val="24"/>
          <w:lang w:val="hr-HR"/>
        </w:rPr>
        <w:t xml:space="preserve">, odnosno snažno odbacuje hipotezu kako su individualne specifične komponente varijance jednake nuli. S druge strane, u usporedbi fiksnih i nasumičnih učinaka </w:t>
      </w:r>
      <w:proofErr w:type="spellStart"/>
      <w:r w:rsidR="001C34AD" w:rsidRPr="00F6590B">
        <w:rPr>
          <w:szCs w:val="24"/>
          <w:lang w:val="hr-HR"/>
        </w:rPr>
        <w:t>Hausmanov</w:t>
      </w:r>
      <w:proofErr w:type="spellEnd"/>
      <w:r w:rsidR="001C34AD" w:rsidRPr="00F6590B">
        <w:rPr>
          <w:szCs w:val="24"/>
          <w:lang w:val="hr-HR"/>
        </w:rPr>
        <w:t xml:space="preserve"> test </w:t>
      </w:r>
      <w:r w:rsidR="000E070F" w:rsidRPr="00F6590B">
        <w:rPr>
          <w:szCs w:val="24"/>
          <w:lang w:val="hr-HR"/>
        </w:rPr>
        <w:t>hipoteze kako razlika u koeficijentima fiksnih i nasumičnih učinaka nije sustavna odbačena je na razini 95% signifikantnosti (P = 0.0502).</w:t>
      </w:r>
    </w:p>
    <w:p w14:paraId="3E9E20A1" w14:textId="5EC9A5EE" w:rsidR="00617FF9" w:rsidRPr="00F6590B" w:rsidRDefault="000E070F" w:rsidP="00483743">
      <w:pPr>
        <w:spacing w:line="480" w:lineRule="auto"/>
        <w:rPr>
          <w:lang w:val="hr-HR"/>
        </w:rPr>
      </w:pPr>
      <w:r w:rsidRPr="00F6590B">
        <w:rPr>
          <w:szCs w:val="24"/>
          <w:lang w:val="hr-HR"/>
        </w:rPr>
        <w:t xml:space="preserve">Konačno, komparacijom različitih specifikacija i hipoteza utvrđeno je kako je najprikladniji model s fiksnim učincima specificiranima i za sudove, i za vremenska razdoblja, te je isključena varijabla broja sudaca, jer se pokazala </w:t>
      </w:r>
      <w:proofErr w:type="spellStart"/>
      <w:r w:rsidRPr="00F6590B">
        <w:rPr>
          <w:szCs w:val="24"/>
          <w:lang w:val="hr-HR"/>
        </w:rPr>
        <w:t>insignifikantnom</w:t>
      </w:r>
      <w:proofErr w:type="spellEnd"/>
      <w:r w:rsidRPr="00F6590B">
        <w:rPr>
          <w:szCs w:val="24"/>
          <w:lang w:val="hr-HR"/>
        </w:rPr>
        <w:t xml:space="preserve"> u svim </w:t>
      </w:r>
      <w:r w:rsidR="00D06778" w:rsidRPr="00F6590B">
        <w:rPr>
          <w:szCs w:val="24"/>
          <w:lang w:val="hr-HR"/>
        </w:rPr>
        <w:t>modelima</w:t>
      </w:r>
      <w:r w:rsidRPr="00F6590B">
        <w:rPr>
          <w:szCs w:val="24"/>
          <w:lang w:val="hr-HR"/>
        </w:rPr>
        <w:t xml:space="preserve">. Završni model prikazan je </w:t>
      </w:r>
      <w:r w:rsidR="00E754D7" w:rsidRPr="00F6590B">
        <w:rPr>
          <w:szCs w:val="24"/>
          <w:lang w:val="hr-HR"/>
        </w:rPr>
        <w:t xml:space="preserve">u tablici </w:t>
      </w:r>
      <w:r w:rsidR="00D26260" w:rsidRPr="00F6590B">
        <w:rPr>
          <w:szCs w:val="24"/>
          <w:lang w:val="hr-HR"/>
        </w:rPr>
        <w:t>8</w:t>
      </w:r>
      <w:r w:rsidR="00E754D7" w:rsidRPr="00F6590B">
        <w:rPr>
          <w:szCs w:val="24"/>
          <w:lang w:val="hr-HR"/>
        </w:rPr>
        <w:t>.</w:t>
      </w:r>
    </w:p>
    <w:p w14:paraId="03DB42F1" w14:textId="77777777" w:rsidR="00617FF9" w:rsidRPr="00F6590B" w:rsidRDefault="00617FF9" w:rsidP="00483743">
      <w:pPr>
        <w:spacing w:line="480" w:lineRule="auto"/>
        <w:rPr>
          <w:lang w:val="hr-HR"/>
        </w:rPr>
      </w:pPr>
    </w:p>
    <w:p w14:paraId="248B3DEB" w14:textId="77777777" w:rsidR="00483743" w:rsidRPr="00F6590B" w:rsidRDefault="00483743" w:rsidP="00483743">
      <w:pPr>
        <w:spacing w:line="480" w:lineRule="auto"/>
        <w:rPr>
          <w:lang w:val="hr-HR"/>
        </w:rPr>
      </w:pPr>
    </w:p>
    <w:p w14:paraId="0DA3D392" w14:textId="2FD137E1" w:rsidR="00617FF9" w:rsidRPr="00F6590B" w:rsidRDefault="00877EF1" w:rsidP="00483743">
      <w:pPr>
        <w:pStyle w:val="Caption"/>
        <w:spacing w:line="480" w:lineRule="auto"/>
        <w:rPr>
          <w:lang w:val="hr-HR"/>
        </w:rPr>
      </w:pPr>
      <w:r w:rsidRPr="00F6590B">
        <w:rPr>
          <w:lang w:val="hr-HR"/>
        </w:rPr>
        <w:lastRenderedPageBreak/>
        <w:t xml:space="preserve">Tablica </w:t>
      </w:r>
      <w:r w:rsidR="0019028F" w:rsidRPr="00F6590B">
        <w:rPr>
          <w:lang w:val="hr-HR"/>
        </w:rPr>
        <w:fldChar w:fldCharType="begin"/>
      </w:r>
      <w:r w:rsidR="0019028F" w:rsidRPr="00F6590B">
        <w:rPr>
          <w:lang w:val="hr-HR"/>
        </w:rPr>
        <w:instrText xml:space="preserve"> SEQ Tablica \* ARABIC </w:instrText>
      </w:r>
      <w:r w:rsidR="0019028F" w:rsidRPr="00F6590B">
        <w:rPr>
          <w:lang w:val="hr-HR"/>
        </w:rPr>
        <w:fldChar w:fldCharType="separate"/>
      </w:r>
      <w:r w:rsidR="00D26260" w:rsidRPr="00F6590B">
        <w:rPr>
          <w:lang w:val="hr-HR"/>
        </w:rPr>
        <w:t>8</w:t>
      </w:r>
      <w:r w:rsidR="0019028F" w:rsidRPr="00F6590B">
        <w:rPr>
          <w:lang w:val="hr-HR"/>
        </w:rPr>
        <w:fldChar w:fldCharType="end"/>
      </w:r>
      <w:r w:rsidRPr="00F6590B">
        <w:rPr>
          <w:lang w:val="hr-HR"/>
        </w:rPr>
        <w:t xml:space="preserve">. </w:t>
      </w:r>
      <w:r w:rsidR="00617FF9" w:rsidRPr="00F6590B">
        <w:rPr>
          <w:lang w:val="hr-HR"/>
        </w:rPr>
        <w:t xml:space="preserve">Konačni </w:t>
      </w:r>
      <w:r w:rsidR="00617FF9" w:rsidRPr="00F6590B">
        <w:rPr>
          <w:szCs w:val="24"/>
          <w:lang w:val="hr-HR"/>
        </w:rPr>
        <w:t>model s fiksnim učincima</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7"/>
        <w:gridCol w:w="1103"/>
        <w:gridCol w:w="1207"/>
        <w:gridCol w:w="1208"/>
        <w:gridCol w:w="2453"/>
      </w:tblGrid>
      <w:tr w:rsidR="00617FF9" w:rsidRPr="00F6590B" w14:paraId="2489A5DD" w14:textId="77777777" w:rsidTr="00617FF9">
        <w:trPr>
          <w:trHeight w:val="225"/>
          <w:jc w:val="center"/>
        </w:trPr>
        <w:tc>
          <w:tcPr>
            <w:tcW w:w="7988" w:type="dxa"/>
            <w:gridSpan w:val="5"/>
            <w:vAlign w:val="center"/>
          </w:tcPr>
          <w:p w14:paraId="158DF4B4" w14:textId="77777777" w:rsidR="00617FF9" w:rsidRPr="00F6590B" w:rsidRDefault="00617FF9"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Specifikacija modela:</w:t>
            </w:r>
          </w:p>
          <w:p w14:paraId="01F163AD" w14:textId="0B7B8867" w:rsidR="00617FF9" w:rsidRPr="00F6590B" w:rsidRDefault="00617FF9"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i/>
                <w:szCs w:val="24"/>
                <w:lang w:val="hr-HR"/>
              </w:rPr>
              <w:t>lnRIJESENI</w:t>
            </w:r>
            <w:r w:rsidRPr="00F6590B">
              <w:rPr>
                <w:i/>
                <w:szCs w:val="24"/>
                <w:vertAlign w:val="subscript"/>
                <w:lang w:val="hr-HR"/>
              </w:rPr>
              <w:t>it</w:t>
            </w:r>
            <w:proofErr w:type="spellEnd"/>
            <w:r w:rsidRPr="00F6590B">
              <w:rPr>
                <w:i/>
                <w:szCs w:val="24"/>
                <w:lang w:val="hr-HR"/>
              </w:rPr>
              <w:t xml:space="preserve"> = </w:t>
            </w:r>
            <w:r w:rsidR="00A1752D" w:rsidRPr="00F6590B">
              <w:rPr>
                <w:szCs w:val="24"/>
                <w:lang w:val="hr-HR"/>
              </w:rPr>
              <w:t>(</w:t>
            </w:r>
            <w:r w:rsidR="00A1752D" w:rsidRPr="00F6590B">
              <w:rPr>
                <w:rFonts w:cs="Times New Roman"/>
                <w:i/>
                <w:szCs w:val="24"/>
                <w:lang w:val="hr-HR"/>
              </w:rPr>
              <w:t>α</w:t>
            </w:r>
            <w:r w:rsidR="00A1752D" w:rsidRPr="00F6590B">
              <w:rPr>
                <w:rFonts w:cs="Times New Roman"/>
                <w:szCs w:val="24"/>
                <w:lang w:val="hr-HR"/>
              </w:rPr>
              <w:t xml:space="preserve"> </w:t>
            </w:r>
            <w:r w:rsidR="00A1752D" w:rsidRPr="00F6590B">
              <w:rPr>
                <w:szCs w:val="24"/>
                <w:lang w:val="hr-HR"/>
              </w:rPr>
              <w:t xml:space="preserve">+ </w:t>
            </w:r>
            <w:proofErr w:type="spellStart"/>
            <w:r w:rsidR="00A1752D" w:rsidRPr="00F6590B">
              <w:rPr>
                <w:i/>
                <w:szCs w:val="24"/>
                <w:lang w:val="hr-HR"/>
              </w:rPr>
              <w:t>u</w:t>
            </w:r>
            <w:r w:rsidR="00A1752D" w:rsidRPr="00F6590B">
              <w:rPr>
                <w:i/>
                <w:szCs w:val="24"/>
                <w:vertAlign w:val="subscript"/>
                <w:lang w:val="hr-HR"/>
              </w:rPr>
              <w:t>i</w:t>
            </w:r>
            <w:proofErr w:type="spellEnd"/>
            <w:r w:rsidR="00A1752D" w:rsidRPr="00F6590B">
              <w:rPr>
                <w:szCs w:val="24"/>
                <w:lang w:val="hr-HR"/>
              </w:rPr>
              <w:t xml:space="preserve"> + </w:t>
            </w:r>
            <w:proofErr w:type="spellStart"/>
            <w:r w:rsidR="00A1752D" w:rsidRPr="00F6590B">
              <w:rPr>
                <w:i/>
                <w:szCs w:val="24"/>
                <w:lang w:val="hr-HR"/>
              </w:rPr>
              <w:t>u</w:t>
            </w:r>
            <w:r w:rsidR="00A1752D" w:rsidRPr="00F6590B">
              <w:rPr>
                <w:i/>
                <w:szCs w:val="24"/>
                <w:vertAlign w:val="subscript"/>
                <w:lang w:val="hr-HR"/>
              </w:rPr>
              <w:t>t</w:t>
            </w:r>
            <w:proofErr w:type="spellEnd"/>
            <w:r w:rsidR="00A1752D" w:rsidRPr="00F6590B">
              <w:rPr>
                <w:szCs w:val="24"/>
                <w:lang w:val="hr-HR"/>
              </w:rPr>
              <w:t xml:space="preserve">) </w:t>
            </w:r>
            <w:r w:rsidRPr="00F6590B">
              <w:rPr>
                <w:i/>
                <w:szCs w:val="24"/>
                <w:lang w:val="hr-HR"/>
              </w:rPr>
              <w:t>+ β</w:t>
            </w:r>
            <w:r w:rsidRPr="00F6590B">
              <w:rPr>
                <w:szCs w:val="24"/>
                <w:vertAlign w:val="subscript"/>
                <w:lang w:val="hr-HR"/>
              </w:rPr>
              <w:t>1</w:t>
            </w:r>
            <w:r w:rsidRPr="00F6590B">
              <w:rPr>
                <w:i/>
                <w:szCs w:val="24"/>
                <w:lang w:val="hr-HR"/>
              </w:rPr>
              <w:t>lnNOVI</w:t>
            </w:r>
            <w:r w:rsidRPr="00F6590B">
              <w:rPr>
                <w:i/>
                <w:szCs w:val="24"/>
                <w:vertAlign w:val="subscript"/>
                <w:lang w:val="hr-HR"/>
              </w:rPr>
              <w:t xml:space="preserve">it </w:t>
            </w:r>
            <w:r w:rsidRPr="00F6590B">
              <w:rPr>
                <w:i/>
                <w:szCs w:val="24"/>
                <w:lang w:val="hr-HR"/>
              </w:rPr>
              <w:t>+ β</w:t>
            </w:r>
            <w:r w:rsidRPr="00F6590B">
              <w:rPr>
                <w:szCs w:val="24"/>
                <w:vertAlign w:val="subscript"/>
                <w:lang w:val="hr-HR"/>
              </w:rPr>
              <w:t>3</w:t>
            </w:r>
            <w:r w:rsidRPr="00F6590B">
              <w:rPr>
                <w:i/>
                <w:szCs w:val="24"/>
                <w:lang w:val="hr-HR"/>
              </w:rPr>
              <w:t>lnNERIJESENI</w:t>
            </w:r>
            <w:r w:rsidRPr="00F6590B">
              <w:rPr>
                <w:i/>
                <w:szCs w:val="24"/>
                <w:vertAlign w:val="subscript"/>
                <w:lang w:val="hr-HR"/>
              </w:rPr>
              <w:t>it-1</w:t>
            </w:r>
            <w:r w:rsidRPr="00F6590B">
              <w:rPr>
                <w:i/>
                <w:szCs w:val="24"/>
                <w:lang w:val="hr-HR"/>
              </w:rPr>
              <w:t xml:space="preserve"> + v</w:t>
            </w:r>
            <w:r w:rsidRPr="00F6590B">
              <w:rPr>
                <w:i/>
                <w:szCs w:val="24"/>
                <w:vertAlign w:val="subscript"/>
                <w:lang w:val="hr-HR"/>
              </w:rPr>
              <w:t>it</w:t>
            </w:r>
          </w:p>
        </w:tc>
      </w:tr>
      <w:tr w:rsidR="00617FF9" w:rsidRPr="00F6590B" w14:paraId="02F123AD" w14:textId="77777777" w:rsidTr="00617FF9">
        <w:trPr>
          <w:trHeight w:val="225"/>
          <w:jc w:val="center"/>
        </w:trPr>
        <w:tc>
          <w:tcPr>
            <w:tcW w:w="2017" w:type="dxa"/>
            <w:tcBorders>
              <w:bottom w:val="double" w:sz="4" w:space="0" w:color="auto"/>
            </w:tcBorders>
            <w:vAlign w:val="center"/>
          </w:tcPr>
          <w:p w14:paraId="4FACC3BD" w14:textId="77777777" w:rsidR="00617FF9" w:rsidRPr="00F6590B" w:rsidRDefault="00617FF9"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Varijabla</w:t>
            </w:r>
          </w:p>
        </w:tc>
        <w:tc>
          <w:tcPr>
            <w:tcW w:w="1103" w:type="dxa"/>
            <w:tcBorders>
              <w:bottom w:val="double" w:sz="4" w:space="0" w:color="auto"/>
            </w:tcBorders>
            <w:vAlign w:val="center"/>
          </w:tcPr>
          <w:p w14:paraId="31DDF9D6" w14:textId="77777777" w:rsidR="00617FF9" w:rsidRPr="00F6590B" w:rsidRDefault="00617FF9"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Koeficijent</w:t>
            </w:r>
          </w:p>
        </w:tc>
        <w:tc>
          <w:tcPr>
            <w:tcW w:w="1207" w:type="dxa"/>
            <w:tcBorders>
              <w:bottom w:val="double" w:sz="4" w:space="0" w:color="auto"/>
            </w:tcBorders>
            <w:vAlign w:val="center"/>
          </w:tcPr>
          <w:p w14:paraId="2BC647DB" w14:textId="77777777" w:rsidR="00617FF9" w:rsidRPr="00F6590B" w:rsidRDefault="00617FF9"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Standardna greška</w:t>
            </w:r>
          </w:p>
        </w:tc>
        <w:tc>
          <w:tcPr>
            <w:tcW w:w="1208" w:type="dxa"/>
            <w:tcBorders>
              <w:bottom w:val="double" w:sz="4" w:space="0" w:color="auto"/>
            </w:tcBorders>
            <w:vAlign w:val="center"/>
          </w:tcPr>
          <w:p w14:paraId="70BF707A" w14:textId="77777777" w:rsidR="00617FF9" w:rsidRPr="00F6590B" w:rsidRDefault="00617FF9"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t-stat.</w:t>
            </w:r>
          </w:p>
        </w:tc>
        <w:tc>
          <w:tcPr>
            <w:tcW w:w="2453" w:type="dxa"/>
            <w:tcBorders>
              <w:bottom w:val="double" w:sz="4" w:space="0" w:color="auto"/>
            </w:tcBorders>
            <w:vAlign w:val="center"/>
          </w:tcPr>
          <w:p w14:paraId="7B4AE2F1" w14:textId="77777777" w:rsidR="00617FF9" w:rsidRPr="00F6590B" w:rsidRDefault="00617FF9" w:rsidP="00483743">
            <w:pPr>
              <w:autoSpaceDE w:val="0"/>
              <w:autoSpaceDN w:val="0"/>
              <w:adjustRightInd w:val="0"/>
              <w:spacing w:line="240" w:lineRule="auto"/>
              <w:ind w:right="10"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P-vrijednost</w:t>
            </w:r>
          </w:p>
        </w:tc>
      </w:tr>
      <w:tr w:rsidR="00617FF9" w:rsidRPr="00F6590B" w14:paraId="1C70E20F" w14:textId="77777777" w:rsidTr="00617FF9">
        <w:trPr>
          <w:trHeight w:val="225"/>
          <w:jc w:val="center"/>
        </w:trPr>
        <w:tc>
          <w:tcPr>
            <w:tcW w:w="2017" w:type="dxa"/>
            <w:tcBorders>
              <w:top w:val="double" w:sz="4" w:space="0" w:color="auto"/>
            </w:tcBorders>
            <w:vAlign w:val="center"/>
          </w:tcPr>
          <w:p w14:paraId="77F25B84" w14:textId="77777777" w:rsidR="00617FF9" w:rsidRPr="00F6590B" w:rsidRDefault="00617FF9" w:rsidP="00483743">
            <w:pPr>
              <w:autoSpaceDE w:val="0"/>
              <w:autoSpaceDN w:val="0"/>
              <w:adjustRightInd w:val="0"/>
              <w:spacing w:line="240" w:lineRule="auto"/>
              <w:ind w:firstLine="0"/>
              <w:jc w:val="center"/>
              <w:rPr>
                <w:rFonts w:asciiTheme="minorHAnsi" w:hAnsiTheme="minorHAnsi" w:cs="Arial"/>
                <w:color w:val="000000"/>
                <w:szCs w:val="24"/>
                <w:lang w:val="hr-HR"/>
              </w:rPr>
            </w:pPr>
            <w:r w:rsidRPr="00F6590B">
              <w:rPr>
                <w:rFonts w:asciiTheme="minorHAnsi" w:hAnsiTheme="minorHAnsi" w:cs="Arial"/>
                <w:color w:val="000000"/>
                <w:szCs w:val="24"/>
                <w:lang w:val="hr-HR"/>
              </w:rPr>
              <w:t>C</w:t>
            </w:r>
          </w:p>
        </w:tc>
        <w:tc>
          <w:tcPr>
            <w:tcW w:w="1103" w:type="dxa"/>
            <w:tcBorders>
              <w:top w:val="double" w:sz="4" w:space="0" w:color="auto"/>
            </w:tcBorders>
            <w:vAlign w:val="bottom"/>
          </w:tcPr>
          <w:p w14:paraId="27ADD596" w14:textId="1727B800"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-1</w:t>
            </w:r>
            <w:r w:rsidR="00881327" w:rsidRPr="00F6590B">
              <w:rPr>
                <w:rFonts w:ascii="Calibri" w:hAnsi="Calibri"/>
                <w:color w:val="000000"/>
                <w:lang w:val="hr-HR"/>
              </w:rPr>
              <w:t>,</w:t>
            </w:r>
            <w:r w:rsidRPr="00F6590B">
              <w:rPr>
                <w:rFonts w:ascii="Calibri" w:hAnsi="Calibri"/>
                <w:color w:val="000000"/>
                <w:lang w:val="hr-HR"/>
              </w:rPr>
              <w:t>389</w:t>
            </w:r>
          </w:p>
        </w:tc>
        <w:tc>
          <w:tcPr>
            <w:tcW w:w="1207" w:type="dxa"/>
            <w:tcBorders>
              <w:top w:val="double" w:sz="4" w:space="0" w:color="auto"/>
            </w:tcBorders>
            <w:vAlign w:val="bottom"/>
          </w:tcPr>
          <w:p w14:paraId="52E7A4FF" w14:textId="19A920C1"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489</w:t>
            </w:r>
          </w:p>
        </w:tc>
        <w:tc>
          <w:tcPr>
            <w:tcW w:w="1208" w:type="dxa"/>
            <w:tcBorders>
              <w:top w:val="double" w:sz="4" w:space="0" w:color="auto"/>
            </w:tcBorders>
            <w:vAlign w:val="bottom"/>
          </w:tcPr>
          <w:p w14:paraId="1BB1ABBF" w14:textId="0BC478D2"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-2</w:t>
            </w:r>
            <w:r w:rsidR="00881327" w:rsidRPr="00F6590B">
              <w:rPr>
                <w:rFonts w:ascii="Calibri" w:hAnsi="Calibri"/>
                <w:color w:val="000000"/>
                <w:lang w:val="hr-HR"/>
              </w:rPr>
              <w:t>,</w:t>
            </w:r>
            <w:r w:rsidRPr="00F6590B">
              <w:rPr>
                <w:rFonts w:ascii="Calibri" w:hAnsi="Calibri"/>
                <w:color w:val="000000"/>
                <w:lang w:val="hr-HR"/>
              </w:rPr>
              <w:t>839</w:t>
            </w:r>
          </w:p>
        </w:tc>
        <w:tc>
          <w:tcPr>
            <w:tcW w:w="2453" w:type="dxa"/>
            <w:tcBorders>
              <w:top w:val="double" w:sz="4" w:space="0" w:color="auto"/>
            </w:tcBorders>
            <w:vAlign w:val="bottom"/>
          </w:tcPr>
          <w:p w14:paraId="0A168173" w14:textId="5B40FE90"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007</w:t>
            </w:r>
          </w:p>
        </w:tc>
      </w:tr>
      <w:tr w:rsidR="00617FF9" w:rsidRPr="00F6590B" w14:paraId="596DA16E" w14:textId="77777777" w:rsidTr="00617FF9">
        <w:trPr>
          <w:trHeight w:val="225"/>
          <w:jc w:val="center"/>
        </w:trPr>
        <w:tc>
          <w:tcPr>
            <w:tcW w:w="2017" w:type="dxa"/>
            <w:vAlign w:val="center"/>
          </w:tcPr>
          <w:p w14:paraId="319D25A7" w14:textId="77777777" w:rsidR="00617FF9" w:rsidRPr="00F6590B" w:rsidRDefault="00617FF9"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Pr="00F6590B">
              <w:rPr>
                <w:rFonts w:asciiTheme="minorHAnsi" w:hAnsiTheme="minorHAnsi" w:cs="Arial"/>
                <w:color w:val="000000"/>
                <w:szCs w:val="24"/>
                <w:lang w:val="hr-HR"/>
              </w:rPr>
              <w:t>(NOVI)</w:t>
            </w:r>
          </w:p>
        </w:tc>
        <w:tc>
          <w:tcPr>
            <w:tcW w:w="1103" w:type="dxa"/>
            <w:vAlign w:val="bottom"/>
          </w:tcPr>
          <w:p w14:paraId="74BA4717" w14:textId="37EBBD07"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791</w:t>
            </w:r>
          </w:p>
        </w:tc>
        <w:tc>
          <w:tcPr>
            <w:tcW w:w="1207" w:type="dxa"/>
            <w:vAlign w:val="bottom"/>
          </w:tcPr>
          <w:p w14:paraId="29462BE0" w14:textId="750EF2B8"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059</w:t>
            </w:r>
          </w:p>
        </w:tc>
        <w:tc>
          <w:tcPr>
            <w:tcW w:w="1208" w:type="dxa"/>
            <w:vAlign w:val="bottom"/>
          </w:tcPr>
          <w:p w14:paraId="040E0739" w14:textId="7C495B05"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13</w:t>
            </w:r>
            <w:r w:rsidR="00881327" w:rsidRPr="00F6590B">
              <w:rPr>
                <w:rFonts w:ascii="Calibri" w:hAnsi="Calibri"/>
                <w:color w:val="000000"/>
                <w:lang w:val="hr-HR"/>
              </w:rPr>
              <w:t>,</w:t>
            </w:r>
            <w:r w:rsidRPr="00F6590B">
              <w:rPr>
                <w:rFonts w:ascii="Calibri" w:hAnsi="Calibri"/>
                <w:color w:val="000000"/>
                <w:lang w:val="hr-HR"/>
              </w:rPr>
              <w:t>475</w:t>
            </w:r>
          </w:p>
        </w:tc>
        <w:tc>
          <w:tcPr>
            <w:tcW w:w="2453" w:type="dxa"/>
            <w:vAlign w:val="bottom"/>
          </w:tcPr>
          <w:p w14:paraId="2937B6D4" w14:textId="1AAD3780"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000</w:t>
            </w:r>
          </w:p>
        </w:tc>
      </w:tr>
      <w:tr w:rsidR="00617FF9" w:rsidRPr="00F6590B" w14:paraId="486BD0CA" w14:textId="77777777" w:rsidTr="00617FF9">
        <w:trPr>
          <w:trHeight w:val="225"/>
          <w:jc w:val="center"/>
        </w:trPr>
        <w:tc>
          <w:tcPr>
            <w:tcW w:w="2017" w:type="dxa"/>
            <w:tcBorders>
              <w:bottom w:val="double" w:sz="4" w:space="0" w:color="auto"/>
            </w:tcBorders>
            <w:vAlign w:val="center"/>
          </w:tcPr>
          <w:p w14:paraId="3D4F0684" w14:textId="77777777" w:rsidR="00617FF9" w:rsidRPr="00F6590B" w:rsidRDefault="00617FF9" w:rsidP="00483743">
            <w:pPr>
              <w:autoSpaceDE w:val="0"/>
              <w:autoSpaceDN w:val="0"/>
              <w:adjustRightInd w:val="0"/>
              <w:spacing w:line="240" w:lineRule="auto"/>
              <w:ind w:firstLine="0"/>
              <w:jc w:val="center"/>
              <w:rPr>
                <w:rFonts w:asciiTheme="minorHAnsi" w:hAnsiTheme="minorHAnsi" w:cs="Arial"/>
                <w:color w:val="000000"/>
                <w:szCs w:val="24"/>
                <w:lang w:val="hr-HR"/>
              </w:rPr>
            </w:pPr>
            <w:proofErr w:type="spellStart"/>
            <w:r w:rsidRPr="00F6590B">
              <w:rPr>
                <w:rFonts w:asciiTheme="minorHAnsi" w:hAnsiTheme="minorHAnsi" w:cs="Arial"/>
                <w:color w:val="000000"/>
                <w:szCs w:val="24"/>
                <w:lang w:val="hr-HR"/>
              </w:rPr>
              <w:t>ln</w:t>
            </w:r>
            <w:proofErr w:type="spellEnd"/>
            <w:r w:rsidRPr="00F6590B">
              <w:rPr>
                <w:rFonts w:asciiTheme="minorHAnsi" w:hAnsiTheme="minorHAnsi" w:cs="Arial"/>
                <w:color w:val="000000"/>
                <w:szCs w:val="24"/>
                <w:lang w:val="hr-HR"/>
              </w:rPr>
              <w:t>(NERIJESENI(-1))</w:t>
            </w:r>
          </w:p>
        </w:tc>
        <w:tc>
          <w:tcPr>
            <w:tcW w:w="1103" w:type="dxa"/>
            <w:tcBorders>
              <w:bottom w:val="double" w:sz="4" w:space="0" w:color="auto"/>
            </w:tcBorders>
            <w:vAlign w:val="bottom"/>
          </w:tcPr>
          <w:p w14:paraId="1BB9C827" w14:textId="124320E5"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495</w:t>
            </w:r>
          </w:p>
        </w:tc>
        <w:tc>
          <w:tcPr>
            <w:tcW w:w="1207" w:type="dxa"/>
            <w:tcBorders>
              <w:bottom w:val="double" w:sz="4" w:space="0" w:color="auto"/>
            </w:tcBorders>
            <w:vAlign w:val="bottom"/>
          </w:tcPr>
          <w:p w14:paraId="41403D9C" w14:textId="3BE1F464"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062</w:t>
            </w:r>
          </w:p>
        </w:tc>
        <w:tc>
          <w:tcPr>
            <w:tcW w:w="1208" w:type="dxa"/>
            <w:tcBorders>
              <w:bottom w:val="double" w:sz="4" w:space="0" w:color="auto"/>
            </w:tcBorders>
            <w:vAlign w:val="bottom"/>
          </w:tcPr>
          <w:p w14:paraId="58886169" w14:textId="762D648D"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7</w:t>
            </w:r>
            <w:r w:rsidR="00881327" w:rsidRPr="00F6590B">
              <w:rPr>
                <w:rFonts w:ascii="Calibri" w:hAnsi="Calibri"/>
                <w:color w:val="000000"/>
                <w:lang w:val="hr-HR"/>
              </w:rPr>
              <w:t>,</w:t>
            </w:r>
            <w:r w:rsidRPr="00F6590B">
              <w:rPr>
                <w:rFonts w:ascii="Calibri" w:hAnsi="Calibri"/>
                <w:color w:val="000000"/>
                <w:lang w:val="hr-HR"/>
              </w:rPr>
              <w:t>991</w:t>
            </w:r>
          </w:p>
        </w:tc>
        <w:tc>
          <w:tcPr>
            <w:tcW w:w="2453" w:type="dxa"/>
            <w:tcBorders>
              <w:bottom w:val="double" w:sz="4" w:space="0" w:color="auto"/>
            </w:tcBorders>
            <w:vAlign w:val="bottom"/>
          </w:tcPr>
          <w:p w14:paraId="030DEDE3" w14:textId="6DF23E96"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000</w:t>
            </w:r>
          </w:p>
        </w:tc>
      </w:tr>
      <w:tr w:rsidR="00617FF9" w:rsidRPr="00F6590B" w14:paraId="0BAFDC7D" w14:textId="77777777" w:rsidTr="00617FF9">
        <w:trPr>
          <w:trHeight w:val="225"/>
          <w:jc w:val="center"/>
        </w:trPr>
        <w:tc>
          <w:tcPr>
            <w:tcW w:w="2017" w:type="dxa"/>
            <w:tcBorders>
              <w:top w:val="double" w:sz="4" w:space="0" w:color="auto"/>
            </w:tcBorders>
            <w:vAlign w:val="center"/>
          </w:tcPr>
          <w:p w14:paraId="6B35BF7B" w14:textId="77777777"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R</w:t>
            </w:r>
            <w:r w:rsidRPr="00F6590B">
              <w:rPr>
                <w:rFonts w:ascii="Calibri" w:hAnsi="Calibri"/>
                <w:color w:val="000000"/>
                <w:vertAlign w:val="superscript"/>
                <w:lang w:val="hr-HR"/>
              </w:rPr>
              <w:t>2</w:t>
            </w:r>
          </w:p>
        </w:tc>
        <w:tc>
          <w:tcPr>
            <w:tcW w:w="1103" w:type="dxa"/>
            <w:tcBorders>
              <w:top w:val="double" w:sz="4" w:space="0" w:color="auto"/>
            </w:tcBorders>
            <w:vAlign w:val="bottom"/>
          </w:tcPr>
          <w:p w14:paraId="07FFCA52" w14:textId="6381A09E"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971</w:t>
            </w:r>
          </w:p>
        </w:tc>
        <w:tc>
          <w:tcPr>
            <w:tcW w:w="2415" w:type="dxa"/>
            <w:gridSpan w:val="2"/>
            <w:tcBorders>
              <w:top w:val="double" w:sz="4" w:space="0" w:color="auto"/>
            </w:tcBorders>
            <w:vAlign w:val="center"/>
          </w:tcPr>
          <w:p w14:paraId="7B017058" w14:textId="77777777"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proofErr w:type="spellStart"/>
            <w:r w:rsidRPr="00F6590B">
              <w:rPr>
                <w:rFonts w:ascii="Calibri" w:hAnsi="Calibri"/>
                <w:color w:val="000000"/>
                <w:lang w:val="hr-HR"/>
              </w:rPr>
              <w:t>Stand</w:t>
            </w:r>
            <w:proofErr w:type="spellEnd"/>
            <w:r w:rsidRPr="00F6590B">
              <w:rPr>
                <w:rFonts w:ascii="Calibri" w:hAnsi="Calibri"/>
                <w:color w:val="000000"/>
                <w:lang w:val="hr-HR"/>
              </w:rPr>
              <w:t>. greška regresije</w:t>
            </w:r>
          </w:p>
        </w:tc>
        <w:tc>
          <w:tcPr>
            <w:tcW w:w="2453" w:type="dxa"/>
            <w:tcBorders>
              <w:top w:val="double" w:sz="4" w:space="0" w:color="auto"/>
            </w:tcBorders>
            <w:vAlign w:val="center"/>
          </w:tcPr>
          <w:p w14:paraId="013FE7E5" w14:textId="093C70C8"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0,171</w:t>
            </w:r>
          </w:p>
        </w:tc>
      </w:tr>
      <w:tr w:rsidR="00617FF9" w:rsidRPr="00F6590B" w14:paraId="2DE1383A" w14:textId="77777777" w:rsidTr="00617FF9">
        <w:trPr>
          <w:trHeight w:val="225"/>
          <w:jc w:val="center"/>
        </w:trPr>
        <w:tc>
          <w:tcPr>
            <w:tcW w:w="2017" w:type="dxa"/>
            <w:vMerge w:val="restart"/>
            <w:vAlign w:val="center"/>
          </w:tcPr>
          <w:p w14:paraId="74AA65E6" w14:textId="77777777"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Korigirani R</w:t>
            </w:r>
            <w:r w:rsidRPr="00F6590B">
              <w:rPr>
                <w:rFonts w:ascii="Calibri" w:hAnsi="Calibri"/>
                <w:color w:val="000000"/>
                <w:vertAlign w:val="superscript"/>
                <w:lang w:val="hr-HR"/>
              </w:rPr>
              <w:t>2</w:t>
            </w:r>
          </w:p>
        </w:tc>
        <w:tc>
          <w:tcPr>
            <w:tcW w:w="1103" w:type="dxa"/>
            <w:vMerge w:val="restart"/>
            <w:vAlign w:val="center"/>
          </w:tcPr>
          <w:p w14:paraId="481420A1" w14:textId="188AB27B"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959</w:t>
            </w:r>
          </w:p>
        </w:tc>
        <w:tc>
          <w:tcPr>
            <w:tcW w:w="2415" w:type="dxa"/>
            <w:gridSpan w:val="2"/>
            <w:vAlign w:val="center"/>
          </w:tcPr>
          <w:p w14:paraId="47348A4B" w14:textId="77777777"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F-stat.</w:t>
            </w:r>
          </w:p>
        </w:tc>
        <w:tc>
          <w:tcPr>
            <w:tcW w:w="2453" w:type="dxa"/>
            <w:vAlign w:val="bottom"/>
          </w:tcPr>
          <w:p w14:paraId="45AA35DD" w14:textId="261735E5"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87</w:t>
            </w:r>
            <w:r w:rsidR="00881327" w:rsidRPr="00F6590B">
              <w:rPr>
                <w:rFonts w:ascii="Calibri" w:hAnsi="Calibri"/>
                <w:color w:val="000000"/>
                <w:lang w:val="hr-HR"/>
              </w:rPr>
              <w:t>,</w:t>
            </w:r>
            <w:r w:rsidRPr="00F6590B">
              <w:rPr>
                <w:rFonts w:ascii="Calibri" w:hAnsi="Calibri"/>
                <w:color w:val="000000"/>
                <w:lang w:val="hr-HR"/>
              </w:rPr>
              <w:t>856</w:t>
            </w:r>
          </w:p>
        </w:tc>
      </w:tr>
      <w:tr w:rsidR="00617FF9" w:rsidRPr="00F6590B" w14:paraId="4BC634C0" w14:textId="77777777" w:rsidTr="00617FF9">
        <w:trPr>
          <w:trHeight w:val="225"/>
          <w:jc w:val="center"/>
        </w:trPr>
        <w:tc>
          <w:tcPr>
            <w:tcW w:w="2017" w:type="dxa"/>
            <w:vMerge/>
            <w:vAlign w:val="center"/>
          </w:tcPr>
          <w:p w14:paraId="3436D3DA" w14:textId="77777777"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p>
        </w:tc>
        <w:tc>
          <w:tcPr>
            <w:tcW w:w="1103" w:type="dxa"/>
            <w:vMerge/>
            <w:vAlign w:val="center"/>
          </w:tcPr>
          <w:p w14:paraId="366A1050" w14:textId="77777777"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p>
        </w:tc>
        <w:tc>
          <w:tcPr>
            <w:tcW w:w="2415" w:type="dxa"/>
            <w:gridSpan w:val="2"/>
            <w:vAlign w:val="center"/>
          </w:tcPr>
          <w:p w14:paraId="1E0096CB" w14:textId="77777777"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P (F-stat.)</w:t>
            </w:r>
          </w:p>
        </w:tc>
        <w:tc>
          <w:tcPr>
            <w:tcW w:w="2453" w:type="dxa"/>
            <w:vAlign w:val="bottom"/>
          </w:tcPr>
          <w:p w14:paraId="17A5B966" w14:textId="0FBE79A9" w:rsidR="00617FF9" w:rsidRPr="00F6590B" w:rsidRDefault="00617FF9" w:rsidP="00483743">
            <w:pPr>
              <w:autoSpaceDE w:val="0"/>
              <w:autoSpaceDN w:val="0"/>
              <w:adjustRightInd w:val="0"/>
              <w:spacing w:line="240" w:lineRule="auto"/>
              <w:ind w:right="10" w:firstLine="0"/>
              <w:jc w:val="center"/>
              <w:rPr>
                <w:rFonts w:ascii="Calibri" w:hAnsi="Calibri"/>
                <w:color w:val="000000"/>
                <w:lang w:val="hr-HR"/>
              </w:rPr>
            </w:pPr>
            <w:r w:rsidRPr="00F6590B">
              <w:rPr>
                <w:rFonts w:ascii="Calibri" w:hAnsi="Calibri"/>
                <w:color w:val="000000"/>
                <w:lang w:val="hr-HR"/>
              </w:rPr>
              <w:t>0</w:t>
            </w:r>
            <w:r w:rsidR="00881327" w:rsidRPr="00F6590B">
              <w:rPr>
                <w:rFonts w:ascii="Calibri" w:hAnsi="Calibri"/>
                <w:color w:val="000000"/>
                <w:lang w:val="hr-HR"/>
              </w:rPr>
              <w:t>,</w:t>
            </w:r>
            <w:r w:rsidRPr="00F6590B">
              <w:rPr>
                <w:rFonts w:ascii="Calibri" w:hAnsi="Calibri"/>
                <w:color w:val="000000"/>
                <w:lang w:val="hr-HR"/>
              </w:rPr>
              <w:t>000</w:t>
            </w:r>
          </w:p>
        </w:tc>
      </w:tr>
      <w:tr w:rsidR="00617FF9" w:rsidRPr="00F6590B" w14:paraId="0D14A399" w14:textId="77777777" w:rsidTr="00617FF9">
        <w:trPr>
          <w:trHeight w:val="225"/>
          <w:jc w:val="center"/>
        </w:trPr>
        <w:tc>
          <w:tcPr>
            <w:tcW w:w="7988" w:type="dxa"/>
            <w:gridSpan w:val="5"/>
            <w:vAlign w:val="bottom"/>
          </w:tcPr>
          <w:p w14:paraId="0DE29A85" w14:textId="77777777" w:rsidR="00617FF9" w:rsidRPr="00F6590B" w:rsidRDefault="00617FF9" w:rsidP="00483743">
            <w:pPr>
              <w:pStyle w:val="ListParagraph"/>
              <w:numPr>
                <w:ilvl w:val="0"/>
                <w:numId w:val="8"/>
              </w:numPr>
              <w:autoSpaceDE w:val="0"/>
              <w:autoSpaceDN w:val="0"/>
              <w:adjustRightInd w:val="0"/>
              <w:spacing w:line="240" w:lineRule="auto"/>
              <w:ind w:right="10"/>
              <w:jc w:val="left"/>
              <w:rPr>
                <w:rFonts w:asciiTheme="minorHAnsi" w:hAnsiTheme="minorHAnsi" w:cs="Arial"/>
                <w:color w:val="000000"/>
                <w:szCs w:val="24"/>
                <w:lang w:val="hr-HR"/>
              </w:rPr>
            </w:pPr>
            <w:r w:rsidRPr="00F6590B">
              <w:rPr>
                <w:rFonts w:asciiTheme="minorHAnsi" w:hAnsiTheme="minorHAnsi" w:cs="Arial"/>
                <w:color w:val="000000"/>
                <w:szCs w:val="24"/>
                <w:lang w:val="hr-HR"/>
              </w:rPr>
              <w:t>Fiksni učinci sudova (</w:t>
            </w:r>
            <w:proofErr w:type="spellStart"/>
            <w:r w:rsidRPr="00F6590B">
              <w:rPr>
                <w:rFonts w:asciiTheme="minorHAnsi" w:hAnsiTheme="minorHAnsi" w:cs="Arial"/>
                <w:i/>
                <w:color w:val="000000"/>
                <w:szCs w:val="24"/>
                <w:lang w:val="hr-HR"/>
              </w:rPr>
              <w:t>dummy</w:t>
            </w:r>
            <w:proofErr w:type="spellEnd"/>
            <w:r w:rsidRPr="00F6590B">
              <w:rPr>
                <w:rFonts w:asciiTheme="minorHAnsi" w:hAnsiTheme="minorHAnsi" w:cs="Arial"/>
                <w:color w:val="000000"/>
                <w:szCs w:val="24"/>
                <w:lang w:val="hr-HR"/>
              </w:rPr>
              <w:t xml:space="preserve"> varijable)</w:t>
            </w:r>
          </w:p>
          <w:p w14:paraId="494EA1F4" w14:textId="77777777" w:rsidR="00617FF9" w:rsidRPr="00F6590B" w:rsidRDefault="00617FF9" w:rsidP="00483743">
            <w:pPr>
              <w:pStyle w:val="ListParagraph"/>
              <w:numPr>
                <w:ilvl w:val="0"/>
                <w:numId w:val="8"/>
              </w:numPr>
              <w:autoSpaceDE w:val="0"/>
              <w:autoSpaceDN w:val="0"/>
              <w:adjustRightInd w:val="0"/>
              <w:spacing w:line="240" w:lineRule="auto"/>
              <w:ind w:right="10"/>
              <w:jc w:val="left"/>
              <w:rPr>
                <w:rFonts w:asciiTheme="minorHAnsi" w:hAnsiTheme="minorHAnsi" w:cs="Arial"/>
                <w:color w:val="000000"/>
                <w:szCs w:val="24"/>
                <w:lang w:val="hr-HR"/>
              </w:rPr>
            </w:pPr>
            <w:r w:rsidRPr="00F6590B">
              <w:rPr>
                <w:rFonts w:asciiTheme="minorHAnsi" w:hAnsiTheme="minorHAnsi" w:cs="Arial"/>
                <w:color w:val="000000"/>
                <w:szCs w:val="24"/>
                <w:lang w:val="hr-HR"/>
              </w:rPr>
              <w:t>Fiksni učinci vremenskih razdoblja (</w:t>
            </w:r>
            <w:proofErr w:type="spellStart"/>
            <w:r w:rsidRPr="00F6590B">
              <w:rPr>
                <w:rFonts w:asciiTheme="minorHAnsi" w:hAnsiTheme="minorHAnsi" w:cs="Arial"/>
                <w:i/>
                <w:color w:val="000000"/>
                <w:szCs w:val="24"/>
                <w:lang w:val="hr-HR"/>
              </w:rPr>
              <w:t>dummy</w:t>
            </w:r>
            <w:proofErr w:type="spellEnd"/>
            <w:r w:rsidRPr="00F6590B">
              <w:rPr>
                <w:rFonts w:asciiTheme="minorHAnsi" w:hAnsiTheme="minorHAnsi" w:cs="Arial"/>
                <w:color w:val="000000"/>
                <w:szCs w:val="24"/>
                <w:lang w:val="hr-HR"/>
              </w:rPr>
              <w:t xml:space="preserve"> varijable)</w:t>
            </w:r>
          </w:p>
          <w:p w14:paraId="68A7EBF9" w14:textId="77777777" w:rsidR="00617FF9" w:rsidRPr="00F6590B" w:rsidRDefault="00617FF9" w:rsidP="00483743">
            <w:pPr>
              <w:pStyle w:val="ListParagraph"/>
              <w:numPr>
                <w:ilvl w:val="0"/>
                <w:numId w:val="8"/>
              </w:numPr>
              <w:autoSpaceDE w:val="0"/>
              <w:autoSpaceDN w:val="0"/>
              <w:adjustRightInd w:val="0"/>
              <w:spacing w:line="240" w:lineRule="auto"/>
              <w:ind w:right="10"/>
              <w:jc w:val="left"/>
              <w:rPr>
                <w:rFonts w:asciiTheme="minorHAnsi" w:hAnsiTheme="minorHAnsi" w:cs="Arial"/>
                <w:color w:val="000000"/>
                <w:szCs w:val="24"/>
                <w:lang w:val="hr-HR"/>
              </w:rPr>
            </w:pPr>
            <w:r w:rsidRPr="00F6590B">
              <w:rPr>
                <w:rFonts w:asciiTheme="minorHAnsi" w:hAnsiTheme="minorHAnsi" w:cs="Arial"/>
                <w:color w:val="000000"/>
                <w:szCs w:val="24"/>
                <w:lang w:val="hr-HR"/>
              </w:rPr>
              <w:t>Standardne greške i kovarijanca konzistentne s obzirom na heteroskedastičnost (White), korigirano za stupnjeve slobode</w:t>
            </w:r>
          </w:p>
        </w:tc>
      </w:tr>
    </w:tbl>
    <w:p w14:paraId="2DBA1BC6" w14:textId="475A1EBC"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3DACA147" w14:textId="77777777" w:rsidR="00617FF9" w:rsidRPr="00F6590B" w:rsidRDefault="00617FF9" w:rsidP="00483743">
      <w:pPr>
        <w:spacing w:line="480" w:lineRule="auto"/>
        <w:rPr>
          <w:lang w:val="hr-HR"/>
        </w:rPr>
      </w:pPr>
    </w:p>
    <w:p w14:paraId="09BBDEC2" w14:textId="188D38F4" w:rsidR="00B60B93" w:rsidRPr="00F6590B" w:rsidRDefault="00B60B93" w:rsidP="00483743">
      <w:pPr>
        <w:spacing w:line="480" w:lineRule="auto"/>
        <w:rPr>
          <w:lang w:val="hr-HR"/>
        </w:rPr>
      </w:pPr>
      <w:r w:rsidRPr="00F6590B">
        <w:rPr>
          <w:lang w:val="hr-HR"/>
        </w:rPr>
        <w:t xml:space="preserve">Fiksni učinci sudova, kao individualni koeficijenti koji se pridodaju zajedničkoj konstanti, predstavljeni su u tablici </w:t>
      </w:r>
      <w:r w:rsidR="00D26260" w:rsidRPr="00F6590B">
        <w:rPr>
          <w:lang w:val="hr-HR"/>
        </w:rPr>
        <w:t>9</w:t>
      </w:r>
      <w:r w:rsidRPr="00F6590B">
        <w:rPr>
          <w:lang w:val="hr-HR"/>
        </w:rPr>
        <w:t xml:space="preserve">. Valja imati na umu kako je varijabla koja opisuje veličinu suda isključena kao </w:t>
      </w:r>
      <w:proofErr w:type="spellStart"/>
      <w:r w:rsidRPr="00F6590B">
        <w:rPr>
          <w:lang w:val="hr-HR"/>
        </w:rPr>
        <w:t>insignifikantna</w:t>
      </w:r>
      <w:proofErr w:type="spellEnd"/>
      <w:r w:rsidRPr="00F6590B">
        <w:rPr>
          <w:lang w:val="hr-HR"/>
        </w:rPr>
        <w:t xml:space="preserve">, te da stoga efikasnost suda </w:t>
      </w:r>
      <w:r w:rsidR="00524123" w:rsidRPr="00F6590B">
        <w:rPr>
          <w:lang w:val="hr-HR"/>
        </w:rPr>
        <w:t xml:space="preserve">ovdje </w:t>
      </w:r>
      <w:r w:rsidRPr="00F6590B">
        <w:rPr>
          <w:lang w:val="hr-HR"/>
        </w:rPr>
        <w:t>ne ovisi o veličini</w:t>
      </w:r>
      <w:r w:rsidR="00A118C3" w:rsidRPr="00F6590B">
        <w:rPr>
          <w:lang w:val="hr-HR"/>
        </w:rPr>
        <w:t xml:space="preserve"> suda mjerenoj ukupnim brojem sudaca. Naime, očito je kako npr. Trgovački sud u Zagrebu u promatranom razdoblju konstantno rješava manje stečajnih predmeta od prosjeka ostalih sudova, i to bez obzira na količinu priljeva novih predmeta ili broj sudaca. Svakako, moguća interpretacija </w:t>
      </w:r>
      <w:r w:rsidR="00D06778" w:rsidRPr="00F6590B">
        <w:rPr>
          <w:lang w:val="hr-HR"/>
        </w:rPr>
        <w:t xml:space="preserve">je </w:t>
      </w:r>
      <w:r w:rsidR="00A118C3" w:rsidRPr="00F6590B">
        <w:rPr>
          <w:lang w:val="hr-HR"/>
        </w:rPr>
        <w:t>i ona koja postulira kako b</w:t>
      </w:r>
      <w:r w:rsidR="00464786" w:rsidRPr="00F6590B">
        <w:rPr>
          <w:lang w:val="hr-HR"/>
        </w:rPr>
        <w:t>roj sudaca na sudu nije naj</w:t>
      </w:r>
      <w:r w:rsidR="00D06778" w:rsidRPr="00F6590B">
        <w:rPr>
          <w:lang w:val="hr-HR"/>
        </w:rPr>
        <w:t xml:space="preserve">bolji reprezentant </w:t>
      </w:r>
      <w:r w:rsidR="00464786" w:rsidRPr="00F6590B">
        <w:rPr>
          <w:lang w:val="hr-HR"/>
        </w:rPr>
        <w:t xml:space="preserve">veličine suda, </w:t>
      </w:r>
      <w:r w:rsidR="00D06778" w:rsidRPr="00F6590B">
        <w:rPr>
          <w:lang w:val="hr-HR"/>
        </w:rPr>
        <w:t>ili</w:t>
      </w:r>
      <w:r w:rsidR="00464786" w:rsidRPr="00F6590B">
        <w:rPr>
          <w:lang w:val="hr-HR"/>
        </w:rPr>
        <w:t xml:space="preserve"> kako su radna atmosfera i produktivnost</w:t>
      </w:r>
      <w:r w:rsidR="00A118C3" w:rsidRPr="00F6590B">
        <w:rPr>
          <w:lang w:val="hr-HR"/>
        </w:rPr>
        <w:t xml:space="preserve"> </w:t>
      </w:r>
      <w:r w:rsidR="00464786" w:rsidRPr="00F6590B">
        <w:rPr>
          <w:lang w:val="hr-HR"/>
        </w:rPr>
        <w:t>općenito bolji u manjim (agilnijim, fleksibilnijim) sustavima.</w:t>
      </w:r>
      <w:r w:rsidR="00524123" w:rsidRPr="00F6590B">
        <w:rPr>
          <w:lang w:val="hr-HR"/>
        </w:rPr>
        <w:t xml:space="preserve"> Pri </w:t>
      </w:r>
      <w:r w:rsidR="00D06778" w:rsidRPr="00F6590B">
        <w:rPr>
          <w:lang w:val="hr-HR"/>
        </w:rPr>
        <w:t xml:space="preserve">razmatranju ovih mogućnosti </w:t>
      </w:r>
      <w:r w:rsidR="00524123" w:rsidRPr="00F6590B">
        <w:rPr>
          <w:lang w:val="hr-HR"/>
        </w:rPr>
        <w:t>valja ima</w:t>
      </w:r>
      <w:r w:rsidR="008C7B14" w:rsidRPr="00F6590B">
        <w:rPr>
          <w:lang w:val="hr-HR"/>
        </w:rPr>
        <w:t xml:space="preserve">ti na umu kako je konačni model koristeći dvije varijable </w:t>
      </w:r>
      <w:r w:rsidR="00D06778" w:rsidRPr="00F6590B">
        <w:rPr>
          <w:lang w:val="hr-HR"/>
        </w:rPr>
        <w:t xml:space="preserve">(bez broja sudaca po sudu) </w:t>
      </w:r>
      <w:r w:rsidR="00524123" w:rsidRPr="00F6590B">
        <w:rPr>
          <w:lang w:val="hr-HR"/>
        </w:rPr>
        <w:t xml:space="preserve">opisao 95,9% </w:t>
      </w:r>
      <w:r w:rsidR="008C7B14" w:rsidRPr="00F6590B">
        <w:rPr>
          <w:lang w:val="hr-HR"/>
        </w:rPr>
        <w:t>varijabilnosti broja riješenih stečajnih predmeta, odnosno kako tek 4,1% varijabilnosti preostaje nepromatranim varijablama</w:t>
      </w:r>
      <w:r w:rsidR="00D06778" w:rsidRPr="00F6590B">
        <w:rPr>
          <w:lang w:val="hr-HR"/>
        </w:rPr>
        <w:t>, koje god one potencijalno bile</w:t>
      </w:r>
      <w:r w:rsidR="008C7B14" w:rsidRPr="00F6590B">
        <w:rPr>
          <w:lang w:val="hr-HR"/>
        </w:rPr>
        <w:t>.</w:t>
      </w:r>
    </w:p>
    <w:p w14:paraId="4BB01EC1" w14:textId="77777777" w:rsidR="008C7B14" w:rsidRPr="00F6590B" w:rsidRDefault="008C7B14" w:rsidP="00483743">
      <w:pPr>
        <w:spacing w:line="480" w:lineRule="auto"/>
        <w:rPr>
          <w:lang w:val="hr-HR"/>
        </w:rPr>
      </w:pPr>
    </w:p>
    <w:p w14:paraId="5454E484" w14:textId="7D2B85E0" w:rsidR="003A5DF5" w:rsidRPr="00F6590B" w:rsidRDefault="00877EF1" w:rsidP="00483743">
      <w:pPr>
        <w:spacing w:line="480" w:lineRule="auto"/>
        <w:ind w:firstLine="0"/>
        <w:jc w:val="center"/>
        <w:rPr>
          <w:rFonts w:ascii="Arial" w:hAnsi="Arial" w:cs="Arial"/>
          <w:szCs w:val="24"/>
          <w:lang w:val="hr-HR"/>
        </w:rPr>
      </w:pPr>
      <w:r w:rsidRPr="00F6590B">
        <w:rPr>
          <w:lang w:val="hr-HR"/>
        </w:rPr>
        <w:lastRenderedPageBreak/>
        <w:t xml:space="preserve">Tablica </w:t>
      </w:r>
      <w:r w:rsidR="0019028F" w:rsidRPr="00F6590B">
        <w:rPr>
          <w:lang w:val="hr-HR"/>
        </w:rPr>
        <w:fldChar w:fldCharType="begin"/>
      </w:r>
      <w:r w:rsidR="0019028F" w:rsidRPr="00F6590B">
        <w:rPr>
          <w:lang w:val="hr-HR"/>
        </w:rPr>
        <w:instrText xml:space="preserve"> SEQ Tablica \* ARABIC </w:instrText>
      </w:r>
      <w:r w:rsidR="0019028F" w:rsidRPr="00F6590B">
        <w:rPr>
          <w:lang w:val="hr-HR"/>
        </w:rPr>
        <w:fldChar w:fldCharType="separate"/>
      </w:r>
      <w:r w:rsidR="00D26260" w:rsidRPr="00F6590B">
        <w:rPr>
          <w:lang w:val="hr-HR"/>
        </w:rPr>
        <w:t>9</w:t>
      </w:r>
      <w:r w:rsidR="0019028F" w:rsidRPr="00F6590B">
        <w:rPr>
          <w:lang w:val="hr-HR"/>
        </w:rPr>
        <w:fldChar w:fldCharType="end"/>
      </w:r>
      <w:r w:rsidRPr="00F6590B">
        <w:rPr>
          <w:lang w:val="hr-HR"/>
        </w:rPr>
        <w:t xml:space="preserve">. </w:t>
      </w:r>
      <w:r w:rsidR="00617FF9" w:rsidRPr="00F6590B">
        <w:rPr>
          <w:szCs w:val="24"/>
          <w:lang w:val="hr-HR"/>
        </w:rPr>
        <w:t>F</w:t>
      </w:r>
      <w:r w:rsidR="003A5DF5" w:rsidRPr="00F6590B">
        <w:rPr>
          <w:szCs w:val="24"/>
          <w:lang w:val="hr-HR"/>
        </w:rPr>
        <w:t>iksni učinci</w:t>
      </w:r>
      <w:r w:rsidR="003C0E73" w:rsidRPr="00F6590B">
        <w:rPr>
          <w:szCs w:val="24"/>
          <w:lang w:val="hr-HR"/>
        </w:rPr>
        <w:t xml:space="preserve"> sudova</w:t>
      </w:r>
      <w:r w:rsidR="001D2239" w:rsidRPr="00F6590B">
        <w:rPr>
          <w:szCs w:val="24"/>
          <w:lang w:val="hr-HR"/>
        </w:rPr>
        <w:t>, sortirani prema veličini</w:t>
      </w:r>
      <w:r w:rsidR="00B60B93" w:rsidRPr="00F6590B">
        <w:rPr>
          <w:szCs w:val="24"/>
          <w:lang w:val="hr-HR"/>
        </w:rPr>
        <w:t xml:space="preserve"> učinka</w:t>
      </w:r>
    </w:p>
    <w:tbl>
      <w:tblPr>
        <w:tblW w:w="6138" w:type="dxa"/>
        <w:jc w:val="center"/>
        <w:tblInd w:w="-811" w:type="dxa"/>
        <w:tblLook w:val="04A0" w:firstRow="1" w:lastRow="0" w:firstColumn="1" w:lastColumn="0" w:noHBand="0" w:noVBand="1"/>
      </w:tblPr>
      <w:tblGrid>
        <w:gridCol w:w="1942"/>
        <w:gridCol w:w="2098"/>
        <w:gridCol w:w="2098"/>
      </w:tblGrid>
      <w:tr w:rsidR="00A1752D" w:rsidRPr="00F6590B" w14:paraId="6DA11C20" w14:textId="42F1EF1C" w:rsidTr="00A1752D">
        <w:trPr>
          <w:trHeight w:val="315"/>
          <w:jc w:val="center"/>
        </w:trPr>
        <w:tc>
          <w:tcPr>
            <w:tcW w:w="1942" w:type="dxa"/>
            <w:tcBorders>
              <w:top w:val="single" w:sz="8" w:space="0" w:color="auto"/>
              <w:left w:val="single" w:sz="8" w:space="0" w:color="auto"/>
              <w:bottom w:val="single" w:sz="8" w:space="0" w:color="auto"/>
              <w:right w:val="single" w:sz="8" w:space="0" w:color="auto"/>
            </w:tcBorders>
            <w:shd w:val="clear" w:color="auto" w:fill="auto"/>
            <w:vAlign w:val="center"/>
          </w:tcPr>
          <w:p w14:paraId="62759FEC" w14:textId="58C0F79A"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Trgovački sud</w:t>
            </w:r>
          </w:p>
        </w:tc>
        <w:tc>
          <w:tcPr>
            <w:tcW w:w="2098" w:type="dxa"/>
            <w:tcBorders>
              <w:top w:val="single" w:sz="8" w:space="0" w:color="auto"/>
              <w:left w:val="nil"/>
              <w:bottom w:val="single" w:sz="8" w:space="0" w:color="auto"/>
              <w:right w:val="single" w:sz="8" w:space="0" w:color="auto"/>
            </w:tcBorders>
            <w:shd w:val="clear" w:color="auto" w:fill="auto"/>
            <w:vAlign w:val="center"/>
          </w:tcPr>
          <w:p w14:paraId="558515C5" w14:textId="1617A268" w:rsidR="00A1752D" w:rsidRPr="00F6590B" w:rsidRDefault="00A1752D"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Arial"/>
                <w:color w:val="000000"/>
                <w:szCs w:val="24"/>
                <w:lang w:val="hr-HR" w:eastAsia="hr-HR"/>
              </w:rPr>
              <w:t>Fiksni učinak</w:t>
            </w:r>
          </w:p>
        </w:tc>
        <w:tc>
          <w:tcPr>
            <w:tcW w:w="2098" w:type="dxa"/>
            <w:tcBorders>
              <w:top w:val="single" w:sz="8" w:space="0" w:color="auto"/>
              <w:left w:val="nil"/>
              <w:bottom w:val="single" w:sz="8" w:space="0" w:color="auto"/>
              <w:right w:val="single" w:sz="8" w:space="0" w:color="auto"/>
            </w:tcBorders>
          </w:tcPr>
          <w:p w14:paraId="566ECB87" w14:textId="1F60A2A3" w:rsidR="00A1752D" w:rsidRPr="00F6590B" w:rsidRDefault="00A1752D" w:rsidP="00483743">
            <w:pPr>
              <w:spacing w:line="240" w:lineRule="auto"/>
              <w:ind w:firstLine="0"/>
              <w:jc w:val="center"/>
              <w:rPr>
                <w:rFonts w:asciiTheme="minorHAnsi" w:eastAsia="Times New Roman" w:hAnsiTheme="minorHAnsi" w:cs="Arial"/>
                <w:color w:val="000000"/>
                <w:szCs w:val="24"/>
                <w:lang w:val="hr-HR" w:eastAsia="hr-HR"/>
              </w:rPr>
            </w:pPr>
            <w:r w:rsidRPr="00F6590B">
              <w:rPr>
                <w:rFonts w:asciiTheme="minorHAnsi" w:eastAsia="Times New Roman" w:hAnsiTheme="minorHAnsi" w:cs="Times New Roman"/>
                <w:color w:val="000000"/>
                <w:szCs w:val="24"/>
                <w:lang w:val="hr-HR" w:eastAsia="hr-HR"/>
              </w:rPr>
              <w:t>Efikasnost</w:t>
            </w:r>
          </w:p>
        </w:tc>
      </w:tr>
      <w:tr w:rsidR="00A1752D" w:rsidRPr="00F6590B" w14:paraId="12C74666" w14:textId="7382E962" w:rsidTr="00A1752D">
        <w:trPr>
          <w:trHeight w:val="315"/>
          <w:jc w:val="center"/>
        </w:trPr>
        <w:tc>
          <w:tcPr>
            <w:tcW w:w="194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FAEB30" w14:textId="5600D537"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Calibri" w:hAnsi="Calibri"/>
                <w:color w:val="000000"/>
                <w:szCs w:val="24"/>
                <w:lang w:val="hr-HR"/>
              </w:rPr>
              <w:t>Bjelovar</w:t>
            </w:r>
          </w:p>
        </w:tc>
        <w:tc>
          <w:tcPr>
            <w:tcW w:w="2098" w:type="dxa"/>
            <w:tcBorders>
              <w:top w:val="single" w:sz="8" w:space="0" w:color="auto"/>
              <w:left w:val="nil"/>
              <w:bottom w:val="single" w:sz="8" w:space="0" w:color="auto"/>
              <w:right w:val="single" w:sz="8" w:space="0" w:color="auto"/>
            </w:tcBorders>
            <w:shd w:val="clear" w:color="auto" w:fill="auto"/>
            <w:vAlign w:val="bottom"/>
            <w:hideMark/>
          </w:tcPr>
          <w:p w14:paraId="071D86C1" w14:textId="0D1FCE2C" w:rsidR="00A1752D" w:rsidRPr="00F6590B" w:rsidRDefault="00A1752D" w:rsidP="00483743">
            <w:pPr>
              <w:spacing w:line="240" w:lineRule="auto"/>
              <w:ind w:firstLine="0"/>
              <w:jc w:val="center"/>
              <w:rPr>
                <w:rFonts w:ascii="Calibri" w:hAnsi="Calibri"/>
                <w:color w:val="000000"/>
                <w:szCs w:val="24"/>
                <w:lang w:val="hr-HR"/>
              </w:rPr>
            </w:pPr>
            <w:r w:rsidRPr="00F6590B">
              <w:rPr>
                <w:rFonts w:ascii="Calibri" w:hAnsi="Calibri"/>
                <w:color w:val="000000"/>
                <w:szCs w:val="24"/>
                <w:lang w:val="hr-HR"/>
              </w:rPr>
              <w:t>0,355</w:t>
            </w:r>
          </w:p>
        </w:tc>
        <w:tc>
          <w:tcPr>
            <w:tcW w:w="2098" w:type="dxa"/>
            <w:vMerge w:val="restart"/>
            <w:tcBorders>
              <w:top w:val="single" w:sz="8" w:space="0" w:color="auto"/>
              <w:left w:val="nil"/>
              <w:right w:val="single" w:sz="8" w:space="0" w:color="auto"/>
            </w:tcBorders>
          </w:tcPr>
          <w:p w14:paraId="5D0B8A6D" w14:textId="77777777"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p>
          <w:p w14:paraId="795F2A67" w14:textId="77777777"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Veća od prosjeka</w:t>
            </w:r>
          </w:p>
          <w:p w14:paraId="1025D884" w14:textId="77777777"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p>
          <w:p w14:paraId="16EFF4DB" w14:textId="77777777" w:rsidR="00A1752D" w:rsidRPr="00F6590B" w:rsidRDefault="00A1752D" w:rsidP="00483743">
            <w:pPr>
              <w:spacing w:line="240" w:lineRule="auto"/>
              <w:ind w:firstLine="0"/>
              <w:jc w:val="center"/>
              <w:rPr>
                <w:rFonts w:asciiTheme="minorHAnsi" w:eastAsia="Times New Roman" w:hAnsiTheme="minorHAnsi" w:cs="Times New Roman"/>
                <w:color w:val="000000"/>
                <w:sz w:val="36"/>
                <w:szCs w:val="24"/>
                <w:lang w:val="hr-HR" w:eastAsia="hr-HR"/>
              </w:rPr>
            </w:pPr>
            <w:r w:rsidRPr="00F6590B">
              <w:rPr>
                <w:rFonts w:asciiTheme="minorHAnsi" w:eastAsia="Times New Roman" w:hAnsiTheme="minorHAnsi" w:cs="Times New Roman"/>
                <w:color w:val="000000"/>
                <w:sz w:val="36"/>
                <w:szCs w:val="24"/>
                <w:lang w:val="hr-HR" w:eastAsia="hr-HR"/>
              </w:rPr>
              <w:t>↕</w:t>
            </w:r>
          </w:p>
          <w:p w14:paraId="733EC029" w14:textId="77777777"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p>
          <w:p w14:paraId="004051A9" w14:textId="495EE09A" w:rsidR="00A1752D" w:rsidRPr="00F6590B" w:rsidRDefault="00A1752D" w:rsidP="00483743">
            <w:pPr>
              <w:spacing w:line="240" w:lineRule="auto"/>
              <w:ind w:firstLine="0"/>
              <w:jc w:val="center"/>
              <w:rPr>
                <w:rFonts w:ascii="Calibri" w:hAnsi="Calibri"/>
                <w:color w:val="000000"/>
                <w:szCs w:val="24"/>
                <w:lang w:val="hr-HR"/>
              </w:rPr>
            </w:pPr>
            <w:r w:rsidRPr="00F6590B">
              <w:rPr>
                <w:rFonts w:asciiTheme="minorHAnsi" w:eastAsia="Times New Roman" w:hAnsiTheme="minorHAnsi" w:cs="Times New Roman"/>
                <w:color w:val="000000"/>
                <w:szCs w:val="24"/>
                <w:lang w:val="hr-HR" w:eastAsia="hr-HR"/>
              </w:rPr>
              <w:t>Manja od prosjeka</w:t>
            </w:r>
          </w:p>
        </w:tc>
      </w:tr>
      <w:tr w:rsidR="00A1752D" w:rsidRPr="00F6590B" w14:paraId="3386A416" w14:textId="3E897A04" w:rsidTr="00A1752D">
        <w:trPr>
          <w:trHeight w:val="315"/>
          <w:jc w:val="center"/>
        </w:trPr>
        <w:tc>
          <w:tcPr>
            <w:tcW w:w="1942" w:type="dxa"/>
            <w:tcBorders>
              <w:top w:val="nil"/>
              <w:left w:val="single" w:sz="8" w:space="0" w:color="auto"/>
              <w:bottom w:val="single" w:sz="8" w:space="0" w:color="auto"/>
              <w:right w:val="single" w:sz="8" w:space="0" w:color="auto"/>
            </w:tcBorders>
            <w:shd w:val="clear" w:color="auto" w:fill="auto"/>
            <w:vAlign w:val="bottom"/>
            <w:hideMark/>
          </w:tcPr>
          <w:p w14:paraId="01E477F2" w14:textId="5A39DCAD"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Calibri" w:hAnsi="Calibri"/>
                <w:color w:val="000000"/>
                <w:szCs w:val="24"/>
                <w:lang w:val="hr-HR"/>
              </w:rPr>
              <w:t>Zadar</w:t>
            </w:r>
          </w:p>
        </w:tc>
        <w:tc>
          <w:tcPr>
            <w:tcW w:w="2098" w:type="dxa"/>
            <w:tcBorders>
              <w:top w:val="nil"/>
              <w:left w:val="nil"/>
              <w:bottom w:val="single" w:sz="8" w:space="0" w:color="auto"/>
              <w:right w:val="single" w:sz="8" w:space="0" w:color="auto"/>
            </w:tcBorders>
            <w:shd w:val="clear" w:color="auto" w:fill="auto"/>
            <w:vAlign w:val="bottom"/>
            <w:hideMark/>
          </w:tcPr>
          <w:p w14:paraId="34DA3DEE" w14:textId="4B3FE74B" w:rsidR="00A1752D" w:rsidRPr="00F6590B" w:rsidRDefault="00A1752D" w:rsidP="00483743">
            <w:pPr>
              <w:spacing w:line="240" w:lineRule="auto"/>
              <w:ind w:firstLine="0"/>
              <w:jc w:val="center"/>
              <w:rPr>
                <w:rFonts w:ascii="Calibri" w:hAnsi="Calibri"/>
                <w:color w:val="000000"/>
                <w:szCs w:val="24"/>
                <w:lang w:val="hr-HR"/>
              </w:rPr>
            </w:pPr>
            <w:r w:rsidRPr="00F6590B">
              <w:rPr>
                <w:rFonts w:ascii="Calibri" w:hAnsi="Calibri"/>
                <w:color w:val="000000"/>
                <w:szCs w:val="24"/>
                <w:lang w:val="hr-HR"/>
              </w:rPr>
              <w:t>0,328</w:t>
            </w:r>
          </w:p>
        </w:tc>
        <w:tc>
          <w:tcPr>
            <w:tcW w:w="2098" w:type="dxa"/>
            <w:vMerge/>
            <w:tcBorders>
              <w:left w:val="nil"/>
              <w:right w:val="single" w:sz="8" w:space="0" w:color="auto"/>
            </w:tcBorders>
          </w:tcPr>
          <w:p w14:paraId="3B1AB915" w14:textId="77777777" w:rsidR="00A1752D" w:rsidRPr="00F6590B" w:rsidRDefault="00A1752D" w:rsidP="00483743">
            <w:pPr>
              <w:spacing w:line="240" w:lineRule="auto"/>
              <w:ind w:firstLine="0"/>
              <w:jc w:val="center"/>
              <w:rPr>
                <w:rFonts w:ascii="Calibri" w:hAnsi="Calibri"/>
                <w:color w:val="000000"/>
                <w:szCs w:val="24"/>
                <w:lang w:val="hr-HR"/>
              </w:rPr>
            </w:pPr>
          </w:p>
        </w:tc>
      </w:tr>
      <w:tr w:rsidR="00A1752D" w:rsidRPr="00F6590B" w14:paraId="2A703999" w14:textId="0B3B2363" w:rsidTr="00A1752D">
        <w:trPr>
          <w:trHeight w:val="315"/>
          <w:jc w:val="center"/>
        </w:trPr>
        <w:tc>
          <w:tcPr>
            <w:tcW w:w="1942" w:type="dxa"/>
            <w:tcBorders>
              <w:top w:val="nil"/>
              <w:left w:val="single" w:sz="8" w:space="0" w:color="auto"/>
              <w:bottom w:val="single" w:sz="8" w:space="0" w:color="auto"/>
              <w:right w:val="single" w:sz="8" w:space="0" w:color="auto"/>
            </w:tcBorders>
            <w:shd w:val="clear" w:color="auto" w:fill="auto"/>
            <w:vAlign w:val="bottom"/>
            <w:hideMark/>
          </w:tcPr>
          <w:p w14:paraId="4F51BB8E" w14:textId="7A56A21D"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Calibri" w:hAnsi="Calibri"/>
                <w:color w:val="000000"/>
                <w:szCs w:val="24"/>
                <w:lang w:val="hr-HR"/>
              </w:rPr>
              <w:t>Osijek</w:t>
            </w:r>
          </w:p>
        </w:tc>
        <w:tc>
          <w:tcPr>
            <w:tcW w:w="2098" w:type="dxa"/>
            <w:tcBorders>
              <w:top w:val="nil"/>
              <w:left w:val="nil"/>
              <w:bottom w:val="single" w:sz="8" w:space="0" w:color="auto"/>
              <w:right w:val="single" w:sz="8" w:space="0" w:color="auto"/>
            </w:tcBorders>
            <w:shd w:val="clear" w:color="auto" w:fill="auto"/>
            <w:vAlign w:val="bottom"/>
            <w:hideMark/>
          </w:tcPr>
          <w:p w14:paraId="0D950F14" w14:textId="24E2F5C8" w:rsidR="00A1752D" w:rsidRPr="00F6590B" w:rsidRDefault="00A1752D" w:rsidP="00483743">
            <w:pPr>
              <w:spacing w:line="240" w:lineRule="auto"/>
              <w:ind w:firstLine="0"/>
              <w:jc w:val="center"/>
              <w:rPr>
                <w:rFonts w:ascii="Calibri" w:hAnsi="Calibri"/>
                <w:color w:val="000000"/>
                <w:szCs w:val="24"/>
                <w:lang w:val="hr-HR"/>
              </w:rPr>
            </w:pPr>
            <w:r w:rsidRPr="00F6590B">
              <w:rPr>
                <w:rFonts w:ascii="Calibri" w:hAnsi="Calibri"/>
                <w:color w:val="000000"/>
                <w:szCs w:val="24"/>
                <w:lang w:val="hr-HR"/>
              </w:rPr>
              <w:t>-0,002</w:t>
            </w:r>
          </w:p>
        </w:tc>
        <w:tc>
          <w:tcPr>
            <w:tcW w:w="2098" w:type="dxa"/>
            <w:vMerge/>
            <w:tcBorders>
              <w:left w:val="nil"/>
              <w:right w:val="single" w:sz="8" w:space="0" w:color="auto"/>
            </w:tcBorders>
          </w:tcPr>
          <w:p w14:paraId="76C94EC0" w14:textId="77777777" w:rsidR="00A1752D" w:rsidRPr="00F6590B" w:rsidRDefault="00A1752D" w:rsidP="00483743">
            <w:pPr>
              <w:spacing w:line="240" w:lineRule="auto"/>
              <w:ind w:firstLine="0"/>
              <w:jc w:val="center"/>
              <w:rPr>
                <w:rFonts w:ascii="Calibri" w:hAnsi="Calibri"/>
                <w:color w:val="000000"/>
                <w:szCs w:val="24"/>
                <w:lang w:val="hr-HR"/>
              </w:rPr>
            </w:pPr>
          </w:p>
        </w:tc>
      </w:tr>
      <w:tr w:rsidR="00A1752D" w:rsidRPr="00F6590B" w14:paraId="35736E0C" w14:textId="23DF0806" w:rsidTr="00A1752D">
        <w:trPr>
          <w:trHeight w:val="315"/>
          <w:jc w:val="center"/>
        </w:trPr>
        <w:tc>
          <w:tcPr>
            <w:tcW w:w="1942" w:type="dxa"/>
            <w:tcBorders>
              <w:top w:val="nil"/>
              <w:left w:val="single" w:sz="8" w:space="0" w:color="auto"/>
              <w:bottom w:val="single" w:sz="8" w:space="0" w:color="auto"/>
              <w:right w:val="single" w:sz="8" w:space="0" w:color="auto"/>
            </w:tcBorders>
            <w:shd w:val="clear" w:color="auto" w:fill="auto"/>
            <w:vAlign w:val="bottom"/>
            <w:hideMark/>
          </w:tcPr>
          <w:p w14:paraId="2E5E796D" w14:textId="6D47E630"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Calibri" w:hAnsi="Calibri"/>
                <w:color w:val="000000"/>
                <w:szCs w:val="24"/>
                <w:lang w:val="hr-HR"/>
              </w:rPr>
              <w:t>Varaždin</w:t>
            </w:r>
          </w:p>
        </w:tc>
        <w:tc>
          <w:tcPr>
            <w:tcW w:w="2098" w:type="dxa"/>
            <w:tcBorders>
              <w:top w:val="nil"/>
              <w:left w:val="nil"/>
              <w:bottom w:val="single" w:sz="8" w:space="0" w:color="auto"/>
              <w:right w:val="single" w:sz="8" w:space="0" w:color="auto"/>
            </w:tcBorders>
            <w:shd w:val="clear" w:color="auto" w:fill="auto"/>
            <w:vAlign w:val="bottom"/>
            <w:hideMark/>
          </w:tcPr>
          <w:p w14:paraId="79651213" w14:textId="24078B28" w:rsidR="00A1752D" w:rsidRPr="00F6590B" w:rsidRDefault="00A1752D" w:rsidP="00483743">
            <w:pPr>
              <w:spacing w:line="240" w:lineRule="auto"/>
              <w:ind w:firstLine="0"/>
              <w:jc w:val="center"/>
              <w:rPr>
                <w:rFonts w:ascii="Calibri" w:hAnsi="Calibri"/>
                <w:color w:val="000000"/>
                <w:szCs w:val="24"/>
                <w:lang w:val="hr-HR"/>
              </w:rPr>
            </w:pPr>
            <w:r w:rsidRPr="00F6590B">
              <w:rPr>
                <w:rFonts w:ascii="Calibri" w:hAnsi="Calibri"/>
                <w:color w:val="000000"/>
                <w:szCs w:val="24"/>
                <w:lang w:val="hr-HR"/>
              </w:rPr>
              <w:t>-0,065</w:t>
            </w:r>
          </w:p>
        </w:tc>
        <w:tc>
          <w:tcPr>
            <w:tcW w:w="2098" w:type="dxa"/>
            <w:vMerge/>
            <w:tcBorders>
              <w:left w:val="nil"/>
              <w:right w:val="single" w:sz="8" w:space="0" w:color="auto"/>
            </w:tcBorders>
          </w:tcPr>
          <w:p w14:paraId="3E4393CA" w14:textId="77777777" w:rsidR="00A1752D" w:rsidRPr="00F6590B" w:rsidRDefault="00A1752D" w:rsidP="00483743">
            <w:pPr>
              <w:spacing w:line="240" w:lineRule="auto"/>
              <w:ind w:firstLine="0"/>
              <w:jc w:val="center"/>
              <w:rPr>
                <w:rFonts w:ascii="Calibri" w:hAnsi="Calibri"/>
                <w:color w:val="000000"/>
                <w:szCs w:val="24"/>
                <w:lang w:val="hr-HR"/>
              </w:rPr>
            </w:pPr>
          </w:p>
        </w:tc>
      </w:tr>
      <w:tr w:rsidR="00A1752D" w:rsidRPr="00F6590B" w14:paraId="49E86A9F" w14:textId="41897C68" w:rsidTr="00A1752D">
        <w:trPr>
          <w:trHeight w:val="315"/>
          <w:jc w:val="center"/>
        </w:trPr>
        <w:tc>
          <w:tcPr>
            <w:tcW w:w="1942" w:type="dxa"/>
            <w:tcBorders>
              <w:top w:val="nil"/>
              <w:left w:val="single" w:sz="8" w:space="0" w:color="auto"/>
              <w:bottom w:val="single" w:sz="8" w:space="0" w:color="auto"/>
              <w:right w:val="single" w:sz="8" w:space="0" w:color="auto"/>
            </w:tcBorders>
            <w:shd w:val="clear" w:color="auto" w:fill="auto"/>
            <w:vAlign w:val="bottom"/>
            <w:hideMark/>
          </w:tcPr>
          <w:p w14:paraId="285181AD" w14:textId="7347E3DA"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Calibri" w:hAnsi="Calibri"/>
                <w:color w:val="000000"/>
                <w:szCs w:val="24"/>
                <w:lang w:val="hr-HR"/>
              </w:rPr>
              <w:t>Rijeka</w:t>
            </w:r>
          </w:p>
        </w:tc>
        <w:tc>
          <w:tcPr>
            <w:tcW w:w="2098" w:type="dxa"/>
            <w:tcBorders>
              <w:top w:val="nil"/>
              <w:left w:val="nil"/>
              <w:bottom w:val="single" w:sz="8" w:space="0" w:color="auto"/>
              <w:right w:val="single" w:sz="8" w:space="0" w:color="auto"/>
            </w:tcBorders>
            <w:shd w:val="clear" w:color="auto" w:fill="auto"/>
            <w:vAlign w:val="bottom"/>
            <w:hideMark/>
          </w:tcPr>
          <w:p w14:paraId="59E88FFB" w14:textId="4B2784DC" w:rsidR="00A1752D" w:rsidRPr="00F6590B" w:rsidRDefault="00A1752D" w:rsidP="00483743">
            <w:pPr>
              <w:spacing w:line="240" w:lineRule="auto"/>
              <w:ind w:firstLine="0"/>
              <w:jc w:val="center"/>
              <w:rPr>
                <w:rFonts w:ascii="Calibri" w:hAnsi="Calibri"/>
                <w:color w:val="000000"/>
                <w:szCs w:val="24"/>
                <w:lang w:val="hr-HR"/>
              </w:rPr>
            </w:pPr>
            <w:r w:rsidRPr="00F6590B">
              <w:rPr>
                <w:rFonts w:ascii="Calibri" w:hAnsi="Calibri"/>
                <w:color w:val="000000"/>
                <w:szCs w:val="24"/>
                <w:lang w:val="hr-HR"/>
              </w:rPr>
              <w:t>-0,104</w:t>
            </w:r>
          </w:p>
        </w:tc>
        <w:tc>
          <w:tcPr>
            <w:tcW w:w="2098" w:type="dxa"/>
            <w:vMerge/>
            <w:tcBorders>
              <w:left w:val="nil"/>
              <w:right w:val="single" w:sz="8" w:space="0" w:color="auto"/>
            </w:tcBorders>
          </w:tcPr>
          <w:p w14:paraId="52767B52" w14:textId="77777777" w:rsidR="00A1752D" w:rsidRPr="00F6590B" w:rsidRDefault="00A1752D" w:rsidP="00483743">
            <w:pPr>
              <w:spacing w:line="240" w:lineRule="auto"/>
              <w:ind w:firstLine="0"/>
              <w:jc w:val="center"/>
              <w:rPr>
                <w:rFonts w:ascii="Calibri" w:hAnsi="Calibri"/>
                <w:color w:val="000000"/>
                <w:szCs w:val="24"/>
                <w:lang w:val="hr-HR"/>
              </w:rPr>
            </w:pPr>
          </w:p>
        </w:tc>
      </w:tr>
      <w:tr w:rsidR="00A1752D" w:rsidRPr="00F6590B" w14:paraId="1FE07F6B" w14:textId="2665D4F4" w:rsidTr="00A1752D">
        <w:trPr>
          <w:trHeight w:val="315"/>
          <w:jc w:val="center"/>
        </w:trPr>
        <w:tc>
          <w:tcPr>
            <w:tcW w:w="1942" w:type="dxa"/>
            <w:tcBorders>
              <w:top w:val="nil"/>
              <w:left w:val="single" w:sz="8" w:space="0" w:color="auto"/>
              <w:bottom w:val="single" w:sz="8" w:space="0" w:color="auto"/>
              <w:right w:val="single" w:sz="8" w:space="0" w:color="auto"/>
            </w:tcBorders>
            <w:shd w:val="clear" w:color="auto" w:fill="auto"/>
            <w:vAlign w:val="bottom"/>
            <w:hideMark/>
          </w:tcPr>
          <w:p w14:paraId="744F38D0" w14:textId="703D5F9C"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Calibri" w:hAnsi="Calibri"/>
                <w:color w:val="000000"/>
                <w:szCs w:val="24"/>
                <w:lang w:val="hr-HR"/>
              </w:rPr>
              <w:t>Split</w:t>
            </w:r>
          </w:p>
        </w:tc>
        <w:tc>
          <w:tcPr>
            <w:tcW w:w="2098" w:type="dxa"/>
            <w:tcBorders>
              <w:top w:val="nil"/>
              <w:left w:val="nil"/>
              <w:bottom w:val="single" w:sz="8" w:space="0" w:color="auto"/>
              <w:right w:val="single" w:sz="8" w:space="0" w:color="auto"/>
            </w:tcBorders>
            <w:shd w:val="clear" w:color="auto" w:fill="auto"/>
            <w:vAlign w:val="bottom"/>
            <w:hideMark/>
          </w:tcPr>
          <w:p w14:paraId="1E4388B6" w14:textId="722D1D10" w:rsidR="00A1752D" w:rsidRPr="00F6590B" w:rsidRDefault="00A1752D" w:rsidP="00483743">
            <w:pPr>
              <w:spacing w:line="240" w:lineRule="auto"/>
              <w:ind w:firstLine="0"/>
              <w:jc w:val="center"/>
              <w:rPr>
                <w:rFonts w:ascii="Calibri" w:hAnsi="Calibri"/>
                <w:color w:val="000000"/>
                <w:szCs w:val="24"/>
                <w:lang w:val="hr-HR"/>
              </w:rPr>
            </w:pPr>
            <w:r w:rsidRPr="00F6590B">
              <w:rPr>
                <w:rFonts w:ascii="Calibri" w:hAnsi="Calibri"/>
                <w:color w:val="000000"/>
                <w:szCs w:val="24"/>
                <w:lang w:val="hr-HR"/>
              </w:rPr>
              <w:t>-0,136</w:t>
            </w:r>
          </w:p>
        </w:tc>
        <w:tc>
          <w:tcPr>
            <w:tcW w:w="2098" w:type="dxa"/>
            <w:vMerge/>
            <w:tcBorders>
              <w:left w:val="nil"/>
              <w:right w:val="single" w:sz="8" w:space="0" w:color="auto"/>
            </w:tcBorders>
          </w:tcPr>
          <w:p w14:paraId="2BA75827" w14:textId="77777777" w:rsidR="00A1752D" w:rsidRPr="00F6590B" w:rsidRDefault="00A1752D" w:rsidP="00483743">
            <w:pPr>
              <w:spacing w:line="240" w:lineRule="auto"/>
              <w:ind w:firstLine="0"/>
              <w:jc w:val="center"/>
              <w:rPr>
                <w:rFonts w:ascii="Calibri" w:hAnsi="Calibri"/>
                <w:color w:val="000000"/>
                <w:szCs w:val="24"/>
                <w:lang w:val="hr-HR"/>
              </w:rPr>
            </w:pPr>
          </w:p>
        </w:tc>
      </w:tr>
      <w:tr w:rsidR="00A1752D" w:rsidRPr="00F6590B" w14:paraId="72BA9445" w14:textId="4DED9CE5" w:rsidTr="00A1752D">
        <w:trPr>
          <w:trHeight w:val="315"/>
          <w:jc w:val="center"/>
        </w:trPr>
        <w:tc>
          <w:tcPr>
            <w:tcW w:w="1942" w:type="dxa"/>
            <w:tcBorders>
              <w:top w:val="nil"/>
              <w:left w:val="single" w:sz="8" w:space="0" w:color="auto"/>
              <w:bottom w:val="single" w:sz="8" w:space="0" w:color="auto"/>
              <w:right w:val="single" w:sz="8" w:space="0" w:color="auto"/>
            </w:tcBorders>
            <w:shd w:val="clear" w:color="auto" w:fill="auto"/>
            <w:vAlign w:val="bottom"/>
            <w:hideMark/>
          </w:tcPr>
          <w:p w14:paraId="0284E26C" w14:textId="31978DF1" w:rsidR="00A1752D" w:rsidRPr="00F6590B" w:rsidRDefault="00A1752D" w:rsidP="00483743">
            <w:pPr>
              <w:spacing w:line="240" w:lineRule="auto"/>
              <w:ind w:firstLine="0"/>
              <w:jc w:val="center"/>
              <w:rPr>
                <w:rFonts w:asciiTheme="minorHAnsi" w:eastAsia="Times New Roman" w:hAnsiTheme="minorHAnsi" w:cs="Times New Roman"/>
                <w:color w:val="000000"/>
                <w:szCs w:val="24"/>
                <w:lang w:val="hr-HR" w:eastAsia="hr-HR"/>
              </w:rPr>
            </w:pPr>
            <w:r w:rsidRPr="00F6590B">
              <w:rPr>
                <w:rFonts w:ascii="Calibri" w:hAnsi="Calibri"/>
                <w:color w:val="000000"/>
                <w:szCs w:val="24"/>
                <w:lang w:val="hr-HR"/>
              </w:rPr>
              <w:t>Zagreb</w:t>
            </w:r>
          </w:p>
        </w:tc>
        <w:tc>
          <w:tcPr>
            <w:tcW w:w="2098" w:type="dxa"/>
            <w:tcBorders>
              <w:top w:val="nil"/>
              <w:left w:val="nil"/>
              <w:bottom w:val="single" w:sz="8" w:space="0" w:color="auto"/>
              <w:right w:val="single" w:sz="8" w:space="0" w:color="auto"/>
            </w:tcBorders>
            <w:shd w:val="clear" w:color="auto" w:fill="auto"/>
            <w:vAlign w:val="bottom"/>
            <w:hideMark/>
          </w:tcPr>
          <w:p w14:paraId="3EEF05B4" w14:textId="4B76AE0D" w:rsidR="00A1752D" w:rsidRPr="00F6590B" w:rsidRDefault="00A1752D" w:rsidP="00483743">
            <w:pPr>
              <w:spacing w:line="240" w:lineRule="auto"/>
              <w:ind w:firstLine="0"/>
              <w:jc w:val="center"/>
              <w:rPr>
                <w:rFonts w:ascii="Calibri" w:hAnsi="Calibri"/>
                <w:color w:val="000000"/>
                <w:szCs w:val="24"/>
                <w:lang w:val="hr-HR"/>
              </w:rPr>
            </w:pPr>
            <w:r w:rsidRPr="00F6590B">
              <w:rPr>
                <w:rFonts w:ascii="Calibri" w:hAnsi="Calibri"/>
                <w:color w:val="000000"/>
                <w:szCs w:val="24"/>
                <w:lang w:val="hr-HR"/>
              </w:rPr>
              <w:t>-0,377</w:t>
            </w:r>
          </w:p>
        </w:tc>
        <w:tc>
          <w:tcPr>
            <w:tcW w:w="2098" w:type="dxa"/>
            <w:vMerge/>
            <w:tcBorders>
              <w:left w:val="nil"/>
              <w:bottom w:val="single" w:sz="8" w:space="0" w:color="auto"/>
              <w:right w:val="single" w:sz="8" w:space="0" w:color="auto"/>
            </w:tcBorders>
          </w:tcPr>
          <w:p w14:paraId="2FA8D708" w14:textId="77777777" w:rsidR="00A1752D" w:rsidRPr="00F6590B" w:rsidRDefault="00A1752D" w:rsidP="00483743">
            <w:pPr>
              <w:spacing w:line="240" w:lineRule="auto"/>
              <w:ind w:firstLine="0"/>
              <w:jc w:val="center"/>
              <w:rPr>
                <w:rFonts w:ascii="Calibri" w:hAnsi="Calibri"/>
                <w:color w:val="000000"/>
                <w:szCs w:val="24"/>
                <w:lang w:val="hr-HR"/>
              </w:rPr>
            </w:pPr>
          </w:p>
        </w:tc>
      </w:tr>
    </w:tbl>
    <w:p w14:paraId="57C83BD1" w14:textId="7E495D74"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0A352628" w14:textId="77777777" w:rsidR="00E845D5" w:rsidRPr="00F6590B" w:rsidRDefault="00E845D5" w:rsidP="00483743">
      <w:pPr>
        <w:spacing w:line="480" w:lineRule="auto"/>
        <w:rPr>
          <w:szCs w:val="24"/>
          <w:lang w:val="hr-HR"/>
        </w:rPr>
      </w:pPr>
    </w:p>
    <w:p w14:paraId="4652ACC9" w14:textId="2BF8E9AE" w:rsidR="008C7B14" w:rsidRPr="00F6590B" w:rsidRDefault="008C7B14" w:rsidP="00483743">
      <w:pPr>
        <w:spacing w:line="480" w:lineRule="auto"/>
        <w:rPr>
          <w:szCs w:val="24"/>
          <w:lang w:val="hr-HR"/>
        </w:rPr>
      </w:pPr>
      <w:r w:rsidRPr="00F6590B">
        <w:rPr>
          <w:szCs w:val="24"/>
          <w:lang w:val="hr-HR"/>
        </w:rPr>
        <w:t xml:space="preserve">Opisujući fiksne učinke vremenskih razdoblja </w:t>
      </w:r>
      <w:r w:rsidR="00D06778" w:rsidRPr="00F6590B">
        <w:rPr>
          <w:szCs w:val="24"/>
          <w:lang w:val="hr-HR"/>
        </w:rPr>
        <w:t>treba</w:t>
      </w:r>
      <w:r w:rsidRPr="00F6590B">
        <w:rPr>
          <w:szCs w:val="24"/>
          <w:lang w:val="hr-HR"/>
        </w:rPr>
        <w:t xml:space="preserve"> </w:t>
      </w:r>
      <w:r w:rsidR="00D06778" w:rsidRPr="00F6590B">
        <w:rPr>
          <w:szCs w:val="24"/>
          <w:lang w:val="hr-HR"/>
        </w:rPr>
        <w:t>na</w:t>
      </w:r>
      <w:r w:rsidRPr="00F6590B">
        <w:rPr>
          <w:szCs w:val="24"/>
          <w:lang w:val="hr-HR"/>
        </w:rPr>
        <w:t>pomenuti kako varijabla 'neriješeni predmeti' ima vremenski pomak, te da stoga nije moguće izračunati fiksni učinak za prvu godinu uzorka (2004.). Tablica 1</w:t>
      </w:r>
      <w:r w:rsidR="00D26260" w:rsidRPr="00F6590B">
        <w:rPr>
          <w:szCs w:val="24"/>
          <w:lang w:val="hr-HR"/>
        </w:rPr>
        <w:t>0</w:t>
      </w:r>
      <w:r w:rsidRPr="00F6590B">
        <w:rPr>
          <w:szCs w:val="24"/>
          <w:lang w:val="hr-HR"/>
        </w:rPr>
        <w:t xml:space="preserve">. pokazuje kako su svi sudovi u prosjeku bili efikasniji u razdoblju kada priljev predmeta nije bio toliko izražen (2005-2008), te kako je </w:t>
      </w:r>
      <w:r w:rsidR="0033711C" w:rsidRPr="00F6590B">
        <w:rPr>
          <w:szCs w:val="24"/>
          <w:lang w:val="hr-HR"/>
        </w:rPr>
        <w:t>nastupom gospodarske krize u Hrvatskoj i naglim povećanjem priljeva novih predmeta (slika 1.) efikasnost svih sudova u prosjeku pala, i to osobito 2011. godine.</w:t>
      </w:r>
    </w:p>
    <w:p w14:paraId="6CBB7575" w14:textId="77777777" w:rsidR="008C7B14" w:rsidRPr="00F6590B" w:rsidRDefault="008C7B14" w:rsidP="00483743">
      <w:pPr>
        <w:spacing w:line="480" w:lineRule="auto"/>
        <w:rPr>
          <w:szCs w:val="24"/>
          <w:lang w:val="hr-HR"/>
        </w:rPr>
      </w:pPr>
    </w:p>
    <w:p w14:paraId="34058FE5" w14:textId="1FCAE8D3" w:rsidR="00E845D5" w:rsidRPr="00F6590B" w:rsidRDefault="00877EF1" w:rsidP="00483743">
      <w:pPr>
        <w:pStyle w:val="Caption"/>
        <w:spacing w:line="480" w:lineRule="auto"/>
        <w:rPr>
          <w:szCs w:val="24"/>
          <w:lang w:val="hr-HR"/>
        </w:rPr>
      </w:pPr>
      <w:r w:rsidRPr="00F6590B">
        <w:rPr>
          <w:lang w:val="hr-HR"/>
        </w:rPr>
        <w:t xml:space="preserve">Tablica </w:t>
      </w:r>
      <w:r w:rsidR="0019028F" w:rsidRPr="00F6590B">
        <w:rPr>
          <w:lang w:val="hr-HR"/>
        </w:rPr>
        <w:fldChar w:fldCharType="begin"/>
      </w:r>
      <w:r w:rsidR="0019028F" w:rsidRPr="00F6590B">
        <w:rPr>
          <w:lang w:val="hr-HR"/>
        </w:rPr>
        <w:instrText xml:space="preserve"> SEQ Tablica \* ARABIC </w:instrText>
      </w:r>
      <w:r w:rsidR="0019028F" w:rsidRPr="00F6590B">
        <w:rPr>
          <w:lang w:val="hr-HR"/>
        </w:rPr>
        <w:fldChar w:fldCharType="separate"/>
      </w:r>
      <w:r w:rsidR="00D26260" w:rsidRPr="00F6590B">
        <w:rPr>
          <w:lang w:val="hr-HR"/>
        </w:rPr>
        <w:t>10</w:t>
      </w:r>
      <w:r w:rsidR="0019028F" w:rsidRPr="00F6590B">
        <w:rPr>
          <w:lang w:val="hr-HR"/>
        </w:rPr>
        <w:fldChar w:fldCharType="end"/>
      </w:r>
      <w:r w:rsidRPr="00F6590B">
        <w:rPr>
          <w:lang w:val="hr-HR"/>
        </w:rPr>
        <w:t xml:space="preserve">. </w:t>
      </w:r>
      <w:r w:rsidR="003C0E73" w:rsidRPr="00F6590B">
        <w:rPr>
          <w:szCs w:val="24"/>
          <w:lang w:val="hr-HR"/>
        </w:rPr>
        <w:t>Fiksni učinci vremenskih razdoblja</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
        <w:gridCol w:w="1627"/>
      </w:tblGrid>
      <w:tr w:rsidR="004107D0" w:rsidRPr="00F6590B" w14:paraId="0CF8090C" w14:textId="77777777" w:rsidTr="003C0E73">
        <w:trPr>
          <w:trHeight w:val="225"/>
          <w:jc w:val="center"/>
        </w:trPr>
        <w:tc>
          <w:tcPr>
            <w:tcW w:w="968" w:type="dxa"/>
            <w:vAlign w:val="bottom"/>
          </w:tcPr>
          <w:p w14:paraId="7137DA13" w14:textId="227FC98F" w:rsidR="004107D0" w:rsidRPr="00F6590B" w:rsidRDefault="004107D0"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Godina</w:t>
            </w:r>
          </w:p>
        </w:tc>
        <w:tc>
          <w:tcPr>
            <w:tcW w:w="1627" w:type="dxa"/>
            <w:vAlign w:val="center"/>
          </w:tcPr>
          <w:p w14:paraId="06B5F155" w14:textId="1B642F45" w:rsidR="004107D0" w:rsidRPr="00F6590B" w:rsidRDefault="004107D0"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Fiksni učinak</w:t>
            </w:r>
          </w:p>
        </w:tc>
      </w:tr>
      <w:tr w:rsidR="00617FF9" w:rsidRPr="00F6590B" w14:paraId="7B30FC06" w14:textId="77777777" w:rsidTr="00617FF9">
        <w:trPr>
          <w:trHeight w:val="225"/>
          <w:jc w:val="center"/>
        </w:trPr>
        <w:tc>
          <w:tcPr>
            <w:tcW w:w="968" w:type="dxa"/>
            <w:vAlign w:val="bottom"/>
          </w:tcPr>
          <w:p w14:paraId="132C75B2" w14:textId="6F76C913"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2005</w:t>
            </w:r>
          </w:p>
        </w:tc>
        <w:tc>
          <w:tcPr>
            <w:tcW w:w="1627" w:type="dxa"/>
            <w:vAlign w:val="bottom"/>
          </w:tcPr>
          <w:p w14:paraId="2BABDC59" w14:textId="51F3858B"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0</w:t>
            </w:r>
            <w:r w:rsidR="00881327" w:rsidRPr="00F6590B">
              <w:rPr>
                <w:rFonts w:asciiTheme="minorHAnsi" w:eastAsia="Times New Roman" w:hAnsiTheme="minorHAnsi" w:cs="Times New Roman"/>
                <w:color w:val="000000"/>
                <w:szCs w:val="24"/>
                <w:lang w:val="hr-HR" w:eastAsia="hr-HR"/>
              </w:rPr>
              <w:t>,</w:t>
            </w:r>
            <w:r w:rsidRPr="00F6590B">
              <w:rPr>
                <w:rFonts w:asciiTheme="minorHAnsi" w:eastAsia="Times New Roman" w:hAnsiTheme="minorHAnsi" w:cs="Times New Roman"/>
                <w:color w:val="000000"/>
                <w:szCs w:val="24"/>
                <w:lang w:val="hr-HR" w:eastAsia="hr-HR"/>
              </w:rPr>
              <w:t>241</w:t>
            </w:r>
          </w:p>
        </w:tc>
      </w:tr>
      <w:tr w:rsidR="00617FF9" w:rsidRPr="00F6590B" w14:paraId="5D89A158" w14:textId="77777777" w:rsidTr="00617FF9">
        <w:trPr>
          <w:trHeight w:val="225"/>
          <w:jc w:val="center"/>
        </w:trPr>
        <w:tc>
          <w:tcPr>
            <w:tcW w:w="968" w:type="dxa"/>
            <w:vAlign w:val="bottom"/>
          </w:tcPr>
          <w:p w14:paraId="21416D24" w14:textId="3B0CC7A0"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2006</w:t>
            </w:r>
          </w:p>
        </w:tc>
        <w:tc>
          <w:tcPr>
            <w:tcW w:w="1627" w:type="dxa"/>
            <w:vAlign w:val="bottom"/>
          </w:tcPr>
          <w:p w14:paraId="6604B466" w14:textId="560C4FB1"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0</w:t>
            </w:r>
            <w:r w:rsidR="00881327" w:rsidRPr="00F6590B">
              <w:rPr>
                <w:rFonts w:asciiTheme="minorHAnsi" w:eastAsia="Times New Roman" w:hAnsiTheme="minorHAnsi" w:cs="Times New Roman"/>
                <w:color w:val="000000"/>
                <w:szCs w:val="24"/>
                <w:lang w:val="hr-HR" w:eastAsia="hr-HR"/>
              </w:rPr>
              <w:t>,</w:t>
            </w:r>
            <w:r w:rsidRPr="00F6590B">
              <w:rPr>
                <w:rFonts w:asciiTheme="minorHAnsi" w:eastAsia="Times New Roman" w:hAnsiTheme="minorHAnsi" w:cs="Times New Roman"/>
                <w:color w:val="000000"/>
                <w:szCs w:val="24"/>
                <w:lang w:val="hr-HR" w:eastAsia="hr-HR"/>
              </w:rPr>
              <w:t>080</w:t>
            </w:r>
          </w:p>
        </w:tc>
      </w:tr>
      <w:tr w:rsidR="00617FF9" w:rsidRPr="00F6590B" w14:paraId="12395DA7" w14:textId="77777777" w:rsidTr="00617FF9">
        <w:trPr>
          <w:trHeight w:val="225"/>
          <w:jc w:val="center"/>
        </w:trPr>
        <w:tc>
          <w:tcPr>
            <w:tcW w:w="968" w:type="dxa"/>
            <w:vAlign w:val="bottom"/>
          </w:tcPr>
          <w:p w14:paraId="03FF8337" w14:textId="74532A5A"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2007</w:t>
            </w:r>
          </w:p>
        </w:tc>
        <w:tc>
          <w:tcPr>
            <w:tcW w:w="1627" w:type="dxa"/>
            <w:vAlign w:val="bottom"/>
          </w:tcPr>
          <w:p w14:paraId="7C598B13" w14:textId="6AF2D756"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0</w:t>
            </w:r>
            <w:r w:rsidR="00881327" w:rsidRPr="00F6590B">
              <w:rPr>
                <w:rFonts w:asciiTheme="minorHAnsi" w:eastAsia="Times New Roman" w:hAnsiTheme="minorHAnsi" w:cs="Times New Roman"/>
                <w:color w:val="000000"/>
                <w:szCs w:val="24"/>
                <w:lang w:val="hr-HR" w:eastAsia="hr-HR"/>
              </w:rPr>
              <w:t>,</w:t>
            </w:r>
            <w:r w:rsidRPr="00F6590B">
              <w:rPr>
                <w:rFonts w:asciiTheme="minorHAnsi" w:eastAsia="Times New Roman" w:hAnsiTheme="minorHAnsi" w:cs="Times New Roman"/>
                <w:color w:val="000000"/>
                <w:szCs w:val="24"/>
                <w:lang w:val="hr-HR" w:eastAsia="hr-HR"/>
              </w:rPr>
              <w:t>166</w:t>
            </w:r>
          </w:p>
        </w:tc>
      </w:tr>
      <w:tr w:rsidR="00617FF9" w:rsidRPr="00F6590B" w14:paraId="42B7A506" w14:textId="77777777" w:rsidTr="00617FF9">
        <w:trPr>
          <w:trHeight w:val="225"/>
          <w:jc w:val="center"/>
        </w:trPr>
        <w:tc>
          <w:tcPr>
            <w:tcW w:w="968" w:type="dxa"/>
            <w:vAlign w:val="bottom"/>
          </w:tcPr>
          <w:p w14:paraId="3DCA8BFC" w14:textId="1AE82CFD"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2008</w:t>
            </w:r>
          </w:p>
        </w:tc>
        <w:tc>
          <w:tcPr>
            <w:tcW w:w="1627" w:type="dxa"/>
            <w:vAlign w:val="bottom"/>
          </w:tcPr>
          <w:p w14:paraId="1E6924DB" w14:textId="7618C7AC"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0</w:t>
            </w:r>
            <w:r w:rsidR="00881327" w:rsidRPr="00F6590B">
              <w:rPr>
                <w:rFonts w:asciiTheme="minorHAnsi" w:eastAsia="Times New Roman" w:hAnsiTheme="minorHAnsi" w:cs="Times New Roman"/>
                <w:color w:val="000000"/>
                <w:szCs w:val="24"/>
                <w:lang w:val="hr-HR" w:eastAsia="hr-HR"/>
              </w:rPr>
              <w:t>,</w:t>
            </w:r>
            <w:r w:rsidRPr="00F6590B">
              <w:rPr>
                <w:rFonts w:asciiTheme="minorHAnsi" w:eastAsia="Times New Roman" w:hAnsiTheme="minorHAnsi" w:cs="Times New Roman"/>
                <w:color w:val="000000"/>
                <w:szCs w:val="24"/>
                <w:lang w:val="hr-HR" w:eastAsia="hr-HR"/>
              </w:rPr>
              <w:t>072</w:t>
            </w:r>
          </w:p>
        </w:tc>
      </w:tr>
      <w:tr w:rsidR="00617FF9" w:rsidRPr="00F6590B" w14:paraId="316F6138" w14:textId="77777777" w:rsidTr="00617FF9">
        <w:trPr>
          <w:trHeight w:val="225"/>
          <w:jc w:val="center"/>
        </w:trPr>
        <w:tc>
          <w:tcPr>
            <w:tcW w:w="968" w:type="dxa"/>
            <w:vAlign w:val="bottom"/>
          </w:tcPr>
          <w:p w14:paraId="1A42AB40" w14:textId="798D585C"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2009</w:t>
            </w:r>
          </w:p>
        </w:tc>
        <w:tc>
          <w:tcPr>
            <w:tcW w:w="1627" w:type="dxa"/>
            <w:vAlign w:val="bottom"/>
          </w:tcPr>
          <w:p w14:paraId="0AB08873" w14:textId="35769BDE"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0</w:t>
            </w:r>
            <w:r w:rsidR="00881327" w:rsidRPr="00F6590B">
              <w:rPr>
                <w:rFonts w:asciiTheme="minorHAnsi" w:eastAsia="Times New Roman" w:hAnsiTheme="minorHAnsi" w:cs="Times New Roman"/>
                <w:color w:val="000000"/>
                <w:szCs w:val="24"/>
                <w:lang w:val="hr-HR" w:eastAsia="hr-HR"/>
              </w:rPr>
              <w:t>,</w:t>
            </w:r>
            <w:r w:rsidRPr="00F6590B">
              <w:rPr>
                <w:rFonts w:asciiTheme="minorHAnsi" w:eastAsia="Times New Roman" w:hAnsiTheme="minorHAnsi" w:cs="Times New Roman"/>
                <w:color w:val="000000"/>
                <w:szCs w:val="24"/>
                <w:lang w:val="hr-HR" w:eastAsia="hr-HR"/>
              </w:rPr>
              <w:t>000</w:t>
            </w:r>
          </w:p>
        </w:tc>
      </w:tr>
      <w:tr w:rsidR="00617FF9" w:rsidRPr="00F6590B" w14:paraId="76BD62D6" w14:textId="77777777" w:rsidTr="00617FF9">
        <w:trPr>
          <w:trHeight w:val="225"/>
          <w:jc w:val="center"/>
        </w:trPr>
        <w:tc>
          <w:tcPr>
            <w:tcW w:w="968" w:type="dxa"/>
            <w:vAlign w:val="bottom"/>
          </w:tcPr>
          <w:p w14:paraId="18F17916" w14:textId="53616334"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2010</w:t>
            </w:r>
          </w:p>
        </w:tc>
        <w:tc>
          <w:tcPr>
            <w:tcW w:w="1627" w:type="dxa"/>
            <w:vAlign w:val="bottom"/>
          </w:tcPr>
          <w:p w14:paraId="02BF0F5F" w14:textId="0108DB6D"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0</w:t>
            </w:r>
            <w:r w:rsidR="00881327" w:rsidRPr="00F6590B">
              <w:rPr>
                <w:rFonts w:asciiTheme="minorHAnsi" w:eastAsia="Times New Roman" w:hAnsiTheme="minorHAnsi" w:cs="Times New Roman"/>
                <w:color w:val="000000"/>
                <w:szCs w:val="24"/>
                <w:lang w:val="hr-HR" w:eastAsia="hr-HR"/>
              </w:rPr>
              <w:t>,</w:t>
            </w:r>
            <w:r w:rsidRPr="00F6590B">
              <w:rPr>
                <w:rFonts w:asciiTheme="minorHAnsi" w:eastAsia="Times New Roman" w:hAnsiTheme="minorHAnsi" w:cs="Times New Roman"/>
                <w:color w:val="000000"/>
                <w:szCs w:val="24"/>
                <w:lang w:val="hr-HR" w:eastAsia="hr-HR"/>
              </w:rPr>
              <w:t>010</w:t>
            </w:r>
          </w:p>
        </w:tc>
      </w:tr>
      <w:tr w:rsidR="00617FF9" w:rsidRPr="00F6590B" w14:paraId="0C998A4F" w14:textId="77777777" w:rsidTr="00617FF9">
        <w:trPr>
          <w:trHeight w:val="225"/>
          <w:jc w:val="center"/>
        </w:trPr>
        <w:tc>
          <w:tcPr>
            <w:tcW w:w="968" w:type="dxa"/>
            <w:vAlign w:val="bottom"/>
          </w:tcPr>
          <w:p w14:paraId="5A8595D7" w14:textId="2AAB332B"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2011</w:t>
            </w:r>
          </w:p>
        </w:tc>
        <w:tc>
          <w:tcPr>
            <w:tcW w:w="1627" w:type="dxa"/>
            <w:vAlign w:val="bottom"/>
          </w:tcPr>
          <w:p w14:paraId="51D251D0" w14:textId="00EE5597"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-0</w:t>
            </w:r>
            <w:r w:rsidR="00881327" w:rsidRPr="00F6590B">
              <w:rPr>
                <w:rFonts w:asciiTheme="minorHAnsi" w:eastAsia="Times New Roman" w:hAnsiTheme="minorHAnsi" w:cs="Times New Roman"/>
                <w:color w:val="000000"/>
                <w:szCs w:val="24"/>
                <w:lang w:val="hr-HR" w:eastAsia="hr-HR"/>
              </w:rPr>
              <w:t>,</w:t>
            </w:r>
            <w:r w:rsidRPr="00F6590B">
              <w:rPr>
                <w:rFonts w:asciiTheme="minorHAnsi" w:eastAsia="Times New Roman" w:hAnsiTheme="minorHAnsi" w:cs="Times New Roman"/>
                <w:color w:val="000000"/>
                <w:szCs w:val="24"/>
                <w:lang w:val="hr-HR" w:eastAsia="hr-HR"/>
              </w:rPr>
              <w:t>549</w:t>
            </w:r>
          </w:p>
        </w:tc>
      </w:tr>
      <w:tr w:rsidR="00617FF9" w:rsidRPr="00F6590B" w14:paraId="3189E04C" w14:textId="77777777" w:rsidTr="00617FF9">
        <w:trPr>
          <w:trHeight w:val="225"/>
          <w:jc w:val="center"/>
        </w:trPr>
        <w:tc>
          <w:tcPr>
            <w:tcW w:w="968" w:type="dxa"/>
            <w:vAlign w:val="bottom"/>
          </w:tcPr>
          <w:p w14:paraId="795BA1D5" w14:textId="1A8563CE"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2012</w:t>
            </w:r>
          </w:p>
        </w:tc>
        <w:tc>
          <w:tcPr>
            <w:tcW w:w="1627" w:type="dxa"/>
            <w:vAlign w:val="bottom"/>
          </w:tcPr>
          <w:p w14:paraId="4B5C5DDE" w14:textId="50BBCA61" w:rsidR="00617FF9" w:rsidRPr="00F6590B" w:rsidRDefault="00617FF9" w:rsidP="00483743">
            <w:pPr>
              <w:autoSpaceDE w:val="0"/>
              <w:autoSpaceDN w:val="0"/>
              <w:adjustRightInd w:val="0"/>
              <w:spacing w:line="240" w:lineRule="auto"/>
              <w:ind w:firstLine="0"/>
              <w:jc w:val="center"/>
              <w:rPr>
                <w:rFonts w:asciiTheme="minorHAnsi" w:eastAsia="Times New Roman" w:hAnsiTheme="minorHAnsi" w:cs="Times New Roman"/>
                <w:color w:val="000000"/>
                <w:szCs w:val="24"/>
                <w:lang w:val="hr-HR" w:eastAsia="hr-HR"/>
              </w:rPr>
            </w:pPr>
            <w:r w:rsidRPr="00F6590B">
              <w:rPr>
                <w:rFonts w:asciiTheme="minorHAnsi" w:eastAsia="Times New Roman" w:hAnsiTheme="minorHAnsi" w:cs="Times New Roman"/>
                <w:color w:val="000000"/>
                <w:szCs w:val="24"/>
                <w:lang w:val="hr-HR" w:eastAsia="hr-HR"/>
              </w:rPr>
              <w:t>-0</w:t>
            </w:r>
            <w:r w:rsidR="00881327" w:rsidRPr="00F6590B">
              <w:rPr>
                <w:rFonts w:asciiTheme="minorHAnsi" w:eastAsia="Times New Roman" w:hAnsiTheme="minorHAnsi" w:cs="Times New Roman"/>
                <w:color w:val="000000"/>
                <w:szCs w:val="24"/>
                <w:lang w:val="hr-HR" w:eastAsia="hr-HR"/>
              </w:rPr>
              <w:t>,</w:t>
            </w:r>
            <w:r w:rsidRPr="00F6590B">
              <w:rPr>
                <w:rFonts w:asciiTheme="minorHAnsi" w:eastAsia="Times New Roman" w:hAnsiTheme="minorHAnsi" w:cs="Times New Roman"/>
                <w:color w:val="000000"/>
                <w:szCs w:val="24"/>
                <w:lang w:val="hr-HR" w:eastAsia="hr-HR"/>
              </w:rPr>
              <w:t>019</w:t>
            </w:r>
          </w:p>
        </w:tc>
      </w:tr>
    </w:tbl>
    <w:p w14:paraId="37ABA64E" w14:textId="2CE9D598" w:rsidR="00357433" w:rsidRPr="00F6590B" w:rsidRDefault="00D26260" w:rsidP="00357433">
      <w:pPr>
        <w:pStyle w:val="Caption"/>
        <w:spacing w:line="480" w:lineRule="auto"/>
        <w:rPr>
          <w:lang w:val="hr-HR"/>
        </w:rPr>
      </w:pPr>
      <w:r w:rsidRPr="00F6590B">
        <w:rPr>
          <w:lang w:val="hr-HR"/>
        </w:rPr>
        <w:t>Izvor: izračun</w:t>
      </w:r>
      <w:r w:rsidR="00357433" w:rsidRPr="00F6590B">
        <w:rPr>
          <w:lang w:val="hr-HR"/>
        </w:rPr>
        <w:t xml:space="preserve"> autora</w:t>
      </w:r>
    </w:p>
    <w:p w14:paraId="236D8864" w14:textId="77777777" w:rsidR="0033711C" w:rsidRPr="00F6590B" w:rsidRDefault="0033711C" w:rsidP="00483743">
      <w:pPr>
        <w:spacing w:line="480" w:lineRule="auto"/>
        <w:rPr>
          <w:lang w:val="hr-HR"/>
        </w:rPr>
      </w:pPr>
    </w:p>
    <w:p w14:paraId="6695C0BD" w14:textId="1F41E5D0" w:rsidR="0033711C" w:rsidRPr="00F6590B" w:rsidRDefault="0033711C" w:rsidP="00483743">
      <w:pPr>
        <w:spacing w:line="480" w:lineRule="auto"/>
        <w:rPr>
          <w:lang w:val="hr-HR"/>
        </w:rPr>
      </w:pPr>
      <w:r w:rsidRPr="00F6590B">
        <w:rPr>
          <w:lang w:val="hr-HR"/>
        </w:rPr>
        <w:lastRenderedPageBreak/>
        <w:t xml:space="preserve">Koliko dobro konačni teorijski model opisuje realnost trgovačkog sudovanja u području stečajeva? Grafikon </w:t>
      </w:r>
      <w:r w:rsidR="00D26260" w:rsidRPr="00F6590B">
        <w:rPr>
          <w:lang w:val="hr-HR"/>
        </w:rPr>
        <w:t>3</w:t>
      </w:r>
      <w:r w:rsidRPr="00F6590B">
        <w:rPr>
          <w:lang w:val="hr-HR"/>
        </w:rPr>
        <w:t>. uspoređuje stvarne vrijednosti (statistiku iz BP2) i procijenjene, modelski produciran broj rije</w:t>
      </w:r>
      <w:r w:rsidR="002275AB" w:rsidRPr="00F6590B">
        <w:rPr>
          <w:lang w:val="hr-HR"/>
        </w:rPr>
        <w:t xml:space="preserve">šenih stečajnih predmeta, te se može reći </w:t>
      </w:r>
      <w:r w:rsidRPr="00F6590B">
        <w:rPr>
          <w:lang w:val="hr-HR"/>
        </w:rPr>
        <w:t>kako model relativno dobro reproducira statistiku rješavanja stečajnih predmeta na svim sudovima.</w:t>
      </w:r>
    </w:p>
    <w:p w14:paraId="7D26C71A" w14:textId="77777777" w:rsidR="004E580F" w:rsidRPr="00F6590B" w:rsidRDefault="004E580F" w:rsidP="00483743">
      <w:pPr>
        <w:spacing w:line="480" w:lineRule="auto"/>
        <w:rPr>
          <w:lang w:val="hr-HR"/>
        </w:rPr>
      </w:pPr>
    </w:p>
    <w:p w14:paraId="42553CB3" w14:textId="706E926F" w:rsidR="0072788B" w:rsidRPr="00F6590B" w:rsidRDefault="00877EF1" w:rsidP="00483743">
      <w:pPr>
        <w:pStyle w:val="Caption"/>
        <w:spacing w:line="480" w:lineRule="auto"/>
        <w:rPr>
          <w:szCs w:val="24"/>
          <w:lang w:val="hr-HR"/>
        </w:rPr>
      </w:pPr>
      <w:r w:rsidRPr="00F6590B">
        <w:rPr>
          <w:lang w:val="hr-HR"/>
        </w:rPr>
        <w:t xml:space="preserve">Grafikon </w:t>
      </w:r>
      <w:r w:rsidR="0019028F" w:rsidRPr="00F6590B">
        <w:rPr>
          <w:lang w:val="hr-HR"/>
        </w:rPr>
        <w:fldChar w:fldCharType="begin"/>
      </w:r>
      <w:r w:rsidR="0019028F" w:rsidRPr="00F6590B">
        <w:rPr>
          <w:lang w:val="hr-HR"/>
        </w:rPr>
        <w:instrText xml:space="preserve"> SEQ Grafikon \* ARABIC </w:instrText>
      </w:r>
      <w:r w:rsidR="0019028F" w:rsidRPr="00F6590B">
        <w:rPr>
          <w:lang w:val="hr-HR"/>
        </w:rPr>
        <w:fldChar w:fldCharType="separate"/>
      </w:r>
      <w:r w:rsidR="00D26260" w:rsidRPr="00F6590B">
        <w:rPr>
          <w:lang w:val="hr-HR"/>
        </w:rPr>
        <w:t>3</w:t>
      </w:r>
      <w:r w:rsidR="0019028F" w:rsidRPr="00F6590B">
        <w:rPr>
          <w:lang w:val="hr-HR"/>
        </w:rPr>
        <w:fldChar w:fldCharType="end"/>
      </w:r>
      <w:r w:rsidRPr="00F6590B">
        <w:rPr>
          <w:lang w:val="hr-HR"/>
        </w:rPr>
        <w:t xml:space="preserve">. </w:t>
      </w:r>
      <w:r w:rsidR="0072788B" w:rsidRPr="00F6590B">
        <w:rPr>
          <w:szCs w:val="24"/>
          <w:lang w:val="hr-HR"/>
        </w:rPr>
        <w:t>Komparacija realnog broja riješenih stečaj</w:t>
      </w:r>
      <w:r w:rsidR="002A31FC" w:rsidRPr="00F6590B">
        <w:rPr>
          <w:szCs w:val="24"/>
          <w:lang w:val="hr-HR"/>
        </w:rPr>
        <w:t>eva</w:t>
      </w:r>
      <w:r w:rsidR="002A31FC" w:rsidRPr="00F6590B">
        <w:rPr>
          <w:szCs w:val="24"/>
          <w:lang w:val="hr-HR"/>
        </w:rPr>
        <w:br/>
      </w:r>
      <w:r w:rsidR="0072788B" w:rsidRPr="00F6590B">
        <w:rPr>
          <w:szCs w:val="24"/>
          <w:lang w:val="hr-HR"/>
        </w:rPr>
        <w:t>i broja riješenih stečaj</w:t>
      </w:r>
      <w:r w:rsidR="002A31FC" w:rsidRPr="00F6590B">
        <w:rPr>
          <w:szCs w:val="24"/>
          <w:lang w:val="hr-HR"/>
        </w:rPr>
        <w:t>eva</w:t>
      </w:r>
      <w:r w:rsidR="0072788B" w:rsidRPr="00F6590B">
        <w:rPr>
          <w:szCs w:val="24"/>
          <w:lang w:val="hr-HR"/>
        </w:rPr>
        <w:t xml:space="preserve"> predviđen</w:t>
      </w:r>
      <w:r w:rsidR="002A31FC" w:rsidRPr="00F6590B">
        <w:rPr>
          <w:szCs w:val="24"/>
          <w:lang w:val="hr-HR"/>
        </w:rPr>
        <w:t>ih</w:t>
      </w:r>
      <w:r w:rsidR="0072788B" w:rsidRPr="00F6590B">
        <w:rPr>
          <w:szCs w:val="24"/>
          <w:lang w:val="hr-HR"/>
        </w:rPr>
        <w:t xml:space="preserve"> modelom</w:t>
      </w:r>
    </w:p>
    <w:p w14:paraId="1C8328F5" w14:textId="03911140" w:rsidR="00855637" w:rsidRPr="00F6590B" w:rsidRDefault="00C9334B" w:rsidP="00483743">
      <w:pPr>
        <w:spacing w:line="480" w:lineRule="auto"/>
        <w:ind w:firstLine="0"/>
        <w:jc w:val="center"/>
        <w:rPr>
          <w:szCs w:val="24"/>
          <w:lang w:val="hr-HR"/>
        </w:rPr>
      </w:pPr>
      <w:r w:rsidRPr="00F6590B">
        <w:rPr>
          <w:noProof/>
          <w:lang w:val="hr-HR" w:eastAsia="hr-HR"/>
        </w:rPr>
        <w:drawing>
          <wp:inline distT="0" distB="0" distL="0" distR="0" wp14:anchorId="6F4F691D" wp14:editId="1E7E7029">
            <wp:extent cx="5972810" cy="4742180"/>
            <wp:effectExtent l="0" t="0" r="2794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17CEF5" w14:textId="705FC6A7" w:rsidR="00357433" w:rsidRDefault="00357433" w:rsidP="00357433">
      <w:pPr>
        <w:pStyle w:val="Caption"/>
        <w:spacing w:line="480" w:lineRule="auto"/>
        <w:rPr>
          <w:lang w:val="hr-HR"/>
        </w:rPr>
      </w:pPr>
      <w:r w:rsidRPr="00F6590B">
        <w:rPr>
          <w:lang w:val="hr-HR"/>
        </w:rPr>
        <w:t xml:space="preserve">Izvor: </w:t>
      </w:r>
      <w:r w:rsidR="003F6BAA">
        <w:rPr>
          <w:lang w:val="hr-HR"/>
        </w:rPr>
        <w:t>p</w:t>
      </w:r>
      <w:r w:rsidR="00D26260" w:rsidRPr="00F6590B">
        <w:rPr>
          <w:lang w:val="hr-HR"/>
        </w:rPr>
        <w:t>rikaz</w:t>
      </w:r>
      <w:r w:rsidRPr="00F6590B">
        <w:rPr>
          <w:lang w:val="hr-HR"/>
        </w:rPr>
        <w:t xml:space="preserve"> autora</w:t>
      </w:r>
    </w:p>
    <w:p w14:paraId="3D386ECE" w14:textId="77777777" w:rsidR="007805A6" w:rsidRDefault="007805A6" w:rsidP="007805A6">
      <w:pPr>
        <w:rPr>
          <w:lang w:val="hr-HR"/>
        </w:rPr>
      </w:pPr>
    </w:p>
    <w:p w14:paraId="38FF9700" w14:textId="77777777" w:rsidR="007805A6" w:rsidRPr="007805A6" w:rsidRDefault="007805A6" w:rsidP="007805A6">
      <w:pPr>
        <w:rPr>
          <w:lang w:val="hr-HR"/>
        </w:rPr>
      </w:pPr>
    </w:p>
    <w:p w14:paraId="37D10372" w14:textId="6F646C99" w:rsidR="00947058" w:rsidRPr="00F6590B" w:rsidRDefault="00947058" w:rsidP="00483743">
      <w:pPr>
        <w:pStyle w:val="ListParagraph"/>
        <w:numPr>
          <w:ilvl w:val="0"/>
          <w:numId w:val="3"/>
        </w:numPr>
        <w:spacing w:line="480" w:lineRule="auto"/>
        <w:rPr>
          <w:rFonts w:cs="Times New Roman"/>
          <w:szCs w:val="24"/>
          <w:lang w:val="hr-HR"/>
        </w:rPr>
      </w:pPr>
      <w:r w:rsidRPr="00F6590B">
        <w:rPr>
          <w:rFonts w:cs="Times New Roman"/>
          <w:szCs w:val="24"/>
          <w:lang w:val="hr-HR"/>
        </w:rPr>
        <w:lastRenderedPageBreak/>
        <w:t>Zaključak</w:t>
      </w:r>
    </w:p>
    <w:p w14:paraId="7AA71D45" w14:textId="77777777" w:rsidR="00947058" w:rsidRPr="00F6590B" w:rsidRDefault="00947058" w:rsidP="00483743">
      <w:pPr>
        <w:pStyle w:val="ListParagraph"/>
        <w:spacing w:line="480" w:lineRule="auto"/>
        <w:rPr>
          <w:rFonts w:cs="Times New Roman"/>
          <w:szCs w:val="24"/>
          <w:lang w:val="hr-HR"/>
        </w:rPr>
      </w:pPr>
    </w:p>
    <w:p w14:paraId="63184E5F" w14:textId="1EFCE0C6" w:rsidR="00947058" w:rsidRPr="00F6590B" w:rsidRDefault="002275AB" w:rsidP="00483743">
      <w:pPr>
        <w:spacing w:line="480" w:lineRule="auto"/>
        <w:rPr>
          <w:szCs w:val="24"/>
          <w:lang w:val="hr-HR"/>
        </w:rPr>
      </w:pPr>
      <w:r w:rsidRPr="00F6590B">
        <w:rPr>
          <w:szCs w:val="24"/>
          <w:lang w:val="hr-HR"/>
        </w:rPr>
        <w:t>Potvrđena je h</w:t>
      </w:r>
      <w:r w:rsidR="002B332D" w:rsidRPr="00F6590B">
        <w:rPr>
          <w:szCs w:val="24"/>
          <w:lang w:val="hr-HR"/>
        </w:rPr>
        <w:t xml:space="preserve">ipoteza da u Hrvatskoj postoji nejednaka efikasnost trgovačkih sudova u procesuiranju stečajnih predmeta: ispodprosječno su efikasni sudovi u Zagrebu, Splitu i Rijeci, a nadprosječno u Bjelovaru, Zadru i Osijeku. Također, u vrijeme priljeva velikog broja novih stečajnih predmeta </w:t>
      </w:r>
      <w:r w:rsidR="005E7E70" w:rsidRPr="00F6590B">
        <w:rPr>
          <w:szCs w:val="24"/>
          <w:lang w:val="hr-HR"/>
        </w:rPr>
        <w:t>(</w:t>
      </w:r>
      <w:r w:rsidR="002B332D" w:rsidRPr="00F6590B">
        <w:rPr>
          <w:szCs w:val="24"/>
          <w:lang w:val="hr-HR"/>
        </w:rPr>
        <w:t>uslijed kumulativnog učinka dugogodišnje recesije</w:t>
      </w:r>
      <w:r w:rsidR="005E7E70" w:rsidRPr="00F6590B">
        <w:rPr>
          <w:szCs w:val="24"/>
          <w:lang w:val="hr-HR"/>
        </w:rPr>
        <w:t>)</w:t>
      </w:r>
      <w:r w:rsidR="002B332D" w:rsidRPr="00F6590B">
        <w:rPr>
          <w:szCs w:val="24"/>
          <w:lang w:val="hr-HR"/>
        </w:rPr>
        <w:t xml:space="preserve"> svi su trgovački sudovi u prosjeku rješavali manje predmeta. Ovaj pad produktivnosti uslijed povećanog pritiska nije neočekiva</w:t>
      </w:r>
      <w:r w:rsidR="005E7E70" w:rsidRPr="00F6590B">
        <w:rPr>
          <w:szCs w:val="24"/>
          <w:lang w:val="hr-HR"/>
        </w:rPr>
        <w:t>n: broj stečajeva u 2011. god.</w:t>
      </w:r>
      <w:r w:rsidR="002B332D" w:rsidRPr="00F6590B">
        <w:rPr>
          <w:szCs w:val="24"/>
          <w:lang w:val="hr-HR"/>
        </w:rPr>
        <w:t xml:space="preserve"> u odnosu na prethodnu </w:t>
      </w:r>
      <w:r w:rsidR="005E7E70" w:rsidRPr="00F6590B">
        <w:rPr>
          <w:szCs w:val="24"/>
          <w:lang w:val="hr-HR"/>
        </w:rPr>
        <w:t xml:space="preserve">godinu </w:t>
      </w:r>
      <w:r w:rsidR="002B332D" w:rsidRPr="00F6590B">
        <w:rPr>
          <w:szCs w:val="24"/>
          <w:lang w:val="hr-HR"/>
        </w:rPr>
        <w:t xml:space="preserve">u Zagrebu je porastao 161%, </w:t>
      </w:r>
      <w:r w:rsidR="005E7E70" w:rsidRPr="00F6590B">
        <w:rPr>
          <w:szCs w:val="24"/>
          <w:lang w:val="hr-HR"/>
        </w:rPr>
        <w:t>u Osijeku 266%, Rijeci 345%, u Splitu 463%, a u Zadru čak 620%.</w:t>
      </w:r>
    </w:p>
    <w:p w14:paraId="0FE3BA95" w14:textId="6ABD3C7C" w:rsidR="00900900" w:rsidRPr="00F6590B" w:rsidRDefault="005E7E70" w:rsidP="00483743">
      <w:pPr>
        <w:spacing w:line="480" w:lineRule="auto"/>
        <w:rPr>
          <w:szCs w:val="24"/>
          <w:lang w:val="hr-HR"/>
        </w:rPr>
      </w:pPr>
      <w:r w:rsidRPr="00F6590B">
        <w:rPr>
          <w:szCs w:val="24"/>
          <w:lang w:val="hr-HR"/>
        </w:rPr>
        <w:t xml:space="preserve">Što se tiče hipoteze o predimenzioniranosti </w:t>
      </w:r>
      <w:r w:rsidR="002275AB" w:rsidRPr="00F6590B">
        <w:rPr>
          <w:szCs w:val="24"/>
          <w:lang w:val="hr-HR"/>
        </w:rPr>
        <w:t xml:space="preserve">percepcije tromosti </w:t>
      </w:r>
      <w:r w:rsidRPr="00F6590B">
        <w:rPr>
          <w:szCs w:val="24"/>
          <w:lang w:val="hr-HR"/>
        </w:rPr>
        <w:t>stečajnog pravosuđa, p</w:t>
      </w:r>
      <w:r w:rsidR="00900900" w:rsidRPr="00F6590B">
        <w:rPr>
          <w:szCs w:val="24"/>
          <w:lang w:val="hr-HR"/>
        </w:rPr>
        <w:t>odaci o trajanju stečajnih p</w:t>
      </w:r>
      <w:r w:rsidR="004538D7" w:rsidRPr="00F6590B">
        <w:rPr>
          <w:szCs w:val="24"/>
          <w:lang w:val="hr-HR"/>
        </w:rPr>
        <w:t xml:space="preserve">ostupka pokazuju izrazitu disproporciju: s jedne strane apsolutno najveći dio postupaka u tijeku otvoren je prije dvije godine, ali s druge strane postoji neočekivano velik broj </w:t>
      </w:r>
      <w:r w:rsidRPr="00F6590B">
        <w:rPr>
          <w:szCs w:val="24"/>
          <w:lang w:val="hr-HR"/>
        </w:rPr>
        <w:t>dugotrajnih stečajeva: u prosjeku svaki sedmi stečaj traje dulje od osam godina, a gotovo svaki peti stečaj traje dulje od šest godina.</w:t>
      </w:r>
      <w:r w:rsidR="00EB5A91" w:rsidRPr="00F6590B">
        <w:rPr>
          <w:szCs w:val="24"/>
          <w:lang w:val="hr-HR"/>
        </w:rPr>
        <w:t xml:space="preserve"> </w:t>
      </w:r>
    </w:p>
    <w:p w14:paraId="19AE130E" w14:textId="1E9C6952" w:rsidR="002B296A" w:rsidRPr="00F6590B" w:rsidRDefault="00D6356D" w:rsidP="00483743">
      <w:pPr>
        <w:spacing w:line="480" w:lineRule="auto"/>
        <w:rPr>
          <w:szCs w:val="24"/>
          <w:lang w:val="hr-HR"/>
        </w:rPr>
      </w:pPr>
      <w:r w:rsidRPr="00F6590B">
        <w:rPr>
          <w:szCs w:val="24"/>
          <w:lang w:val="hr-HR"/>
        </w:rPr>
        <w:t>Konačno</w:t>
      </w:r>
      <w:r w:rsidR="00EB5A91" w:rsidRPr="00F6590B">
        <w:rPr>
          <w:szCs w:val="24"/>
          <w:lang w:val="hr-HR"/>
        </w:rPr>
        <w:t xml:space="preserve">, </w:t>
      </w:r>
      <w:r w:rsidRPr="00F6590B">
        <w:rPr>
          <w:szCs w:val="24"/>
          <w:lang w:val="hr-HR"/>
        </w:rPr>
        <w:t>budući da stečajni sustav „regulira kreaciju kolektivnog bogatstva“ (</w:t>
      </w:r>
      <w:proofErr w:type="spellStart"/>
      <w:r w:rsidRPr="00F6590B">
        <w:rPr>
          <w:szCs w:val="24"/>
          <w:lang w:val="hr-HR"/>
        </w:rPr>
        <w:t>Korobkin</w:t>
      </w:r>
      <w:proofErr w:type="spellEnd"/>
      <w:r w:rsidRPr="00F6590B">
        <w:rPr>
          <w:szCs w:val="24"/>
          <w:lang w:val="hr-HR"/>
        </w:rPr>
        <w:t xml:space="preserve">, 1991:729), tako što omogućuje zadržavanje maksimalno moguće vrijednosti poduzetnika, </w:t>
      </w:r>
      <w:r w:rsidR="002275AB" w:rsidRPr="00F6590B">
        <w:rPr>
          <w:szCs w:val="24"/>
          <w:lang w:val="hr-HR"/>
        </w:rPr>
        <w:t>za društvo kao cjelinu od visoke je važnosti imati efikasan stečajni sustav koji će spriječiti rasipanje kolektivnog bogatstva stvaranog generacijama</w:t>
      </w:r>
      <w:r w:rsidR="00716BD8" w:rsidRPr="00F6590B">
        <w:rPr>
          <w:szCs w:val="24"/>
          <w:lang w:val="hr-HR"/>
        </w:rPr>
        <w:t>.</w:t>
      </w:r>
      <w:r w:rsidR="00EB5A91" w:rsidRPr="00F6590B">
        <w:rPr>
          <w:szCs w:val="24"/>
          <w:lang w:val="hr-HR"/>
        </w:rPr>
        <w:t xml:space="preserve"> U tom smislu valja podržati </w:t>
      </w:r>
      <w:r w:rsidR="002275AB" w:rsidRPr="00F6590B">
        <w:rPr>
          <w:szCs w:val="24"/>
          <w:lang w:val="hr-HR"/>
        </w:rPr>
        <w:t xml:space="preserve">daljnja </w:t>
      </w:r>
      <w:r w:rsidR="00302525" w:rsidRPr="00F6590B">
        <w:rPr>
          <w:szCs w:val="24"/>
          <w:lang w:val="hr-HR"/>
        </w:rPr>
        <w:t>istraživanja koja</w:t>
      </w:r>
      <w:r w:rsidR="00EB5A91" w:rsidRPr="00F6590B">
        <w:rPr>
          <w:szCs w:val="24"/>
          <w:lang w:val="hr-HR"/>
        </w:rPr>
        <w:t xml:space="preserve"> će doprinijeti boljem razumijevanj</w:t>
      </w:r>
      <w:r w:rsidR="002275AB" w:rsidRPr="00F6590B">
        <w:rPr>
          <w:szCs w:val="24"/>
          <w:lang w:val="hr-HR"/>
        </w:rPr>
        <w:t>u efikasnosti stečajnog sustava, i varijabli koje ih opisuju.</w:t>
      </w:r>
    </w:p>
    <w:p w14:paraId="741B64F7" w14:textId="77777777" w:rsidR="00604C30" w:rsidRPr="00F6590B" w:rsidRDefault="00604C30" w:rsidP="00483743">
      <w:pPr>
        <w:spacing w:line="480" w:lineRule="auto"/>
        <w:rPr>
          <w:szCs w:val="24"/>
          <w:lang w:val="hr-HR"/>
        </w:rPr>
      </w:pPr>
    </w:p>
    <w:p w14:paraId="1064357B" w14:textId="18EA3AA8" w:rsidR="00947058" w:rsidRPr="00F6590B" w:rsidRDefault="00947058" w:rsidP="00483743">
      <w:pPr>
        <w:pStyle w:val="ListParagraph"/>
        <w:numPr>
          <w:ilvl w:val="0"/>
          <w:numId w:val="3"/>
        </w:numPr>
        <w:spacing w:line="480" w:lineRule="auto"/>
        <w:rPr>
          <w:rFonts w:cs="Times New Roman"/>
          <w:szCs w:val="24"/>
          <w:lang w:val="hr-HR"/>
        </w:rPr>
      </w:pPr>
      <w:r w:rsidRPr="00F6590B">
        <w:rPr>
          <w:rFonts w:cs="Times New Roman"/>
          <w:szCs w:val="24"/>
          <w:lang w:val="hr-HR"/>
        </w:rPr>
        <w:t>Literatura</w:t>
      </w:r>
    </w:p>
    <w:p w14:paraId="3683774B" w14:textId="77777777" w:rsidR="00947058" w:rsidRPr="00F6590B" w:rsidRDefault="00947058" w:rsidP="00483743">
      <w:pPr>
        <w:spacing w:line="480" w:lineRule="auto"/>
        <w:rPr>
          <w:rFonts w:cs="Times New Roman"/>
          <w:szCs w:val="24"/>
          <w:lang w:val="hr-HR"/>
        </w:rPr>
      </w:pPr>
    </w:p>
    <w:p w14:paraId="597B7FE6" w14:textId="479310EE" w:rsidR="00F308FF" w:rsidRPr="00F6590B" w:rsidRDefault="00F308FF"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Baltagi</w:t>
      </w:r>
      <w:proofErr w:type="spellEnd"/>
      <w:r w:rsidRPr="00F6590B">
        <w:rPr>
          <w:rFonts w:cs="Times New Roman"/>
          <w:szCs w:val="24"/>
          <w:lang w:val="hr-HR"/>
        </w:rPr>
        <w:t>, B</w:t>
      </w:r>
      <w:r w:rsidR="00DF1FF4" w:rsidRPr="00F6590B">
        <w:rPr>
          <w:rFonts w:cs="Times New Roman"/>
          <w:szCs w:val="24"/>
          <w:lang w:val="hr-HR"/>
        </w:rPr>
        <w:t>. (</w:t>
      </w:r>
      <w:r w:rsidRPr="00F6590B">
        <w:rPr>
          <w:rFonts w:cs="Times New Roman"/>
          <w:szCs w:val="24"/>
          <w:lang w:val="hr-HR"/>
        </w:rPr>
        <w:t>2001</w:t>
      </w:r>
      <w:r w:rsidR="00DF1FF4" w:rsidRPr="00F6590B">
        <w:rPr>
          <w:rFonts w:cs="Times New Roman"/>
          <w:szCs w:val="24"/>
          <w:lang w:val="hr-HR"/>
        </w:rPr>
        <w:t>)</w:t>
      </w:r>
      <w:r w:rsidRPr="00F6590B">
        <w:rPr>
          <w:rFonts w:cs="Times New Roman"/>
          <w:szCs w:val="24"/>
          <w:lang w:val="hr-HR"/>
        </w:rPr>
        <w:t xml:space="preserve">. </w:t>
      </w:r>
      <w:proofErr w:type="spellStart"/>
      <w:r w:rsidRPr="00F6590B">
        <w:rPr>
          <w:rFonts w:cs="Times New Roman"/>
          <w:i/>
          <w:iCs/>
          <w:szCs w:val="24"/>
          <w:lang w:val="hr-HR"/>
        </w:rPr>
        <w:t>Econometric</w:t>
      </w:r>
      <w:proofErr w:type="spellEnd"/>
      <w:r w:rsidRPr="00F6590B">
        <w:rPr>
          <w:rFonts w:cs="Times New Roman"/>
          <w:i/>
          <w:iCs/>
          <w:szCs w:val="24"/>
          <w:lang w:val="hr-HR"/>
        </w:rPr>
        <w:t xml:space="preserve"> </w:t>
      </w:r>
      <w:proofErr w:type="spellStart"/>
      <w:r w:rsidRPr="00F6590B">
        <w:rPr>
          <w:rFonts w:cs="Times New Roman"/>
          <w:i/>
          <w:iCs/>
          <w:szCs w:val="24"/>
          <w:lang w:val="hr-HR"/>
        </w:rPr>
        <w:t>Analysis</w:t>
      </w:r>
      <w:proofErr w:type="spellEnd"/>
      <w:r w:rsidRPr="00F6590B">
        <w:rPr>
          <w:rFonts w:cs="Times New Roman"/>
          <w:i/>
          <w:iCs/>
          <w:szCs w:val="24"/>
          <w:lang w:val="hr-HR"/>
        </w:rPr>
        <w:t xml:space="preserve"> </w:t>
      </w:r>
      <w:proofErr w:type="spellStart"/>
      <w:r w:rsidRPr="00F6590B">
        <w:rPr>
          <w:rFonts w:cs="Times New Roman"/>
          <w:i/>
          <w:iCs/>
          <w:szCs w:val="24"/>
          <w:lang w:val="hr-HR"/>
        </w:rPr>
        <w:t>of</w:t>
      </w:r>
      <w:proofErr w:type="spellEnd"/>
      <w:r w:rsidRPr="00F6590B">
        <w:rPr>
          <w:rFonts w:cs="Times New Roman"/>
          <w:i/>
          <w:iCs/>
          <w:szCs w:val="24"/>
          <w:lang w:val="hr-HR"/>
        </w:rPr>
        <w:t xml:space="preserve"> Panel Data</w:t>
      </w:r>
      <w:r w:rsidRPr="00F6590B">
        <w:rPr>
          <w:rFonts w:cs="Times New Roman"/>
          <w:szCs w:val="24"/>
          <w:lang w:val="hr-HR"/>
        </w:rPr>
        <w:t xml:space="preserve">. </w:t>
      </w:r>
      <w:proofErr w:type="spellStart"/>
      <w:r w:rsidRPr="00F6590B">
        <w:rPr>
          <w:rFonts w:cs="Times New Roman"/>
          <w:szCs w:val="24"/>
          <w:lang w:val="hr-HR"/>
        </w:rPr>
        <w:t>John</w:t>
      </w:r>
      <w:proofErr w:type="spellEnd"/>
      <w:r w:rsidRPr="00F6590B">
        <w:rPr>
          <w:rFonts w:cs="Times New Roman"/>
          <w:szCs w:val="24"/>
          <w:lang w:val="hr-HR"/>
        </w:rPr>
        <w:t xml:space="preserve"> </w:t>
      </w:r>
      <w:proofErr w:type="spellStart"/>
      <w:r w:rsidR="00DF1FF4" w:rsidRPr="00F6590B">
        <w:rPr>
          <w:rFonts w:cs="Times New Roman"/>
          <w:szCs w:val="24"/>
          <w:lang w:val="hr-HR"/>
        </w:rPr>
        <w:t>Wiley</w:t>
      </w:r>
      <w:proofErr w:type="spellEnd"/>
      <w:r w:rsidR="00DF1FF4" w:rsidRPr="00F6590B">
        <w:rPr>
          <w:rFonts w:cs="Times New Roman"/>
          <w:szCs w:val="24"/>
          <w:lang w:val="hr-HR"/>
        </w:rPr>
        <w:t xml:space="preserve"> </w:t>
      </w:r>
      <w:r w:rsidRPr="00F6590B">
        <w:rPr>
          <w:rFonts w:cs="Times New Roman"/>
          <w:szCs w:val="24"/>
          <w:lang w:val="hr-HR"/>
        </w:rPr>
        <w:t xml:space="preserve">&amp; </w:t>
      </w:r>
      <w:proofErr w:type="spellStart"/>
      <w:r w:rsidRPr="00F6590B">
        <w:rPr>
          <w:rFonts w:cs="Times New Roman"/>
          <w:szCs w:val="24"/>
          <w:lang w:val="hr-HR"/>
        </w:rPr>
        <w:t>Sons</w:t>
      </w:r>
      <w:proofErr w:type="spellEnd"/>
      <w:r w:rsidRPr="00F6590B">
        <w:rPr>
          <w:rFonts w:cs="Times New Roman"/>
          <w:szCs w:val="24"/>
          <w:lang w:val="hr-HR"/>
        </w:rPr>
        <w:t>.</w:t>
      </w:r>
    </w:p>
    <w:p w14:paraId="4E2EE12E" w14:textId="5CA6A84D" w:rsidR="00E3092E" w:rsidRPr="00F6590B" w:rsidRDefault="00E3092E"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lastRenderedPageBreak/>
        <w:t>Bejaković</w:t>
      </w:r>
      <w:proofErr w:type="spellEnd"/>
      <w:r w:rsidRPr="00F6590B">
        <w:rPr>
          <w:rFonts w:cs="Times New Roman"/>
          <w:szCs w:val="24"/>
          <w:lang w:val="hr-HR"/>
        </w:rPr>
        <w:t>, P</w:t>
      </w:r>
      <w:r w:rsidR="00DF1FF4" w:rsidRPr="00F6590B">
        <w:rPr>
          <w:rFonts w:cs="Times New Roman"/>
          <w:szCs w:val="24"/>
          <w:lang w:val="hr-HR"/>
        </w:rPr>
        <w:t>., &amp;</w:t>
      </w:r>
      <w:r w:rsidRPr="00F6590B">
        <w:rPr>
          <w:rFonts w:cs="Times New Roman"/>
          <w:szCs w:val="24"/>
          <w:lang w:val="hr-HR"/>
        </w:rPr>
        <w:t xml:space="preserve"> </w:t>
      </w:r>
      <w:proofErr w:type="spellStart"/>
      <w:r w:rsidRPr="00F6590B">
        <w:rPr>
          <w:rFonts w:cs="Times New Roman"/>
          <w:szCs w:val="24"/>
          <w:lang w:val="hr-HR"/>
        </w:rPr>
        <w:t>Domac</w:t>
      </w:r>
      <w:proofErr w:type="spellEnd"/>
      <w:r w:rsidRPr="00F6590B">
        <w:rPr>
          <w:rFonts w:cs="Times New Roman"/>
          <w:szCs w:val="24"/>
          <w:lang w:val="hr-HR"/>
        </w:rPr>
        <w:t>, A</w:t>
      </w:r>
      <w:r w:rsidR="00DF1FF4" w:rsidRPr="00F6590B">
        <w:rPr>
          <w:rFonts w:cs="Times New Roman"/>
          <w:szCs w:val="24"/>
          <w:lang w:val="hr-HR"/>
        </w:rPr>
        <w:t>. (2002)</w:t>
      </w:r>
      <w:r w:rsidRPr="00F6590B">
        <w:rPr>
          <w:rFonts w:cs="Times New Roman"/>
          <w:szCs w:val="24"/>
          <w:lang w:val="hr-HR"/>
        </w:rPr>
        <w:t xml:space="preserve">. (Ne)učinkovitost sudbene vlasti u Hrvatskoj kao jedan od uzorka neslužbenoga gospodarstva. </w:t>
      </w:r>
      <w:r w:rsidRPr="00F6590B">
        <w:rPr>
          <w:rFonts w:cs="Times New Roman"/>
          <w:i/>
          <w:szCs w:val="24"/>
          <w:lang w:val="hr-HR"/>
        </w:rPr>
        <w:t>Financijska teorija i praksa</w:t>
      </w:r>
      <w:r w:rsidR="00DF1FF4" w:rsidRPr="00F6590B">
        <w:rPr>
          <w:rFonts w:cs="Times New Roman"/>
          <w:szCs w:val="24"/>
          <w:lang w:val="hr-HR"/>
        </w:rPr>
        <w:t>,</w:t>
      </w:r>
      <w:r w:rsidRPr="00F6590B">
        <w:rPr>
          <w:rFonts w:cs="Times New Roman"/>
          <w:szCs w:val="24"/>
          <w:lang w:val="hr-HR"/>
        </w:rPr>
        <w:t xml:space="preserve"> 26</w:t>
      </w:r>
      <w:r w:rsidR="00DF1FF4" w:rsidRPr="00F6590B">
        <w:rPr>
          <w:rFonts w:cs="Times New Roman"/>
          <w:szCs w:val="24"/>
          <w:lang w:val="hr-HR"/>
        </w:rPr>
        <w:t xml:space="preserve"> (</w:t>
      </w:r>
      <w:r w:rsidRPr="00F6590B">
        <w:rPr>
          <w:rFonts w:cs="Times New Roman"/>
          <w:szCs w:val="24"/>
          <w:lang w:val="hr-HR"/>
        </w:rPr>
        <w:t>1</w:t>
      </w:r>
      <w:r w:rsidR="00DF1FF4" w:rsidRPr="00F6590B">
        <w:rPr>
          <w:rFonts w:cs="Times New Roman"/>
          <w:szCs w:val="24"/>
          <w:lang w:val="hr-HR"/>
        </w:rPr>
        <w:t>),</w:t>
      </w:r>
      <w:r w:rsidRPr="00F6590B">
        <w:rPr>
          <w:rFonts w:cs="Times New Roman"/>
          <w:szCs w:val="24"/>
          <w:lang w:val="hr-HR"/>
        </w:rPr>
        <w:t xml:space="preserve"> 351-369</w:t>
      </w:r>
    </w:p>
    <w:p w14:paraId="49B3A81A" w14:textId="0AF0C483" w:rsidR="007F1E33" w:rsidRPr="00F6590B" w:rsidRDefault="007F1E33"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Breusch</w:t>
      </w:r>
      <w:proofErr w:type="spellEnd"/>
      <w:r w:rsidRPr="00F6590B">
        <w:rPr>
          <w:rFonts w:cs="Times New Roman"/>
          <w:szCs w:val="24"/>
          <w:lang w:val="hr-HR"/>
        </w:rPr>
        <w:t>, T.</w:t>
      </w:r>
      <w:r w:rsidR="00DF1FF4" w:rsidRPr="00F6590B">
        <w:rPr>
          <w:rFonts w:cs="Times New Roman"/>
          <w:szCs w:val="24"/>
          <w:lang w:val="hr-HR"/>
        </w:rPr>
        <w:t>,</w:t>
      </w:r>
      <w:r w:rsidRPr="00F6590B">
        <w:rPr>
          <w:rFonts w:cs="Times New Roman"/>
          <w:szCs w:val="24"/>
          <w:lang w:val="hr-HR"/>
        </w:rPr>
        <w:t xml:space="preserve"> </w:t>
      </w:r>
      <w:r w:rsidR="00DF1FF4" w:rsidRPr="00F6590B">
        <w:rPr>
          <w:rFonts w:cs="Times New Roman"/>
          <w:szCs w:val="24"/>
          <w:lang w:val="hr-HR"/>
        </w:rPr>
        <w:t>&amp;</w:t>
      </w:r>
      <w:r w:rsidRPr="00F6590B">
        <w:rPr>
          <w:rFonts w:cs="Times New Roman"/>
          <w:szCs w:val="24"/>
          <w:lang w:val="hr-HR"/>
        </w:rPr>
        <w:t xml:space="preserve"> </w:t>
      </w:r>
      <w:proofErr w:type="spellStart"/>
      <w:r w:rsidRPr="00F6590B">
        <w:rPr>
          <w:rFonts w:cs="Times New Roman"/>
          <w:szCs w:val="24"/>
          <w:lang w:val="hr-HR"/>
        </w:rPr>
        <w:t>Pagan</w:t>
      </w:r>
      <w:proofErr w:type="spellEnd"/>
      <w:r w:rsidR="00DF1FF4" w:rsidRPr="00F6590B">
        <w:rPr>
          <w:rFonts w:cs="Times New Roman"/>
          <w:szCs w:val="24"/>
          <w:lang w:val="hr-HR"/>
        </w:rPr>
        <w:t>, A</w:t>
      </w:r>
      <w:r w:rsidRPr="00F6590B">
        <w:rPr>
          <w:rFonts w:cs="Times New Roman"/>
          <w:szCs w:val="24"/>
          <w:lang w:val="hr-HR"/>
        </w:rPr>
        <w:t xml:space="preserve">. </w:t>
      </w:r>
      <w:r w:rsidR="00DF1FF4" w:rsidRPr="00F6590B">
        <w:rPr>
          <w:rFonts w:cs="Times New Roman"/>
          <w:szCs w:val="24"/>
          <w:lang w:val="hr-HR"/>
        </w:rPr>
        <w:t>(</w:t>
      </w:r>
      <w:r w:rsidRPr="00F6590B">
        <w:rPr>
          <w:rFonts w:cs="Times New Roman"/>
          <w:szCs w:val="24"/>
          <w:lang w:val="hr-HR"/>
        </w:rPr>
        <w:t>1980</w:t>
      </w:r>
      <w:r w:rsidR="00DF1FF4" w:rsidRPr="00F6590B">
        <w:rPr>
          <w:rFonts w:cs="Times New Roman"/>
          <w:szCs w:val="24"/>
          <w:lang w:val="hr-HR"/>
        </w:rPr>
        <w:t>)</w:t>
      </w:r>
      <w:r w:rsidRPr="00F6590B">
        <w:rPr>
          <w:rFonts w:cs="Times New Roman"/>
          <w:szCs w:val="24"/>
          <w:lang w:val="hr-HR"/>
        </w:rPr>
        <w:t xml:space="preserve">. </w:t>
      </w:r>
      <w:proofErr w:type="spellStart"/>
      <w:r w:rsidRPr="00F6590B">
        <w:rPr>
          <w:rFonts w:cs="Times New Roman"/>
          <w:szCs w:val="24"/>
          <w:lang w:val="hr-HR"/>
        </w:rPr>
        <w:t>The</w:t>
      </w:r>
      <w:proofErr w:type="spellEnd"/>
      <w:r w:rsidRPr="00F6590B">
        <w:rPr>
          <w:rFonts w:cs="Times New Roman"/>
          <w:szCs w:val="24"/>
          <w:lang w:val="hr-HR"/>
        </w:rPr>
        <w:t xml:space="preserve"> </w:t>
      </w:r>
      <w:proofErr w:type="spellStart"/>
      <w:r w:rsidRPr="00F6590B">
        <w:rPr>
          <w:rFonts w:cs="Times New Roman"/>
          <w:szCs w:val="24"/>
          <w:lang w:val="hr-HR"/>
        </w:rPr>
        <w:t>Lagrange</w:t>
      </w:r>
      <w:proofErr w:type="spellEnd"/>
      <w:r w:rsidRPr="00F6590B">
        <w:rPr>
          <w:rFonts w:cs="Times New Roman"/>
          <w:szCs w:val="24"/>
          <w:lang w:val="hr-HR"/>
        </w:rPr>
        <w:t xml:space="preserve"> </w:t>
      </w:r>
      <w:proofErr w:type="spellStart"/>
      <w:r w:rsidRPr="00F6590B">
        <w:rPr>
          <w:rFonts w:cs="Times New Roman"/>
          <w:szCs w:val="24"/>
          <w:lang w:val="hr-HR"/>
        </w:rPr>
        <w:t>Multiplier</w:t>
      </w:r>
      <w:proofErr w:type="spellEnd"/>
      <w:r w:rsidRPr="00F6590B">
        <w:rPr>
          <w:rFonts w:cs="Times New Roman"/>
          <w:szCs w:val="24"/>
          <w:lang w:val="hr-HR"/>
        </w:rPr>
        <w:t xml:space="preserve"> Test </w:t>
      </w:r>
      <w:proofErr w:type="spellStart"/>
      <w:r w:rsidRPr="00F6590B">
        <w:rPr>
          <w:rFonts w:cs="Times New Roman"/>
          <w:szCs w:val="24"/>
          <w:lang w:val="hr-HR"/>
        </w:rPr>
        <w:t>and</w:t>
      </w:r>
      <w:proofErr w:type="spellEnd"/>
      <w:r w:rsidRPr="00F6590B">
        <w:rPr>
          <w:rFonts w:cs="Times New Roman"/>
          <w:szCs w:val="24"/>
          <w:lang w:val="hr-HR"/>
        </w:rPr>
        <w:t xml:space="preserve"> </w:t>
      </w:r>
      <w:proofErr w:type="spellStart"/>
      <w:r w:rsidRPr="00F6590B">
        <w:rPr>
          <w:rFonts w:cs="Times New Roman"/>
          <w:szCs w:val="24"/>
          <w:lang w:val="hr-HR"/>
        </w:rPr>
        <w:t>its</w:t>
      </w:r>
      <w:proofErr w:type="spellEnd"/>
      <w:r w:rsidRPr="00F6590B">
        <w:rPr>
          <w:rFonts w:cs="Times New Roman"/>
          <w:szCs w:val="24"/>
          <w:lang w:val="hr-HR"/>
        </w:rPr>
        <w:t xml:space="preserve"> </w:t>
      </w:r>
      <w:proofErr w:type="spellStart"/>
      <w:r w:rsidRPr="00F6590B">
        <w:rPr>
          <w:rFonts w:cs="Times New Roman"/>
          <w:szCs w:val="24"/>
          <w:lang w:val="hr-HR"/>
        </w:rPr>
        <w:t>Applications</w:t>
      </w:r>
      <w:proofErr w:type="spellEnd"/>
      <w:r w:rsidRPr="00F6590B">
        <w:rPr>
          <w:rFonts w:cs="Times New Roman"/>
          <w:szCs w:val="24"/>
          <w:lang w:val="hr-HR"/>
        </w:rPr>
        <w:t xml:space="preserve"> to Model</w:t>
      </w:r>
      <w:r w:rsidR="00DE6E46" w:rsidRPr="00F6590B">
        <w:rPr>
          <w:rFonts w:cs="Times New Roman"/>
          <w:szCs w:val="24"/>
          <w:lang w:val="hr-HR"/>
        </w:rPr>
        <w:t xml:space="preserve"> </w:t>
      </w:r>
      <w:proofErr w:type="spellStart"/>
      <w:r w:rsidRPr="00F6590B">
        <w:rPr>
          <w:rFonts w:cs="Times New Roman"/>
          <w:szCs w:val="24"/>
          <w:lang w:val="hr-HR"/>
        </w:rPr>
        <w:t>Specification</w:t>
      </w:r>
      <w:proofErr w:type="spellEnd"/>
      <w:r w:rsidRPr="00F6590B">
        <w:rPr>
          <w:rFonts w:cs="Times New Roman"/>
          <w:szCs w:val="24"/>
          <w:lang w:val="hr-HR"/>
        </w:rPr>
        <w:t xml:space="preserve"> </w:t>
      </w:r>
      <w:proofErr w:type="spellStart"/>
      <w:r w:rsidRPr="00F6590B">
        <w:rPr>
          <w:rFonts w:cs="Times New Roman"/>
          <w:szCs w:val="24"/>
          <w:lang w:val="hr-HR"/>
        </w:rPr>
        <w:t>in</w:t>
      </w:r>
      <w:proofErr w:type="spellEnd"/>
      <w:r w:rsidRPr="00F6590B">
        <w:rPr>
          <w:rFonts w:cs="Times New Roman"/>
          <w:szCs w:val="24"/>
          <w:lang w:val="hr-HR"/>
        </w:rPr>
        <w:t xml:space="preserve"> </w:t>
      </w:r>
      <w:proofErr w:type="spellStart"/>
      <w:r w:rsidRPr="00F6590B">
        <w:rPr>
          <w:rFonts w:cs="Times New Roman"/>
          <w:szCs w:val="24"/>
          <w:lang w:val="hr-HR"/>
        </w:rPr>
        <w:t>Econometrics</w:t>
      </w:r>
      <w:proofErr w:type="spellEnd"/>
      <w:r w:rsidR="00C6472A" w:rsidRPr="00F6590B">
        <w:rPr>
          <w:rFonts w:cs="Times New Roman"/>
          <w:szCs w:val="24"/>
          <w:lang w:val="hr-HR"/>
        </w:rPr>
        <w:t>.</w:t>
      </w:r>
      <w:r w:rsidR="00DF1FF4" w:rsidRPr="00F6590B">
        <w:rPr>
          <w:rFonts w:cs="Times New Roman"/>
          <w:szCs w:val="24"/>
          <w:lang w:val="hr-HR"/>
        </w:rPr>
        <w:t xml:space="preserve"> </w:t>
      </w:r>
      <w:proofErr w:type="spellStart"/>
      <w:r w:rsidRPr="00F6590B">
        <w:rPr>
          <w:rFonts w:cs="Times New Roman"/>
          <w:i/>
          <w:iCs/>
          <w:szCs w:val="24"/>
          <w:lang w:val="hr-HR"/>
        </w:rPr>
        <w:t>Review</w:t>
      </w:r>
      <w:proofErr w:type="spellEnd"/>
      <w:r w:rsidRPr="00F6590B">
        <w:rPr>
          <w:rFonts w:cs="Times New Roman"/>
          <w:i/>
          <w:iCs/>
          <w:szCs w:val="24"/>
          <w:lang w:val="hr-HR"/>
        </w:rPr>
        <w:t xml:space="preserve"> </w:t>
      </w:r>
      <w:proofErr w:type="spellStart"/>
      <w:r w:rsidRPr="00F6590B">
        <w:rPr>
          <w:rFonts w:cs="Times New Roman"/>
          <w:i/>
          <w:iCs/>
          <w:szCs w:val="24"/>
          <w:lang w:val="hr-HR"/>
        </w:rPr>
        <w:t>of</w:t>
      </w:r>
      <w:proofErr w:type="spellEnd"/>
      <w:r w:rsidRPr="00F6590B">
        <w:rPr>
          <w:rFonts w:cs="Times New Roman"/>
          <w:i/>
          <w:iCs/>
          <w:szCs w:val="24"/>
          <w:lang w:val="hr-HR"/>
        </w:rPr>
        <w:t xml:space="preserve"> </w:t>
      </w:r>
      <w:proofErr w:type="spellStart"/>
      <w:r w:rsidRPr="00F6590B">
        <w:rPr>
          <w:rFonts w:cs="Times New Roman"/>
          <w:i/>
          <w:iCs/>
          <w:szCs w:val="24"/>
          <w:lang w:val="hr-HR"/>
        </w:rPr>
        <w:t>Economic</w:t>
      </w:r>
      <w:proofErr w:type="spellEnd"/>
      <w:r w:rsidRPr="00F6590B">
        <w:rPr>
          <w:rFonts w:cs="Times New Roman"/>
          <w:i/>
          <w:iCs/>
          <w:szCs w:val="24"/>
          <w:lang w:val="hr-HR"/>
        </w:rPr>
        <w:t xml:space="preserve"> </w:t>
      </w:r>
      <w:proofErr w:type="spellStart"/>
      <w:r w:rsidRPr="00F6590B">
        <w:rPr>
          <w:rFonts w:cs="Times New Roman"/>
          <w:i/>
          <w:iCs/>
          <w:szCs w:val="24"/>
          <w:lang w:val="hr-HR"/>
        </w:rPr>
        <w:t>Studies</w:t>
      </w:r>
      <w:proofErr w:type="spellEnd"/>
      <w:r w:rsidR="00DF1FF4" w:rsidRPr="00F6590B">
        <w:rPr>
          <w:rFonts w:cs="Times New Roman"/>
          <w:szCs w:val="24"/>
          <w:lang w:val="hr-HR"/>
        </w:rPr>
        <w:t xml:space="preserve">, 47(1), </w:t>
      </w:r>
      <w:r w:rsidRPr="00F6590B">
        <w:rPr>
          <w:rFonts w:cs="Times New Roman"/>
          <w:szCs w:val="24"/>
          <w:lang w:val="hr-HR"/>
        </w:rPr>
        <w:t>239-253</w:t>
      </w:r>
    </w:p>
    <w:p w14:paraId="6ECF1335" w14:textId="566C3FDF" w:rsidR="00C821CD" w:rsidRPr="00F6590B" w:rsidRDefault="00C821CD"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Čuveljak</w:t>
      </w:r>
      <w:proofErr w:type="spellEnd"/>
      <w:r w:rsidRPr="00F6590B">
        <w:rPr>
          <w:rFonts w:cs="Times New Roman"/>
          <w:szCs w:val="24"/>
          <w:lang w:val="hr-HR"/>
        </w:rPr>
        <w:t>, J</w:t>
      </w:r>
      <w:r w:rsidR="00DF1FF4" w:rsidRPr="00F6590B">
        <w:rPr>
          <w:rFonts w:cs="Times New Roman"/>
          <w:szCs w:val="24"/>
          <w:lang w:val="hr-HR"/>
        </w:rPr>
        <w:t>. (2006).</w:t>
      </w:r>
      <w:r w:rsidRPr="00F6590B">
        <w:rPr>
          <w:rFonts w:cs="Times New Roman"/>
          <w:szCs w:val="24"/>
          <w:lang w:val="hr-HR"/>
        </w:rPr>
        <w:t xml:space="preserve"> Rokovi za podizanje tužbe za pobijanje pravnih radnji u stečajnom postupku</w:t>
      </w:r>
      <w:r w:rsidR="00C6472A" w:rsidRPr="00F6590B">
        <w:rPr>
          <w:rFonts w:cs="Times New Roman"/>
          <w:szCs w:val="24"/>
          <w:lang w:val="hr-HR"/>
        </w:rPr>
        <w:t>.</w:t>
      </w:r>
      <w:r w:rsidRPr="00F6590B">
        <w:rPr>
          <w:rFonts w:cs="Times New Roman"/>
          <w:szCs w:val="24"/>
          <w:lang w:val="hr-HR"/>
        </w:rPr>
        <w:t xml:space="preserve"> </w:t>
      </w:r>
      <w:r w:rsidRPr="00F6590B">
        <w:rPr>
          <w:rFonts w:cs="Times New Roman"/>
          <w:i/>
          <w:szCs w:val="24"/>
          <w:lang w:val="hr-HR"/>
        </w:rPr>
        <w:t>Zbornik radova Pravnog fakulteta u Splitu</w:t>
      </w:r>
      <w:r w:rsidRPr="00F6590B">
        <w:rPr>
          <w:rFonts w:cs="Times New Roman"/>
          <w:szCs w:val="24"/>
          <w:lang w:val="hr-HR"/>
        </w:rPr>
        <w:t xml:space="preserve">, </w:t>
      </w:r>
      <w:r w:rsidR="00DF1FF4" w:rsidRPr="00F6590B">
        <w:rPr>
          <w:rFonts w:cs="Times New Roman"/>
          <w:szCs w:val="24"/>
          <w:lang w:val="hr-HR"/>
        </w:rPr>
        <w:t xml:space="preserve">43(2), </w:t>
      </w:r>
      <w:r w:rsidRPr="00F6590B">
        <w:rPr>
          <w:rFonts w:cs="Times New Roman"/>
          <w:szCs w:val="24"/>
          <w:lang w:val="hr-HR"/>
        </w:rPr>
        <w:t>115-128</w:t>
      </w:r>
    </w:p>
    <w:p w14:paraId="55E9AA5F" w14:textId="3AF306CD" w:rsidR="00C67528" w:rsidRPr="00F6590B" w:rsidRDefault="00C67528"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Garašić</w:t>
      </w:r>
      <w:proofErr w:type="spellEnd"/>
      <w:r w:rsidRPr="00F6590B">
        <w:rPr>
          <w:rFonts w:cs="Times New Roman"/>
          <w:szCs w:val="24"/>
          <w:lang w:val="hr-HR"/>
        </w:rPr>
        <w:t>, J</w:t>
      </w:r>
      <w:r w:rsidR="00DF1FF4" w:rsidRPr="00F6590B">
        <w:rPr>
          <w:rFonts w:cs="Times New Roman"/>
          <w:szCs w:val="24"/>
          <w:lang w:val="hr-HR"/>
        </w:rPr>
        <w:t>. (2001)</w:t>
      </w:r>
      <w:r w:rsidRPr="00F6590B">
        <w:rPr>
          <w:rFonts w:cs="Times New Roman"/>
          <w:szCs w:val="24"/>
          <w:lang w:val="hr-HR"/>
        </w:rPr>
        <w:t>. Sadržaj stečajnog plana</w:t>
      </w:r>
      <w:r w:rsidR="00DF1FF4" w:rsidRPr="00F6590B">
        <w:rPr>
          <w:rFonts w:cs="Times New Roman"/>
          <w:szCs w:val="24"/>
          <w:lang w:val="hr-HR"/>
        </w:rPr>
        <w:t>. U</w:t>
      </w:r>
      <w:r w:rsidRPr="00F6590B">
        <w:rPr>
          <w:rFonts w:cs="Times New Roman"/>
          <w:szCs w:val="24"/>
          <w:lang w:val="hr-HR"/>
        </w:rPr>
        <w:t xml:space="preserve"> </w:t>
      </w:r>
      <w:r w:rsidR="00DF1FF4" w:rsidRPr="00F6590B">
        <w:rPr>
          <w:rFonts w:cs="Times New Roman"/>
          <w:szCs w:val="24"/>
          <w:lang w:val="hr-HR"/>
        </w:rPr>
        <w:t xml:space="preserve">Barbić, J., Dika, M., </w:t>
      </w:r>
      <w:proofErr w:type="spellStart"/>
      <w:r w:rsidR="00DF1FF4" w:rsidRPr="00F6590B">
        <w:rPr>
          <w:rFonts w:cs="Times New Roman"/>
          <w:szCs w:val="24"/>
          <w:lang w:val="hr-HR"/>
        </w:rPr>
        <w:t>Garašić</w:t>
      </w:r>
      <w:proofErr w:type="spellEnd"/>
      <w:r w:rsidR="00DF1FF4" w:rsidRPr="00F6590B">
        <w:rPr>
          <w:rFonts w:cs="Times New Roman"/>
          <w:szCs w:val="24"/>
          <w:lang w:val="hr-HR"/>
        </w:rPr>
        <w:t>, J. (</w:t>
      </w:r>
      <w:proofErr w:type="spellStart"/>
      <w:r w:rsidR="00DF1FF4" w:rsidRPr="00F6590B">
        <w:rPr>
          <w:rFonts w:cs="Times New Roman"/>
          <w:szCs w:val="24"/>
          <w:lang w:val="hr-HR"/>
        </w:rPr>
        <w:t>ur</w:t>
      </w:r>
      <w:proofErr w:type="spellEnd"/>
      <w:r w:rsidR="00DF1FF4" w:rsidRPr="00F6590B">
        <w:rPr>
          <w:rFonts w:cs="Times New Roman"/>
          <w:szCs w:val="24"/>
          <w:lang w:val="hr-HR"/>
        </w:rPr>
        <w:t xml:space="preserve">.), </w:t>
      </w:r>
      <w:r w:rsidRPr="00F6590B">
        <w:rPr>
          <w:rFonts w:cs="Times New Roman"/>
          <w:i/>
          <w:szCs w:val="24"/>
          <w:lang w:val="hr-HR"/>
        </w:rPr>
        <w:t>Novosti u stečajnom pravu</w:t>
      </w:r>
      <w:r w:rsidRPr="00F6590B">
        <w:rPr>
          <w:rFonts w:cs="Times New Roman"/>
          <w:szCs w:val="24"/>
          <w:lang w:val="hr-HR"/>
        </w:rPr>
        <w:t xml:space="preserve"> </w:t>
      </w:r>
      <w:r w:rsidR="00DF1FF4" w:rsidRPr="00F6590B">
        <w:rPr>
          <w:rFonts w:cs="Times New Roman"/>
          <w:szCs w:val="24"/>
          <w:lang w:val="hr-HR"/>
        </w:rPr>
        <w:t>(229-257). Zagreb: Organizator.</w:t>
      </w:r>
    </w:p>
    <w:p w14:paraId="217D237A" w14:textId="7DFA2E16" w:rsidR="00947058" w:rsidRPr="00F6590B" w:rsidRDefault="001C26DF" w:rsidP="00483743">
      <w:pPr>
        <w:autoSpaceDE w:val="0"/>
        <w:autoSpaceDN w:val="0"/>
        <w:adjustRightInd w:val="0"/>
        <w:spacing w:line="480" w:lineRule="auto"/>
        <w:ind w:left="851" w:hanging="851"/>
        <w:jc w:val="left"/>
        <w:rPr>
          <w:rFonts w:cs="Times New Roman"/>
          <w:szCs w:val="24"/>
          <w:lang w:val="hr-HR"/>
        </w:rPr>
      </w:pPr>
      <w:r w:rsidRPr="00F6590B">
        <w:rPr>
          <w:rFonts w:cs="Times New Roman"/>
          <w:szCs w:val="24"/>
          <w:lang w:val="hr-HR"/>
        </w:rPr>
        <w:t>Greene, W.</w:t>
      </w:r>
      <w:r w:rsidR="00370A76" w:rsidRPr="00F6590B">
        <w:rPr>
          <w:rFonts w:cs="Times New Roman"/>
          <w:szCs w:val="24"/>
          <w:lang w:val="hr-HR"/>
        </w:rPr>
        <w:t xml:space="preserve"> </w:t>
      </w:r>
      <w:r w:rsidRPr="00F6590B">
        <w:rPr>
          <w:rFonts w:cs="Times New Roman"/>
          <w:szCs w:val="24"/>
          <w:lang w:val="hr-HR"/>
        </w:rPr>
        <w:t>(</w:t>
      </w:r>
      <w:r w:rsidR="00370A76" w:rsidRPr="00F6590B">
        <w:rPr>
          <w:rFonts w:cs="Times New Roman"/>
          <w:szCs w:val="24"/>
          <w:lang w:val="hr-HR"/>
        </w:rPr>
        <w:t>2008</w:t>
      </w:r>
      <w:r w:rsidRPr="00F6590B">
        <w:rPr>
          <w:rFonts w:cs="Times New Roman"/>
          <w:szCs w:val="24"/>
          <w:lang w:val="hr-HR"/>
        </w:rPr>
        <w:t>)</w:t>
      </w:r>
      <w:r w:rsidR="00370A76" w:rsidRPr="00F6590B">
        <w:rPr>
          <w:rFonts w:cs="Times New Roman"/>
          <w:szCs w:val="24"/>
          <w:lang w:val="hr-HR"/>
        </w:rPr>
        <w:t xml:space="preserve">. </w:t>
      </w:r>
      <w:proofErr w:type="spellStart"/>
      <w:r w:rsidR="00370A76" w:rsidRPr="00F6590B">
        <w:rPr>
          <w:rFonts w:cs="Times New Roman"/>
          <w:i/>
          <w:iCs/>
          <w:szCs w:val="24"/>
          <w:lang w:val="hr-HR"/>
        </w:rPr>
        <w:t>Econometric</w:t>
      </w:r>
      <w:proofErr w:type="spellEnd"/>
      <w:r w:rsidR="00370A76" w:rsidRPr="00F6590B">
        <w:rPr>
          <w:rFonts w:cs="Times New Roman"/>
          <w:i/>
          <w:iCs/>
          <w:szCs w:val="24"/>
          <w:lang w:val="hr-HR"/>
        </w:rPr>
        <w:t xml:space="preserve"> </w:t>
      </w:r>
      <w:proofErr w:type="spellStart"/>
      <w:r w:rsidR="00370A76" w:rsidRPr="00F6590B">
        <w:rPr>
          <w:rFonts w:cs="Times New Roman"/>
          <w:i/>
          <w:iCs/>
          <w:szCs w:val="24"/>
          <w:lang w:val="hr-HR"/>
        </w:rPr>
        <w:t>Analysis</w:t>
      </w:r>
      <w:proofErr w:type="spellEnd"/>
      <w:r w:rsidR="00370A76" w:rsidRPr="00F6590B">
        <w:rPr>
          <w:rFonts w:cs="Times New Roman"/>
          <w:szCs w:val="24"/>
          <w:lang w:val="hr-HR"/>
        </w:rPr>
        <w:t xml:space="preserve">, 6th </w:t>
      </w:r>
      <w:proofErr w:type="spellStart"/>
      <w:r w:rsidR="00370A76" w:rsidRPr="00F6590B">
        <w:rPr>
          <w:rFonts w:cs="Times New Roman"/>
          <w:szCs w:val="24"/>
          <w:lang w:val="hr-HR"/>
        </w:rPr>
        <w:t>ed</w:t>
      </w:r>
      <w:proofErr w:type="spellEnd"/>
      <w:r w:rsidR="00370A76" w:rsidRPr="00F6590B">
        <w:rPr>
          <w:rFonts w:cs="Times New Roman"/>
          <w:szCs w:val="24"/>
          <w:lang w:val="hr-HR"/>
        </w:rPr>
        <w:t>. N</w:t>
      </w:r>
      <w:r w:rsidRPr="00F6590B">
        <w:rPr>
          <w:rFonts w:cs="Times New Roman"/>
          <w:szCs w:val="24"/>
          <w:lang w:val="hr-HR"/>
        </w:rPr>
        <w:t xml:space="preserve">ew </w:t>
      </w:r>
      <w:proofErr w:type="spellStart"/>
      <w:r w:rsidRPr="00F6590B">
        <w:rPr>
          <w:rFonts w:cs="Times New Roman"/>
          <w:szCs w:val="24"/>
          <w:lang w:val="hr-HR"/>
        </w:rPr>
        <w:t>Jersey</w:t>
      </w:r>
      <w:proofErr w:type="spellEnd"/>
      <w:r w:rsidR="00370A76" w:rsidRPr="00F6590B">
        <w:rPr>
          <w:rFonts w:cs="Times New Roman"/>
          <w:szCs w:val="24"/>
          <w:lang w:val="hr-HR"/>
        </w:rPr>
        <w:t xml:space="preserve">: </w:t>
      </w:r>
      <w:proofErr w:type="spellStart"/>
      <w:r w:rsidR="00370A76" w:rsidRPr="00F6590B">
        <w:rPr>
          <w:rFonts w:cs="Times New Roman"/>
          <w:szCs w:val="24"/>
          <w:lang w:val="hr-HR"/>
        </w:rPr>
        <w:t>Prentice</w:t>
      </w:r>
      <w:proofErr w:type="spellEnd"/>
      <w:r w:rsidR="00370A76" w:rsidRPr="00F6590B">
        <w:rPr>
          <w:rFonts w:cs="Times New Roman"/>
          <w:szCs w:val="24"/>
          <w:lang w:val="hr-HR"/>
        </w:rPr>
        <w:t xml:space="preserve"> </w:t>
      </w:r>
      <w:proofErr w:type="spellStart"/>
      <w:r w:rsidR="00370A76" w:rsidRPr="00F6590B">
        <w:rPr>
          <w:rFonts w:cs="Times New Roman"/>
          <w:szCs w:val="24"/>
          <w:lang w:val="hr-HR"/>
        </w:rPr>
        <w:t>Hall</w:t>
      </w:r>
      <w:proofErr w:type="spellEnd"/>
      <w:r w:rsidRPr="00F6590B">
        <w:rPr>
          <w:rFonts w:cs="Times New Roman"/>
          <w:szCs w:val="24"/>
          <w:lang w:val="hr-HR"/>
        </w:rPr>
        <w:t>.</w:t>
      </w:r>
    </w:p>
    <w:p w14:paraId="6AC0AAA5" w14:textId="0FC80263" w:rsidR="002D6CC5" w:rsidRPr="00F6590B" w:rsidRDefault="002D6CC5"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Eisenberg</w:t>
      </w:r>
      <w:proofErr w:type="spellEnd"/>
      <w:r w:rsidRPr="00F6590B">
        <w:rPr>
          <w:rFonts w:cs="Times New Roman"/>
          <w:szCs w:val="24"/>
          <w:lang w:val="hr-HR"/>
        </w:rPr>
        <w:t xml:space="preserve">, T., &amp; </w:t>
      </w:r>
      <w:proofErr w:type="spellStart"/>
      <w:r w:rsidRPr="00F6590B">
        <w:rPr>
          <w:rFonts w:cs="Times New Roman"/>
          <w:szCs w:val="24"/>
          <w:lang w:val="hr-HR"/>
        </w:rPr>
        <w:t>LoPucki</w:t>
      </w:r>
      <w:proofErr w:type="spellEnd"/>
      <w:r w:rsidRPr="00F6590B">
        <w:rPr>
          <w:rFonts w:cs="Times New Roman"/>
          <w:szCs w:val="24"/>
          <w:lang w:val="hr-HR"/>
        </w:rPr>
        <w:t xml:space="preserve">, L. (1999). </w:t>
      </w:r>
      <w:proofErr w:type="spellStart"/>
      <w:r w:rsidRPr="00F6590B">
        <w:rPr>
          <w:rFonts w:cs="Times New Roman"/>
          <w:szCs w:val="24"/>
          <w:lang w:val="hr-HR"/>
        </w:rPr>
        <w:t>Shopping</w:t>
      </w:r>
      <w:proofErr w:type="spellEnd"/>
      <w:r w:rsidRPr="00F6590B">
        <w:rPr>
          <w:rFonts w:cs="Times New Roman"/>
          <w:szCs w:val="24"/>
          <w:lang w:val="hr-HR"/>
        </w:rPr>
        <w:t xml:space="preserve"> for </w:t>
      </w:r>
      <w:proofErr w:type="spellStart"/>
      <w:r w:rsidRPr="00F6590B">
        <w:rPr>
          <w:rFonts w:cs="Times New Roman"/>
          <w:szCs w:val="24"/>
          <w:lang w:val="hr-HR"/>
        </w:rPr>
        <w:t>Judges</w:t>
      </w:r>
      <w:proofErr w:type="spellEnd"/>
      <w:r w:rsidRPr="00F6590B">
        <w:rPr>
          <w:rFonts w:cs="Times New Roman"/>
          <w:szCs w:val="24"/>
          <w:lang w:val="hr-HR"/>
        </w:rPr>
        <w:t xml:space="preserve">: </w:t>
      </w:r>
      <w:proofErr w:type="spellStart"/>
      <w:r w:rsidRPr="00F6590B">
        <w:rPr>
          <w:rFonts w:cs="Times New Roman"/>
          <w:szCs w:val="24"/>
          <w:lang w:val="hr-HR"/>
        </w:rPr>
        <w:t>An</w:t>
      </w:r>
      <w:proofErr w:type="spellEnd"/>
      <w:r w:rsidRPr="00F6590B">
        <w:rPr>
          <w:rFonts w:cs="Times New Roman"/>
          <w:szCs w:val="24"/>
          <w:lang w:val="hr-HR"/>
        </w:rPr>
        <w:t xml:space="preserve"> </w:t>
      </w:r>
      <w:proofErr w:type="spellStart"/>
      <w:r w:rsidRPr="00F6590B">
        <w:rPr>
          <w:rFonts w:cs="Times New Roman"/>
          <w:szCs w:val="24"/>
          <w:lang w:val="hr-HR"/>
        </w:rPr>
        <w:t>Empirical</w:t>
      </w:r>
      <w:proofErr w:type="spellEnd"/>
      <w:r w:rsidRPr="00F6590B">
        <w:rPr>
          <w:rFonts w:cs="Times New Roman"/>
          <w:szCs w:val="24"/>
          <w:lang w:val="hr-HR"/>
        </w:rPr>
        <w:t xml:space="preserve"> </w:t>
      </w:r>
      <w:proofErr w:type="spellStart"/>
      <w:r w:rsidRPr="00F6590B">
        <w:rPr>
          <w:rFonts w:cs="Times New Roman"/>
          <w:szCs w:val="24"/>
          <w:lang w:val="hr-HR"/>
        </w:rPr>
        <w:t>Analysis</w:t>
      </w:r>
      <w:proofErr w:type="spellEnd"/>
      <w:r w:rsidRPr="00F6590B">
        <w:rPr>
          <w:rFonts w:cs="Times New Roman"/>
          <w:szCs w:val="24"/>
          <w:lang w:val="hr-HR"/>
        </w:rPr>
        <w:t xml:space="preserve"> </w:t>
      </w:r>
      <w:proofErr w:type="spellStart"/>
      <w:r w:rsidRPr="00F6590B">
        <w:rPr>
          <w:rFonts w:cs="Times New Roman"/>
          <w:szCs w:val="24"/>
          <w:lang w:val="hr-HR"/>
        </w:rPr>
        <w:t>of</w:t>
      </w:r>
      <w:proofErr w:type="spellEnd"/>
      <w:r w:rsidRPr="00F6590B">
        <w:rPr>
          <w:rFonts w:cs="Times New Roman"/>
          <w:szCs w:val="24"/>
          <w:lang w:val="hr-HR"/>
        </w:rPr>
        <w:t xml:space="preserve"> </w:t>
      </w:r>
      <w:proofErr w:type="spellStart"/>
      <w:r w:rsidRPr="00F6590B">
        <w:rPr>
          <w:rFonts w:cs="Times New Roman"/>
          <w:szCs w:val="24"/>
          <w:lang w:val="hr-HR"/>
        </w:rPr>
        <w:t>Venue</w:t>
      </w:r>
      <w:proofErr w:type="spellEnd"/>
      <w:r w:rsidRPr="00F6590B">
        <w:rPr>
          <w:rFonts w:cs="Times New Roman"/>
          <w:szCs w:val="24"/>
          <w:lang w:val="hr-HR"/>
        </w:rPr>
        <w:t xml:space="preserve"> </w:t>
      </w:r>
      <w:proofErr w:type="spellStart"/>
      <w:r w:rsidRPr="00F6590B">
        <w:rPr>
          <w:rFonts w:cs="Times New Roman"/>
          <w:szCs w:val="24"/>
          <w:lang w:val="hr-HR"/>
        </w:rPr>
        <w:t>Choice</w:t>
      </w:r>
      <w:proofErr w:type="spellEnd"/>
      <w:r w:rsidRPr="00F6590B">
        <w:rPr>
          <w:rFonts w:cs="Times New Roman"/>
          <w:szCs w:val="24"/>
          <w:lang w:val="hr-HR"/>
        </w:rPr>
        <w:t xml:space="preserve"> </w:t>
      </w:r>
      <w:proofErr w:type="spellStart"/>
      <w:r w:rsidRPr="00F6590B">
        <w:rPr>
          <w:rFonts w:cs="Times New Roman"/>
          <w:szCs w:val="24"/>
          <w:lang w:val="hr-HR"/>
        </w:rPr>
        <w:t>in</w:t>
      </w:r>
      <w:proofErr w:type="spellEnd"/>
      <w:r w:rsidRPr="00F6590B">
        <w:rPr>
          <w:rFonts w:cs="Times New Roman"/>
          <w:szCs w:val="24"/>
          <w:lang w:val="hr-HR"/>
        </w:rPr>
        <w:t xml:space="preserve"> </w:t>
      </w:r>
      <w:proofErr w:type="spellStart"/>
      <w:r w:rsidRPr="00F6590B">
        <w:rPr>
          <w:rFonts w:cs="Times New Roman"/>
          <w:szCs w:val="24"/>
          <w:lang w:val="hr-HR"/>
        </w:rPr>
        <w:t>the</w:t>
      </w:r>
      <w:proofErr w:type="spellEnd"/>
      <w:r w:rsidRPr="00F6590B">
        <w:rPr>
          <w:rFonts w:cs="Times New Roman"/>
          <w:szCs w:val="24"/>
          <w:lang w:val="hr-HR"/>
        </w:rPr>
        <w:t xml:space="preserve"> </w:t>
      </w:r>
      <w:proofErr w:type="spellStart"/>
      <w:r w:rsidRPr="00F6590B">
        <w:rPr>
          <w:rFonts w:cs="Times New Roman"/>
          <w:szCs w:val="24"/>
          <w:lang w:val="hr-HR"/>
        </w:rPr>
        <w:t>Bankruptcy</w:t>
      </w:r>
      <w:proofErr w:type="spellEnd"/>
      <w:r w:rsidRPr="00F6590B">
        <w:rPr>
          <w:rFonts w:cs="Times New Roman"/>
          <w:szCs w:val="24"/>
          <w:lang w:val="hr-HR"/>
        </w:rPr>
        <w:t xml:space="preserve"> </w:t>
      </w:r>
      <w:proofErr w:type="spellStart"/>
      <w:r w:rsidRPr="00F6590B">
        <w:rPr>
          <w:rFonts w:cs="Times New Roman"/>
          <w:szCs w:val="24"/>
          <w:lang w:val="hr-HR"/>
        </w:rPr>
        <w:t>Reorganization</w:t>
      </w:r>
      <w:proofErr w:type="spellEnd"/>
      <w:r w:rsidRPr="00F6590B">
        <w:rPr>
          <w:rFonts w:cs="Times New Roman"/>
          <w:szCs w:val="24"/>
          <w:lang w:val="hr-HR"/>
        </w:rPr>
        <w:t xml:space="preserve"> </w:t>
      </w:r>
      <w:proofErr w:type="spellStart"/>
      <w:r w:rsidRPr="00F6590B">
        <w:rPr>
          <w:rFonts w:cs="Times New Roman"/>
          <w:szCs w:val="24"/>
          <w:lang w:val="hr-HR"/>
        </w:rPr>
        <w:t>of</w:t>
      </w:r>
      <w:proofErr w:type="spellEnd"/>
      <w:r w:rsidRPr="00F6590B">
        <w:rPr>
          <w:rFonts w:cs="Times New Roman"/>
          <w:szCs w:val="24"/>
          <w:lang w:val="hr-HR"/>
        </w:rPr>
        <w:t xml:space="preserve"> </w:t>
      </w:r>
      <w:proofErr w:type="spellStart"/>
      <w:r w:rsidRPr="00F6590B">
        <w:rPr>
          <w:rFonts w:cs="Times New Roman"/>
          <w:szCs w:val="24"/>
          <w:lang w:val="hr-HR"/>
        </w:rPr>
        <w:t>Large</w:t>
      </w:r>
      <w:proofErr w:type="spellEnd"/>
      <w:r w:rsidRPr="00F6590B">
        <w:rPr>
          <w:rFonts w:cs="Times New Roman"/>
          <w:szCs w:val="24"/>
          <w:lang w:val="hr-HR"/>
        </w:rPr>
        <w:t xml:space="preserve">, </w:t>
      </w:r>
      <w:proofErr w:type="spellStart"/>
      <w:r w:rsidRPr="00F6590B">
        <w:rPr>
          <w:rFonts w:cs="Times New Roman"/>
          <w:szCs w:val="24"/>
          <w:lang w:val="hr-HR"/>
        </w:rPr>
        <w:t>Publicly</w:t>
      </w:r>
      <w:proofErr w:type="spellEnd"/>
      <w:r w:rsidRPr="00F6590B">
        <w:rPr>
          <w:rFonts w:cs="Times New Roman"/>
          <w:szCs w:val="24"/>
          <w:lang w:val="hr-HR"/>
        </w:rPr>
        <w:t xml:space="preserve"> </w:t>
      </w:r>
      <w:proofErr w:type="spellStart"/>
      <w:r w:rsidRPr="00F6590B">
        <w:rPr>
          <w:rFonts w:cs="Times New Roman"/>
          <w:szCs w:val="24"/>
          <w:lang w:val="hr-HR"/>
        </w:rPr>
        <w:t>Held</w:t>
      </w:r>
      <w:proofErr w:type="spellEnd"/>
      <w:r w:rsidRPr="00F6590B">
        <w:rPr>
          <w:rFonts w:cs="Times New Roman"/>
          <w:szCs w:val="24"/>
          <w:lang w:val="hr-HR"/>
        </w:rPr>
        <w:t xml:space="preserve"> </w:t>
      </w:r>
      <w:proofErr w:type="spellStart"/>
      <w:r w:rsidRPr="00F6590B">
        <w:rPr>
          <w:rFonts w:cs="Times New Roman"/>
          <w:szCs w:val="24"/>
          <w:lang w:val="hr-HR"/>
        </w:rPr>
        <w:t>Companies</w:t>
      </w:r>
      <w:proofErr w:type="spellEnd"/>
      <w:r w:rsidRPr="00F6590B">
        <w:rPr>
          <w:rFonts w:cs="Times New Roman"/>
          <w:szCs w:val="24"/>
          <w:lang w:val="hr-HR"/>
        </w:rPr>
        <w:t xml:space="preserve">. </w:t>
      </w:r>
      <w:proofErr w:type="spellStart"/>
      <w:r w:rsidRPr="00F6590B">
        <w:rPr>
          <w:rFonts w:cs="Times New Roman"/>
          <w:i/>
          <w:szCs w:val="24"/>
          <w:lang w:val="hr-HR"/>
        </w:rPr>
        <w:t>Cornell</w:t>
      </w:r>
      <w:proofErr w:type="spellEnd"/>
      <w:r w:rsidRPr="00F6590B">
        <w:rPr>
          <w:rFonts w:cs="Times New Roman"/>
          <w:i/>
          <w:szCs w:val="24"/>
          <w:lang w:val="hr-HR"/>
        </w:rPr>
        <w:t xml:space="preserve"> </w:t>
      </w:r>
      <w:proofErr w:type="spellStart"/>
      <w:r w:rsidRPr="00F6590B">
        <w:rPr>
          <w:rFonts w:cs="Times New Roman"/>
          <w:i/>
          <w:szCs w:val="24"/>
          <w:lang w:val="hr-HR"/>
        </w:rPr>
        <w:t>Law</w:t>
      </w:r>
      <w:proofErr w:type="spellEnd"/>
      <w:r w:rsidRPr="00F6590B">
        <w:rPr>
          <w:rFonts w:cs="Times New Roman"/>
          <w:i/>
          <w:szCs w:val="24"/>
          <w:lang w:val="hr-HR"/>
        </w:rPr>
        <w:t xml:space="preserve"> </w:t>
      </w:r>
      <w:proofErr w:type="spellStart"/>
      <w:r w:rsidRPr="00F6590B">
        <w:rPr>
          <w:rFonts w:cs="Times New Roman"/>
          <w:i/>
          <w:szCs w:val="24"/>
          <w:lang w:val="hr-HR"/>
        </w:rPr>
        <w:t>Review</w:t>
      </w:r>
      <w:proofErr w:type="spellEnd"/>
      <w:r w:rsidRPr="00F6590B">
        <w:rPr>
          <w:rFonts w:cs="Times New Roman"/>
          <w:szCs w:val="24"/>
          <w:lang w:val="hr-HR"/>
        </w:rPr>
        <w:t>, 84 (1), 967-1003</w:t>
      </w:r>
    </w:p>
    <w:p w14:paraId="18D4F3BB" w14:textId="228E6599" w:rsidR="005D0334" w:rsidRPr="00F6590B" w:rsidRDefault="005D0334"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Harvard</w:t>
      </w:r>
      <w:proofErr w:type="spellEnd"/>
      <w:r w:rsidRPr="00F6590B">
        <w:rPr>
          <w:rFonts w:cs="Times New Roman"/>
          <w:szCs w:val="24"/>
          <w:lang w:val="hr-HR"/>
        </w:rPr>
        <w:t xml:space="preserve"> </w:t>
      </w:r>
      <w:proofErr w:type="spellStart"/>
      <w:r w:rsidRPr="00F6590B">
        <w:rPr>
          <w:rFonts w:cs="Times New Roman"/>
          <w:szCs w:val="24"/>
          <w:lang w:val="hr-HR"/>
        </w:rPr>
        <w:t>Law</w:t>
      </w:r>
      <w:proofErr w:type="spellEnd"/>
      <w:r w:rsidRPr="00F6590B">
        <w:rPr>
          <w:rFonts w:cs="Times New Roman"/>
          <w:szCs w:val="24"/>
          <w:lang w:val="hr-HR"/>
        </w:rPr>
        <w:t xml:space="preserve"> </w:t>
      </w:r>
      <w:proofErr w:type="spellStart"/>
      <w:r w:rsidRPr="00F6590B">
        <w:rPr>
          <w:rFonts w:cs="Times New Roman"/>
          <w:szCs w:val="24"/>
          <w:lang w:val="hr-HR"/>
        </w:rPr>
        <w:t>Review</w:t>
      </w:r>
      <w:proofErr w:type="spellEnd"/>
      <w:r w:rsidRPr="00F6590B">
        <w:rPr>
          <w:rFonts w:cs="Times New Roman"/>
          <w:szCs w:val="24"/>
          <w:lang w:val="hr-HR"/>
        </w:rPr>
        <w:t xml:space="preserve"> </w:t>
      </w:r>
      <w:proofErr w:type="spellStart"/>
      <w:r w:rsidRPr="00F6590B">
        <w:rPr>
          <w:rFonts w:cs="Times New Roman"/>
          <w:szCs w:val="24"/>
          <w:lang w:val="hr-HR"/>
        </w:rPr>
        <w:t>Association</w:t>
      </w:r>
      <w:proofErr w:type="spellEnd"/>
      <w:r w:rsidR="00C6472A" w:rsidRPr="00F6590B">
        <w:rPr>
          <w:rFonts w:cs="Times New Roman"/>
          <w:szCs w:val="24"/>
          <w:lang w:val="hr-HR"/>
        </w:rPr>
        <w:t xml:space="preserve"> (1990)</w:t>
      </w:r>
      <w:r w:rsidRPr="00F6590B">
        <w:rPr>
          <w:rFonts w:cs="Times New Roman"/>
          <w:szCs w:val="24"/>
          <w:lang w:val="hr-HR"/>
        </w:rPr>
        <w:t xml:space="preserve">. Forum </w:t>
      </w:r>
      <w:proofErr w:type="spellStart"/>
      <w:r w:rsidRPr="00F6590B">
        <w:rPr>
          <w:rFonts w:cs="Times New Roman"/>
          <w:szCs w:val="24"/>
          <w:lang w:val="hr-HR"/>
        </w:rPr>
        <w:t>Shopping</w:t>
      </w:r>
      <w:proofErr w:type="spellEnd"/>
      <w:r w:rsidRPr="00F6590B">
        <w:rPr>
          <w:rFonts w:cs="Times New Roman"/>
          <w:szCs w:val="24"/>
          <w:lang w:val="hr-HR"/>
        </w:rPr>
        <w:t xml:space="preserve"> </w:t>
      </w:r>
      <w:proofErr w:type="spellStart"/>
      <w:r w:rsidRPr="00F6590B">
        <w:rPr>
          <w:rFonts w:cs="Times New Roman"/>
          <w:szCs w:val="24"/>
          <w:lang w:val="hr-HR"/>
        </w:rPr>
        <w:t>Reconsidered</w:t>
      </w:r>
      <w:proofErr w:type="spellEnd"/>
      <w:r w:rsidR="00C6472A" w:rsidRPr="00F6590B">
        <w:rPr>
          <w:rFonts w:cs="Times New Roman"/>
          <w:szCs w:val="24"/>
          <w:lang w:val="hr-HR"/>
        </w:rPr>
        <w:t>.</w:t>
      </w:r>
      <w:r w:rsidRPr="00F6590B">
        <w:rPr>
          <w:rFonts w:cs="Times New Roman"/>
          <w:szCs w:val="24"/>
          <w:lang w:val="hr-HR"/>
        </w:rPr>
        <w:t xml:space="preserve"> </w:t>
      </w:r>
      <w:proofErr w:type="spellStart"/>
      <w:r w:rsidRPr="00F6590B">
        <w:rPr>
          <w:rFonts w:cs="Times New Roman"/>
          <w:i/>
          <w:szCs w:val="24"/>
          <w:lang w:val="hr-HR"/>
        </w:rPr>
        <w:t>Harvard</w:t>
      </w:r>
      <w:proofErr w:type="spellEnd"/>
      <w:r w:rsidRPr="00F6590B">
        <w:rPr>
          <w:rFonts w:cs="Times New Roman"/>
          <w:i/>
          <w:szCs w:val="24"/>
          <w:lang w:val="hr-HR"/>
        </w:rPr>
        <w:t xml:space="preserve"> </w:t>
      </w:r>
      <w:proofErr w:type="spellStart"/>
      <w:r w:rsidRPr="00F6590B">
        <w:rPr>
          <w:rFonts w:cs="Times New Roman"/>
          <w:i/>
          <w:szCs w:val="24"/>
          <w:lang w:val="hr-HR"/>
        </w:rPr>
        <w:t>Law</w:t>
      </w:r>
      <w:proofErr w:type="spellEnd"/>
      <w:r w:rsidRPr="00F6590B">
        <w:rPr>
          <w:rFonts w:cs="Times New Roman"/>
          <w:i/>
          <w:szCs w:val="24"/>
          <w:lang w:val="hr-HR"/>
        </w:rPr>
        <w:t xml:space="preserve"> </w:t>
      </w:r>
      <w:proofErr w:type="spellStart"/>
      <w:r w:rsidRPr="00F6590B">
        <w:rPr>
          <w:rFonts w:cs="Times New Roman"/>
          <w:i/>
          <w:szCs w:val="24"/>
          <w:lang w:val="hr-HR"/>
        </w:rPr>
        <w:t>Review</w:t>
      </w:r>
      <w:proofErr w:type="spellEnd"/>
      <w:r w:rsidRPr="00F6590B">
        <w:rPr>
          <w:rFonts w:cs="Times New Roman"/>
          <w:szCs w:val="24"/>
          <w:lang w:val="hr-HR"/>
        </w:rPr>
        <w:t xml:space="preserve">, </w:t>
      </w:r>
      <w:r w:rsidR="00C6472A" w:rsidRPr="00F6590B">
        <w:rPr>
          <w:rFonts w:cs="Times New Roman"/>
          <w:szCs w:val="24"/>
          <w:lang w:val="hr-HR"/>
        </w:rPr>
        <w:t>103(7),</w:t>
      </w:r>
      <w:r w:rsidRPr="00F6590B">
        <w:rPr>
          <w:rFonts w:cs="Times New Roman"/>
          <w:szCs w:val="24"/>
          <w:lang w:val="hr-HR"/>
        </w:rPr>
        <w:t xml:space="preserve"> 1677-1696</w:t>
      </w:r>
    </w:p>
    <w:p w14:paraId="1AE31954" w14:textId="4F57F577" w:rsidR="00587E00" w:rsidRPr="00F6590B" w:rsidRDefault="00C6472A"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Hausman</w:t>
      </w:r>
      <w:proofErr w:type="spellEnd"/>
      <w:r w:rsidRPr="00F6590B">
        <w:rPr>
          <w:rFonts w:cs="Times New Roman"/>
          <w:szCs w:val="24"/>
          <w:lang w:val="hr-HR"/>
        </w:rPr>
        <w:t>, J. (</w:t>
      </w:r>
      <w:r w:rsidR="00587E00" w:rsidRPr="00F6590B">
        <w:rPr>
          <w:rFonts w:cs="Times New Roman"/>
          <w:szCs w:val="24"/>
          <w:lang w:val="hr-HR"/>
        </w:rPr>
        <w:t>1978</w:t>
      </w:r>
      <w:r w:rsidRPr="00F6590B">
        <w:rPr>
          <w:rFonts w:cs="Times New Roman"/>
          <w:szCs w:val="24"/>
          <w:lang w:val="hr-HR"/>
        </w:rPr>
        <w:t>)</w:t>
      </w:r>
      <w:r w:rsidR="00587E00" w:rsidRPr="00F6590B">
        <w:rPr>
          <w:rFonts w:cs="Times New Roman"/>
          <w:szCs w:val="24"/>
          <w:lang w:val="hr-HR"/>
        </w:rPr>
        <w:t xml:space="preserve">. </w:t>
      </w:r>
      <w:proofErr w:type="spellStart"/>
      <w:r w:rsidR="00587E00" w:rsidRPr="00F6590B">
        <w:rPr>
          <w:rFonts w:cs="Times New Roman"/>
          <w:szCs w:val="24"/>
          <w:lang w:val="hr-HR"/>
        </w:rPr>
        <w:t>Specification</w:t>
      </w:r>
      <w:proofErr w:type="spellEnd"/>
      <w:r w:rsidR="00587E00" w:rsidRPr="00F6590B">
        <w:rPr>
          <w:rFonts w:cs="Times New Roman"/>
          <w:szCs w:val="24"/>
          <w:lang w:val="hr-HR"/>
        </w:rPr>
        <w:t xml:space="preserve"> </w:t>
      </w:r>
      <w:proofErr w:type="spellStart"/>
      <w:r w:rsidR="00587E00" w:rsidRPr="00F6590B">
        <w:rPr>
          <w:rFonts w:cs="Times New Roman"/>
          <w:szCs w:val="24"/>
          <w:lang w:val="hr-HR"/>
        </w:rPr>
        <w:t>Tests</w:t>
      </w:r>
      <w:proofErr w:type="spellEnd"/>
      <w:r w:rsidR="00587E00" w:rsidRPr="00F6590B">
        <w:rPr>
          <w:rFonts w:cs="Times New Roman"/>
          <w:szCs w:val="24"/>
          <w:lang w:val="hr-HR"/>
        </w:rPr>
        <w:t xml:space="preserve"> </w:t>
      </w:r>
      <w:proofErr w:type="spellStart"/>
      <w:r w:rsidR="00587E00" w:rsidRPr="00F6590B">
        <w:rPr>
          <w:rFonts w:cs="Times New Roman"/>
          <w:szCs w:val="24"/>
          <w:lang w:val="hr-HR"/>
        </w:rPr>
        <w:t>in</w:t>
      </w:r>
      <w:proofErr w:type="spellEnd"/>
      <w:r w:rsidR="00587E00" w:rsidRPr="00F6590B">
        <w:rPr>
          <w:rFonts w:cs="Times New Roman"/>
          <w:szCs w:val="24"/>
          <w:lang w:val="hr-HR"/>
        </w:rPr>
        <w:t xml:space="preserve"> </w:t>
      </w:r>
      <w:proofErr w:type="spellStart"/>
      <w:r w:rsidR="00587E00" w:rsidRPr="00F6590B">
        <w:rPr>
          <w:rFonts w:cs="Times New Roman"/>
          <w:szCs w:val="24"/>
          <w:lang w:val="hr-HR"/>
        </w:rPr>
        <w:t>Econometrics</w:t>
      </w:r>
      <w:proofErr w:type="spellEnd"/>
      <w:r w:rsidR="00587E00" w:rsidRPr="00F6590B">
        <w:rPr>
          <w:rFonts w:cs="Times New Roman"/>
          <w:szCs w:val="24"/>
          <w:lang w:val="hr-HR"/>
        </w:rPr>
        <w:t xml:space="preserve">. </w:t>
      </w:r>
      <w:proofErr w:type="spellStart"/>
      <w:r w:rsidR="00587E00" w:rsidRPr="00F6590B">
        <w:rPr>
          <w:rFonts w:cs="Times New Roman"/>
          <w:i/>
          <w:iCs/>
          <w:szCs w:val="24"/>
          <w:lang w:val="hr-HR"/>
        </w:rPr>
        <w:t>Econometrica</w:t>
      </w:r>
      <w:proofErr w:type="spellEnd"/>
      <w:r w:rsidR="00587E00" w:rsidRPr="00F6590B">
        <w:rPr>
          <w:rFonts w:cs="Times New Roman"/>
          <w:szCs w:val="24"/>
          <w:lang w:val="hr-HR"/>
        </w:rPr>
        <w:t>, 46(6)</w:t>
      </w:r>
      <w:r w:rsidRPr="00F6590B">
        <w:rPr>
          <w:rFonts w:cs="Times New Roman"/>
          <w:szCs w:val="24"/>
          <w:lang w:val="hr-HR"/>
        </w:rPr>
        <w:t>, 1</w:t>
      </w:r>
      <w:r w:rsidR="00587E00" w:rsidRPr="00F6590B">
        <w:rPr>
          <w:rFonts w:cs="Times New Roman"/>
          <w:szCs w:val="24"/>
          <w:lang w:val="hr-HR"/>
        </w:rPr>
        <w:t>251-1271</w:t>
      </w:r>
    </w:p>
    <w:p w14:paraId="56E3647C" w14:textId="164E0C10" w:rsidR="00F308FF" w:rsidRPr="00F6590B" w:rsidRDefault="00F308FF" w:rsidP="00483743">
      <w:pPr>
        <w:autoSpaceDE w:val="0"/>
        <w:autoSpaceDN w:val="0"/>
        <w:adjustRightInd w:val="0"/>
        <w:spacing w:line="480" w:lineRule="auto"/>
        <w:ind w:left="851" w:hanging="851"/>
        <w:jc w:val="left"/>
        <w:rPr>
          <w:rFonts w:cs="Times New Roman"/>
          <w:szCs w:val="24"/>
          <w:lang w:val="hr-HR"/>
        </w:rPr>
      </w:pPr>
      <w:r w:rsidRPr="00F6590B">
        <w:rPr>
          <w:rFonts w:cs="Times New Roman"/>
          <w:szCs w:val="24"/>
          <w:lang w:val="hr-HR"/>
        </w:rPr>
        <w:t>Kennedy, P</w:t>
      </w:r>
      <w:r w:rsidR="00C6472A" w:rsidRPr="00F6590B">
        <w:rPr>
          <w:rFonts w:cs="Times New Roman"/>
          <w:szCs w:val="24"/>
          <w:lang w:val="hr-HR"/>
        </w:rPr>
        <w:t>.</w:t>
      </w:r>
      <w:r w:rsidR="001C3A23">
        <w:rPr>
          <w:rFonts w:cs="Times New Roman"/>
          <w:szCs w:val="24"/>
          <w:lang w:val="hr-HR"/>
        </w:rPr>
        <w:t xml:space="preserve"> </w:t>
      </w:r>
      <w:r w:rsidR="00C6472A" w:rsidRPr="00F6590B">
        <w:rPr>
          <w:rFonts w:cs="Times New Roman"/>
          <w:szCs w:val="24"/>
          <w:lang w:val="hr-HR"/>
        </w:rPr>
        <w:t>(</w:t>
      </w:r>
      <w:r w:rsidRPr="00F6590B">
        <w:rPr>
          <w:rFonts w:cs="Times New Roman"/>
          <w:szCs w:val="24"/>
          <w:lang w:val="hr-HR"/>
        </w:rPr>
        <w:t>2008</w:t>
      </w:r>
      <w:r w:rsidR="00C6472A" w:rsidRPr="00F6590B">
        <w:rPr>
          <w:rFonts w:cs="Times New Roman"/>
          <w:szCs w:val="24"/>
          <w:lang w:val="hr-HR"/>
        </w:rPr>
        <w:t>)</w:t>
      </w:r>
      <w:r w:rsidRPr="00F6590B">
        <w:rPr>
          <w:rFonts w:cs="Times New Roman"/>
          <w:szCs w:val="24"/>
          <w:lang w:val="hr-HR"/>
        </w:rPr>
        <w:t xml:space="preserve">. </w:t>
      </w:r>
      <w:r w:rsidRPr="00F6590B">
        <w:rPr>
          <w:rFonts w:cs="Times New Roman"/>
          <w:i/>
          <w:iCs/>
          <w:szCs w:val="24"/>
          <w:lang w:val="hr-HR"/>
        </w:rPr>
        <w:t xml:space="preserve">A </w:t>
      </w:r>
      <w:proofErr w:type="spellStart"/>
      <w:r w:rsidRPr="00F6590B">
        <w:rPr>
          <w:rFonts w:cs="Times New Roman"/>
          <w:i/>
          <w:iCs/>
          <w:szCs w:val="24"/>
          <w:lang w:val="hr-HR"/>
        </w:rPr>
        <w:t>Guide</w:t>
      </w:r>
      <w:proofErr w:type="spellEnd"/>
      <w:r w:rsidRPr="00F6590B">
        <w:rPr>
          <w:rFonts w:cs="Times New Roman"/>
          <w:i/>
          <w:iCs/>
          <w:szCs w:val="24"/>
          <w:lang w:val="hr-HR"/>
        </w:rPr>
        <w:t xml:space="preserve"> to </w:t>
      </w:r>
      <w:proofErr w:type="spellStart"/>
      <w:r w:rsidRPr="00F6590B">
        <w:rPr>
          <w:rFonts w:cs="Times New Roman"/>
          <w:i/>
          <w:iCs/>
          <w:szCs w:val="24"/>
          <w:lang w:val="hr-HR"/>
        </w:rPr>
        <w:t>Econometrics</w:t>
      </w:r>
      <w:proofErr w:type="spellEnd"/>
      <w:r w:rsidRPr="00F6590B">
        <w:rPr>
          <w:rFonts w:cs="Times New Roman"/>
          <w:szCs w:val="24"/>
          <w:lang w:val="hr-HR"/>
        </w:rPr>
        <w:t xml:space="preserve">, 6th </w:t>
      </w:r>
      <w:proofErr w:type="spellStart"/>
      <w:r w:rsidRPr="00F6590B">
        <w:rPr>
          <w:rFonts w:cs="Times New Roman"/>
          <w:szCs w:val="24"/>
          <w:lang w:val="hr-HR"/>
        </w:rPr>
        <w:t>ed</w:t>
      </w:r>
      <w:proofErr w:type="spellEnd"/>
      <w:r w:rsidRPr="00F6590B">
        <w:rPr>
          <w:rFonts w:cs="Times New Roman"/>
          <w:szCs w:val="24"/>
          <w:lang w:val="hr-HR"/>
        </w:rPr>
        <w:t xml:space="preserve">. </w:t>
      </w:r>
      <w:proofErr w:type="spellStart"/>
      <w:r w:rsidRPr="00F6590B">
        <w:rPr>
          <w:rFonts w:cs="Times New Roman"/>
          <w:szCs w:val="24"/>
          <w:lang w:val="hr-HR"/>
        </w:rPr>
        <w:t>Blackwell</w:t>
      </w:r>
      <w:proofErr w:type="spellEnd"/>
      <w:r w:rsidRPr="00F6590B">
        <w:rPr>
          <w:rFonts w:cs="Times New Roman"/>
          <w:szCs w:val="24"/>
          <w:lang w:val="hr-HR"/>
        </w:rPr>
        <w:t xml:space="preserve"> </w:t>
      </w:r>
      <w:proofErr w:type="spellStart"/>
      <w:r w:rsidRPr="00F6590B">
        <w:rPr>
          <w:rFonts w:cs="Times New Roman"/>
          <w:szCs w:val="24"/>
          <w:lang w:val="hr-HR"/>
        </w:rPr>
        <w:t>Publishing</w:t>
      </w:r>
      <w:proofErr w:type="spellEnd"/>
      <w:r w:rsidR="00C6472A" w:rsidRPr="00F6590B">
        <w:rPr>
          <w:rFonts w:cs="Times New Roman"/>
          <w:szCs w:val="24"/>
          <w:lang w:val="hr-HR"/>
        </w:rPr>
        <w:t>.</w:t>
      </w:r>
    </w:p>
    <w:p w14:paraId="3788ADAA" w14:textId="1AC6F149" w:rsidR="002B296A" w:rsidRPr="00F6590B" w:rsidRDefault="002B296A"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Korobkin</w:t>
      </w:r>
      <w:proofErr w:type="spellEnd"/>
      <w:r w:rsidRPr="00F6590B">
        <w:rPr>
          <w:rFonts w:cs="Times New Roman"/>
          <w:szCs w:val="24"/>
          <w:lang w:val="hr-HR"/>
        </w:rPr>
        <w:t>. D</w:t>
      </w:r>
      <w:r w:rsidR="00C6472A" w:rsidRPr="00F6590B">
        <w:rPr>
          <w:rFonts w:cs="Times New Roman"/>
          <w:szCs w:val="24"/>
          <w:lang w:val="hr-HR"/>
        </w:rPr>
        <w:t>. (1991)</w:t>
      </w:r>
      <w:r w:rsidRPr="00F6590B">
        <w:rPr>
          <w:rFonts w:cs="Times New Roman"/>
          <w:szCs w:val="24"/>
          <w:lang w:val="hr-HR"/>
        </w:rPr>
        <w:t xml:space="preserve">. </w:t>
      </w:r>
      <w:proofErr w:type="spellStart"/>
      <w:r w:rsidRPr="00F6590B">
        <w:rPr>
          <w:rFonts w:cs="Times New Roman"/>
          <w:szCs w:val="24"/>
          <w:lang w:val="hr-HR"/>
        </w:rPr>
        <w:t>Rehabilitating</w:t>
      </w:r>
      <w:proofErr w:type="spellEnd"/>
      <w:r w:rsidRPr="00F6590B">
        <w:rPr>
          <w:rFonts w:cs="Times New Roman"/>
          <w:szCs w:val="24"/>
          <w:lang w:val="hr-HR"/>
        </w:rPr>
        <w:t xml:space="preserve"> </w:t>
      </w:r>
      <w:proofErr w:type="spellStart"/>
      <w:r w:rsidRPr="00F6590B">
        <w:rPr>
          <w:rFonts w:cs="Times New Roman"/>
          <w:szCs w:val="24"/>
          <w:lang w:val="hr-HR"/>
        </w:rPr>
        <w:t>Values</w:t>
      </w:r>
      <w:proofErr w:type="spellEnd"/>
      <w:r w:rsidRPr="00F6590B">
        <w:rPr>
          <w:rFonts w:cs="Times New Roman"/>
          <w:szCs w:val="24"/>
          <w:lang w:val="hr-HR"/>
        </w:rPr>
        <w:t xml:space="preserve">: A </w:t>
      </w:r>
      <w:proofErr w:type="spellStart"/>
      <w:r w:rsidRPr="00F6590B">
        <w:rPr>
          <w:rFonts w:cs="Times New Roman"/>
          <w:szCs w:val="24"/>
          <w:lang w:val="hr-HR"/>
        </w:rPr>
        <w:t>Jurisprudence</w:t>
      </w:r>
      <w:proofErr w:type="spellEnd"/>
      <w:r w:rsidRPr="00F6590B">
        <w:rPr>
          <w:rFonts w:cs="Times New Roman"/>
          <w:szCs w:val="24"/>
          <w:lang w:val="hr-HR"/>
        </w:rPr>
        <w:t xml:space="preserve"> </w:t>
      </w:r>
      <w:proofErr w:type="spellStart"/>
      <w:r w:rsidRPr="00F6590B">
        <w:rPr>
          <w:rFonts w:cs="Times New Roman"/>
          <w:szCs w:val="24"/>
          <w:lang w:val="hr-HR"/>
        </w:rPr>
        <w:t>of</w:t>
      </w:r>
      <w:proofErr w:type="spellEnd"/>
      <w:r w:rsidRPr="00F6590B">
        <w:rPr>
          <w:rFonts w:cs="Times New Roman"/>
          <w:szCs w:val="24"/>
          <w:lang w:val="hr-HR"/>
        </w:rPr>
        <w:t xml:space="preserve"> </w:t>
      </w:r>
      <w:proofErr w:type="spellStart"/>
      <w:r w:rsidRPr="00F6590B">
        <w:rPr>
          <w:rFonts w:cs="Times New Roman"/>
          <w:szCs w:val="24"/>
          <w:lang w:val="hr-HR"/>
        </w:rPr>
        <w:t>Bankruptcy</w:t>
      </w:r>
      <w:proofErr w:type="spellEnd"/>
      <w:r w:rsidR="00C6472A" w:rsidRPr="00F6590B">
        <w:rPr>
          <w:rFonts w:cs="Times New Roman"/>
          <w:szCs w:val="24"/>
          <w:lang w:val="hr-HR"/>
        </w:rPr>
        <w:t>.</w:t>
      </w:r>
      <w:r w:rsidRPr="00F6590B">
        <w:rPr>
          <w:rFonts w:cs="Times New Roman"/>
          <w:szCs w:val="24"/>
          <w:lang w:val="hr-HR"/>
        </w:rPr>
        <w:t xml:space="preserve"> </w:t>
      </w:r>
      <w:r w:rsidRPr="00F6590B">
        <w:rPr>
          <w:rFonts w:cs="Times New Roman"/>
          <w:i/>
          <w:szCs w:val="24"/>
          <w:lang w:val="hr-HR"/>
        </w:rPr>
        <w:t xml:space="preserve">Columbia </w:t>
      </w:r>
      <w:proofErr w:type="spellStart"/>
      <w:r w:rsidRPr="00F6590B">
        <w:rPr>
          <w:rFonts w:cs="Times New Roman"/>
          <w:i/>
          <w:szCs w:val="24"/>
          <w:lang w:val="hr-HR"/>
        </w:rPr>
        <w:t>Law</w:t>
      </w:r>
      <w:proofErr w:type="spellEnd"/>
      <w:r w:rsidRPr="00F6590B">
        <w:rPr>
          <w:rFonts w:cs="Times New Roman"/>
          <w:i/>
          <w:szCs w:val="24"/>
          <w:lang w:val="hr-HR"/>
        </w:rPr>
        <w:t xml:space="preserve"> </w:t>
      </w:r>
      <w:proofErr w:type="spellStart"/>
      <w:r w:rsidRPr="00F6590B">
        <w:rPr>
          <w:rFonts w:cs="Times New Roman"/>
          <w:i/>
          <w:szCs w:val="24"/>
          <w:lang w:val="hr-HR"/>
        </w:rPr>
        <w:t>Review</w:t>
      </w:r>
      <w:proofErr w:type="spellEnd"/>
      <w:r w:rsidRPr="00F6590B">
        <w:rPr>
          <w:rFonts w:cs="Times New Roman"/>
          <w:szCs w:val="24"/>
          <w:lang w:val="hr-HR"/>
        </w:rPr>
        <w:t xml:space="preserve">, </w:t>
      </w:r>
      <w:r w:rsidR="00C6472A" w:rsidRPr="00F6590B">
        <w:rPr>
          <w:rFonts w:cs="Times New Roman"/>
          <w:szCs w:val="24"/>
          <w:lang w:val="hr-HR"/>
        </w:rPr>
        <w:t>91(4),</w:t>
      </w:r>
      <w:r w:rsidRPr="00F6590B">
        <w:rPr>
          <w:rFonts w:cs="Times New Roman"/>
          <w:szCs w:val="24"/>
          <w:lang w:val="hr-HR"/>
        </w:rPr>
        <w:t xml:space="preserve"> 717-789</w:t>
      </w:r>
    </w:p>
    <w:p w14:paraId="6418984B" w14:textId="147DBD55" w:rsidR="00A36522" w:rsidRPr="00F6590B" w:rsidRDefault="00A36522"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LoPucki</w:t>
      </w:r>
      <w:proofErr w:type="spellEnd"/>
      <w:r w:rsidRPr="00F6590B">
        <w:rPr>
          <w:rFonts w:cs="Times New Roman"/>
          <w:szCs w:val="24"/>
          <w:lang w:val="hr-HR"/>
        </w:rPr>
        <w:t xml:space="preserve">, L., &amp; </w:t>
      </w:r>
      <w:proofErr w:type="spellStart"/>
      <w:r w:rsidRPr="00F6590B">
        <w:rPr>
          <w:rFonts w:cs="Times New Roman"/>
          <w:szCs w:val="24"/>
          <w:lang w:val="hr-HR"/>
        </w:rPr>
        <w:t>Whitford</w:t>
      </w:r>
      <w:proofErr w:type="spellEnd"/>
      <w:r w:rsidRPr="00F6590B">
        <w:rPr>
          <w:rFonts w:cs="Times New Roman"/>
          <w:szCs w:val="24"/>
          <w:lang w:val="hr-HR"/>
        </w:rPr>
        <w:t xml:space="preserve">, W. (1991). </w:t>
      </w:r>
      <w:proofErr w:type="spellStart"/>
      <w:r w:rsidRPr="00F6590B">
        <w:rPr>
          <w:rFonts w:cs="Times New Roman"/>
          <w:szCs w:val="24"/>
          <w:lang w:val="hr-HR"/>
        </w:rPr>
        <w:t>Venue</w:t>
      </w:r>
      <w:proofErr w:type="spellEnd"/>
      <w:r w:rsidRPr="00F6590B">
        <w:rPr>
          <w:rFonts w:cs="Times New Roman"/>
          <w:szCs w:val="24"/>
          <w:lang w:val="hr-HR"/>
        </w:rPr>
        <w:t xml:space="preserve"> </w:t>
      </w:r>
      <w:proofErr w:type="spellStart"/>
      <w:r w:rsidRPr="00F6590B">
        <w:rPr>
          <w:rFonts w:cs="Times New Roman"/>
          <w:szCs w:val="24"/>
          <w:lang w:val="hr-HR"/>
        </w:rPr>
        <w:t>Choice</w:t>
      </w:r>
      <w:proofErr w:type="spellEnd"/>
      <w:r w:rsidRPr="00F6590B">
        <w:rPr>
          <w:rFonts w:cs="Times New Roman"/>
          <w:szCs w:val="24"/>
          <w:lang w:val="hr-HR"/>
        </w:rPr>
        <w:t xml:space="preserve"> </w:t>
      </w:r>
      <w:proofErr w:type="spellStart"/>
      <w:r w:rsidRPr="00F6590B">
        <w:rPr>
          <w:rFonts w:cs="Times New Roman"/>
          <w:szCs w:val="24"/>
          <w:lang w:val="hr-HR"/>
        </w:rPr>
        <w:t>And</w:t>
      </w:r>
      <w:proofErr w:type="spellEnd"/>
      <w:r w:rsidRPr="00F6590B">
        <w:rPr>
          <w:rFonts w:cs="Times New Roman"/>
          <w:szCs w:val="24"/>
          <w:lang w:val="hr-HR"/>
        </w:rPr>
        <w:t xml:space="preserve"> Forum </w:t>
      </w:r>
      <w:proofErr w:type="spellStart"/>
      <w:r w:rsidRPr="00F6590B">
        <w:rPr>
          <w:rFonts w:cs="Times New Roman"/>
          <w:szCs w:val="24"/>
          <w:lang w:val="hr-HR"/>
        </w:rPr>
        <w:t>Shopping</w:t>
      </w:r>
      <w:proofErr w:type="spellEnd"/>
      <w:r w:rsidRPr="00F6590B">
        <w:rPr>
          <w:rFonts w:cs="Times New Roman"/>
          <w:szCs w:val="24"/>
          <w:lang w:val="hr-HR"/>
        </w:rPr>
        <w:t xml:space="preserve"> </w:t>
      </w:r>
      <w:proofErr w:type="spellStart"/>
      <w:r w:rsidRPr="00F6590B">
        <w:rPr>
          <w:rFonts w:cs="Times New Roman"/>
          <w:szCs w:val="24"/>
          <w:lang w:val="hr-HR"/>
        </w:rPr>
        <w:t>In</w:t>
      </w:r>
      <w:proofErr w:type="spellEnd"/>
      <w:r w:rsidRPr="00F6590B">
        <w:rPr>
          <w:rFonts w:cs="Times New Roman"/>
          <w:szCs w:val="24"/>
          <w:lang w:val="hr-HR"/>
        </w:rPr>
        <w:t xml:space="preserve"> </w:t>
      </w:r>
      <w:proofErr w:type="spellStart"/>
      <w:r w:rsidRPr="00F6590B">
        <w:rPr>
          <w:rFonts w:cs="Times New Roman"/>
          <w:szCs w:val="24"/>
          <w:lang w:val="hr-HR"/>
        </w:rPr>
        <w:t>The</w:t>
      </w:r>
      <w:proofErr w:type="spellEnd"/>
      <w:r w:rsidRPr="00F6590B">
        <w:rPr>
          <w:rFonts w:cs="Times New Roman"/>
          <w:szCs w:val="24"/>
          <w:lang w:val="hr-HR"/>
        </w:rPr>
        <w:t xml:space="preserve"> </w:t>
      </w:r>
      <w:proofErr w:type="spellStart"/>
      <w:r w:rsidRPr="00F6590B">
        <w:rPr>
          <w:rFonts w:cs="Times New Roman"/>
          <w:szCs w:val="24"/>
          <w:lang w:val="hr-HR"/>
        </w:rPr>
        <w:t>Bankruptcy</w:t>
      </w:r>
      <w:proofErr w:type="spellEnd"/>
      <w:r w:rsidRPr="00F6590B">
        <w:rPr>
          <w:rFonts w:cs="Times New Roman"/>
          <w:szCs w:val="24"/>
          <w:lang w:val="hr-HR"/>
        </w:rPr>
        <w:t xml:space="preserve"> </w:t>
      </w:r>
      <w:proofErr w:type="spellStart"/>
      <w:r w:rsidRPr="00F6590B">
        <w:rPr>
          <w:rFonts w:cs="Times New Roman"/>
          <w:szCs w:val="24"/>
          <w:lang w:val="hr-HR"/>
        </w:rPr>
        <w:t>Reorganization</w:t>
      </w:r>
      <w:proofErr w:type="spellEnd"/>
      <w:r w:rsidRPr="00F6590B">
        <w:rPr>
          <w:rFonts w:cs="Times New Roman"/>
          <w:szCs w:val="24"/>
          <w:lang w:val="hr-HR"/>
        </w:rPr>
        <w:t xml:space="preserve"> </w:t>
      </w:r>
      <w:proofErr w:type="spellStart"/>
      <w:r w:rsidRPr="00F6590B">
        <w:rPr>
          <w:rFonts w:cs="Times New Roman"/>
          <w:szCs w:val="24"/>
          <w:lang w:val="hr-HR"/>
        </w:rPr>
        <w:t>Of</w:t>
      </w:r>
      <w:proofErr w:type="spellEnd"/>
      <w:r w:rsidRPr="00F6590B">
        <w:rPr>
          <w:rFonts w:cs="Times New Roman"/>
          <w:szCs w:val="24"/>
          <w:lang w:val="hr-HR"/>
        </w:rPr>
        <w:t xml:space="preserve"> </w:t>
      </w:r>
      <w:proofErr w:type="spellStart"/>
      <w:r w:rsidRPr="00F6590B">
        <w:rPr>
          <w:rFonts w:cs="Times New Roman"/>
          <w:szCs w:val="24"/>
          <w:lang w:val="hr-HR"/>
        </w:rPr>
        <w:t>Large</w:t>
      </w:r>
      <w:proofErr w:type="spellEnd"/>
      <w:r w:rsidRPr="00F6590B">
        <w:rPr>
          <w:rFonts w:cs="Times New Roman"/>
          <w:szCs w:val="24"/>
          <w:lang w:val="hr-HR"/>
        </w:rPr>
        <w:t xml:space="preserve">, </w:t>
      </w:r>
      <w:proofErr w:type="spellStart"/>
      <w:r w:rsidRPr="00F6590B">
        <w:rPr>
          <w:rFonts w:cs="Times New Roman"/>
          <w:szCs w:val="24"/>
          <w:lang w:val="hr-HR"/>
        </w:rPr>
        <w:t>Publicly</w:t>
      </w:r>
      <w:proofErr w:type="spellEnd"/>
      <w:r w:rsidRPr="00F6590B">
        <w:rPr>
          <w:rFonts w:cs="Times New Roman"/>
          <w:szCs w:val="24"/>
          <w:lang w:val="hr-HR"/>
        </w:rPr>
        <w:t xml:space="preserve"> </w:t>
      </w:r>
      <w:proofErr w:type="spellStart"/>
      <w:r w:rsidRPr="00F6590B">
        <w:rPr>
          <w:rFonts w:cs="Times New Roman"/>
          <w:szCs w:val="24"/>
          <w:lang w:val="hr-HR"/>
        </w:rPr>
        <w:t>Held</w:t>
      </w:r>
      <w:proofErr w:type="spellEnd"/>
      <w:r w:rsidRPr="00F6590B">
        <w:rPr>
          <w:rFonts w:cs="Times New Roman"/>
          <w:szCs w:val="24"/>
          <w:lang w:val="hr-HR"/>
        </w:rPr>
        <w:t xml:space="preserve"> </w:t>
      </w:r>
      <w:proofErr w:type="spellStart"/>
      <w:r w:rsidRPr="00F6590B">
        <w:rPr>
          <w:rFonts w:cs="Times New Roman"/>
          <w:szCs w:val="24"/>
          <w:lang w:val="hr-HR"/>
        </w:rPr>
        <w:t>Companies</w:t>
      </w:r>
      <w:proofErr w:type="spellEnd"/>
      <w:r w:rsidRPr="00F6590B">
        <w:rPr>
          <w:rFonts w:cs="Times New Roman"/>
          <w:szCs w:val="24"/>
          <w:lang w:val="hr-HR"/>
        </w:rPr>
        <w:t xml:space="preserve">. </w:t>
      </w:r>
      <w:proofErr w:type="spellStart"/>
      <w:r w:rsidRPr="00F6590B">
        <w:rPr>
          <w:rFonts w:cs="Times New Roman"/>
          <w:i/>
          <w:szCs w:val="24"/>
          <w:lang w:val="hr-HR"/>
        </w:rPr>
        <w:t>Wisconsin</w:t>
      </w:r>
      <w:proofErr w:type="spellEnd"/>
      <w:r w:rsidRPr="00F6590B">
        <w:rPr>
          <w:rFonts w:cs="Times New Roman"/>
          <w:i/>
          <w:szCs w:val="24"/>
          <w:lang w:val="hr-HR"/>
        </w:rPr>
        <w:t xml:space="preserve"> </w:t>
      </w:r>
      <w:proofErr w:type="spellStart"/>
      <w:r w:rsidRPr="00F6590B">
        <w:rPr>
          <w:rFonts w:cs="Times New Roman"/>
          <w:i/>
          <w:szCs w:val="24"/>
          <w:lang w:val="hr-HR"/>
        </w:rPr>
        <w:t>Law</w:t>
      </w:r>
      <w:proofErr w:type="spellEnd"/>
      <w:r w:rsidRPr="00F6590B">
        <w:rPr>
          <w:rFonts w:cs="Times New Roman"/>
          <w:i/>
          <w:szCs w:val="24"/>
          <w:lang w:val="hr-HR"/>
        </w:rPr>
        <w:t xml:space="preserve"> </w:t>
      </w:r>
      <w:proofErr w:type="spellStart"/>
      <w:r w:rsidRPr="00F6590B">
        <w:rPr>
          <w:rFonts w:cs="Times New Roman"/>
          <w:i/>
          <w:szCs w:val="24"/>
          <w:lang w:val="hr-HR"/>
        </w:rPr>
        <w:t>Review</w:t>
      </w:r>
      <w:proofErr w:type="spellEnd"/>
      <w:r w:rsidRPr="00F6590B">
        <w:rPr>
          <w:rFonts w:cs="Times New Roman"/>
          <w:szCs w:val="24"/>
          <w:lang w:val="hr-HR"/>
        </w:rPr>
        <w:t>, 401 (1), 11-63</w:t>
      </w:r>
    </w:p>
    <w:p w14:paraId="27467E9D" w14:textId="5571E242" w:rsidR="00C33F36" w:rsidRPr="00F6590B" w:rsidRDefault="00C33F36" w:rsidP="00483743">
      <w:pPr>
        <w:autoSpaceDE w:val="0"/>
        <w:autoSpaceDN w:val="0"/>
        <w:adjustRightInd w:val="0"/>
        <w:spacing w:line="480" w:lineRule="auto"/>
        <w:ind w:left="851" w:hanging="851"/>
        <w:jc w:val="left"/>
        <w:rPr>
          <w:rFonts w:cs="Times New Roman"/>
          <w:szCs w:val="24"/>
          <w:lang w:val="hr-HR"/>
        </w:rPr>
      </w:pPr>
      <w:r w:rsidRPr="00F6590B">
        <w:rPr>
          <w:rFonts w:cs="Times New Roman"/>
          <w:szCs w:val="24"/>
          <w:lang w:val="hr-HR"/>
        </w:rPr>
        <w:t>Novak, B</w:t>
      </w:r>
      <w:r w:rsidR="00C6472A" w:rsidRPr="00F6590B">
        <w:rPr>
          <w:rFonts w:cs="Times New Roman"/>
          <w:szCs w:val="24"/>
          <w:lang w:val="hr-HR"/>
        </w:rPr>
        <w:t>.(2003)</w:t>
      </w:r>
      <w:r w:rsidRPr="00F6590B">
        <w:rPr>
          <w:rFonts w:cs="Times New Roman"/>
          <w:szCs w:val="24"/>
          <w:lang w:val="hr-HR"/>
        </w:rPr>
        <w:t xml:space="preserve">. Predviđanje poslovnih teškoća banaka u Republici Hrvatskoj na temelju javno dostupnih financijskih pokazatelja. </w:t>
      </w:r>
      <w:r w:rsidRPr="00F6590B">
        <w:rPr>
          <w:rFonts w:cs="Times New Roman"/>
          <w:i/>
          <w:szCs w:val="24"/>
          <w:lang w:val="hr-HR"/>
        </w:rPr>
        <w:t xml:space="preserve">Ekonomski </w:t>
      </w:r>
      <w:r w:rsidR="00C6472A" w:rsidRPr="00F6590B">
        <w:rPr>
          <w:rFonts w:cs="Times New Roman"/>
          <w:i/>
          <w:szCs w:val="24"/>
          <w:lang w:val="hr-HR"/>
        </w:rPr>
        <w:t>pregled</w:t>
      </w:r>
      <w:r w:rsidR="00C6472A" w:rsidRPr="00F6590B">
        <w:rPr>
          <w:rFonts w:cs="Times New Roman"/>
          <w:szCs w:val="24"/>
          <w:lang w:val="hr-HR"/>
        </w:rPr>
        <w:t xml:space="preserve">, </w:t>
      </w:r>
      <w:r w:rsidRPr="00F6590B">
        <w:rPr>
          <w:rFonts w:cs="Times New Roman"/>
          <w:szCs w:val="24"/>
          <w:lang w:val="hr-HR"/>
        </w:rPr>
        <w:t>54 (11-12</w:t>
      </w:r>
      <w:r w:rsidR="00C6472A" w:rsidRPr="00F6590B">
        <w:rPr>
          <w:rFonts w:cs="Times New Roman"/>
          <w:szCs w:val="24"/>
          <w:lang w:val="hr-HR"/>
        </w:rPr>
        <w:t xml:space="preserve">), </w:t>
      </w:r>
      <w:r w:rsidRPr="00F6590B">
        <w:rPr>
          <w:rFonts w:cs="Times New Roman"/>
          <w:szCs w:val="24"/>
          <w:lang w:val="hr-HR"/>
        </w:rPr>
        <w:t>904-924</w:t>
      </w:r>
    </w:p>
    <w:p w14:paraId="08A196D0" w14:textId="7D5E56E7" w:rsidR="00D703B9" w:rsidRPr="00F6590B" w:rsidRDefault="00D703B9"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lastRenderedPageBreak/>
        <w:t>Rasmussen</w:t>
      </w:r>
      <w:proofErr w:type="spellEnd"/>
      <w:r w:rsidRPr="00F6590B">
        <w:rPr>
          <w:rFonts w:cs="Times New Roman"/>
          <w:szCs w:val="24"/>
          <w:lang w:val="hr-HR"/>
        </w:rPr>
        <w:t>. R</w:t>
      </w:r>
      <w:r w:rsidR="00915916" w:rsidRPr="00F6590B">
        <w:rPr>
          <w:rFonts w:cs="Times New Roman"/>
          <w:szCs w:val="24"/>
          <w:lang w:val="hr-HR"/>
        </w:rPr>
        <w:t>., &amp;</w:t>
      </w:r>
      <w:r w:rsidRPr="00F6590B">
        <w:rPr>
          <w:rFonts w:cs="Times New Roman"/>
          <w:szCs w:val="24"/>
          <w:lang w:val="hr-HR"/>
        </w:rPr>
        <w:t xml:space="preserve"> </w:t>
      </w:r>
      <w:proofErr w:type="spellStart"/>
      <w:r w:rsidRPr="00F6590B">
        <w:rPr>
          <w:rFonts w:cs="Times New Roman"/>
          <w:szCs w:val="24"/>
          <w:lang w:val="hr-HR"/>
        </w:rPr>
        <w:t>Thomas</w:t>
      </w:r>
      <w:proofErr w:type="spellEnd"/>
      <w:r w:rsidRPr="00F6590B">
        <w:rPr>
          <w:rFonts w:cs="Times New Roman"/>
          <w:szCs w:val="24"/>
          <w:lang w:val="hr-HR"/>
        </w:rPr>
        <w:t>. R</w:t>
      </w:r>
      <w:r w:rsidR="00915916" w:rsidRPr="00F6590B">
        <w:rPr>
          <w:rFonts w:cs="Times New Roman"/>
          <w:szCs w:val="24"/>
          <w:lang w:val="hr-HR"/>
        </w:rPr>
        <w:t>. (2000)</w:t>
      </w:r>
      <w:r w:rsidRPr="00F6590B">
        <w:rPr>
          <w:rFonts w:cs="Times New Roman"/>
          <w:szCs w:val="24"/>
          <w:lang w:val="hr-HR"/>
        </w:rPr>
        <w:t xml:space="preserve">. </w:t>
      </w:r>
      <w:proofErr w:type="spellStart"/>
      <w:r w:rsidRPr="00F6590B">
        <w:rPr>
          <w:rFonts w:cs="Times New Roman"/>
          <w:szCs w:val="24"/>
          <w:lang w:val="hr-HR"/>
        </w:rPr>
        <w:t>Timing</w:t>
      </w:r>
      <w:proofErr w:type="spellEnd"/>
      <w:r w:rsidRPr="00F6590B">
        <w:rPr>
          <w:rFonts w:cs="Times New Roman"/>
          <w:szCs w:val="24"/>
          <w:lang w:val="hr-HR"/>
        </w:rPr>
        <w:t xml:space="preserve"> </w:t>
      </w:r>
      <w:proofErr w:type="spellStart"/>
      <w:r w:rsidRPr="00F6590B">
        <w:rPr>
          <w:rFonts w:cs="Times New Roman"/>
          <w:szCs w:val="24"/>
          <w:lang w:val="hr-HR"/>
        </w:rPr>
        <w:t>Matters</w:t>
      </w:r>
      <w:proofErr w:type="spellEnd"/>
      <w:r w:rsidRPr="00F6590B">
        <w:rPr>
          <w:rFonts w:cs="Times New Roman"/>
          <w:szCs w:val="24"/>
          <w:lang w:val="hr-HR"/>
        </w:rPr>
        <w:t xml:space="preserve">: </w:t>
      </w:r>
      <w:proofErr w:type="spellStart"/>
      <w:r w:rsidRPr="00F6590B">
        <w:rPr>
          <w:rFonts w:cs="Times New Roman"/>
          <w:szCs w:val="24"/>
          <w:lang w:val="hr-HR"/>
        </w:rPr>
        <w:t>Promoting</w:t>
      </w:r>
      <w:proofErr w:type="spellEnd"/>
      <w:r w:rsidRPr="00F6590B">
        <w:rPr>
          <w:rFonts w:cs="Times New Roman"/>
          <w:szCs w:val="24"/>
          <w:lang w:val="hr-HR"/>
        </w:rPr>
        <w:t xml:space="preserve"> Forum </w:t>
      </w:r>
      <w:proofErr w:type="spellStart"/>
      <w:r w:rsidRPr="00F6590B">
        <w:rPr>
          <w:rFonts w:cs="Times New Roman"/>
          <w:szCs w:val="24"/>
          <w:lang w:val="hr-HR"/>
        </w:rPr>
        <w:t>Shopping</w:t>
      </w:r>
      <w:proofErr w:type="spellEnd"/>
      <w:r w:rsidRPr="00F6590B">
        <w:rPr>
          <w:rFonts w:cs="Times New Roman"/>
          <w:szCs w:val="24"/>
          <w:lang w:val="hr-HR"/>
        </w:rPr>
        <w:t xml:space="preserve"> </w:t>
      </w:r>
      <w:proofErr w:type="spellStart"/>
      <w:r w:rsidRPr="00F6590B">
        <w:rPr>
          <w:rFonts w:cs="Times New Roman"/>
          <w:szCs w:val="24"/>
          <w:lang w:val="hr-HR"/>
        </w:rPr>
        <w:t>by</w:t>
      </w:r>
      <w:proofErr w:type="spellEnd"/>
      <w:r w:rsidRPr="00F6590B">
        <w:rPr>
          <w:rFonts w:cs="Times New Roman"/>
          <w:szCs w:val="24"/>
          <w:lang w:val="hr-HR"/>
        </w:rPr>
        <w:t xml:space="preserve"> </w:t>
      </w:r>
      <w:proofErr w:type="spellStart"/>
      <w:r w:rsidRPr="00F6590B">
        <w:rPr>
          <w:rFonts w:cs="Times New Roman"/>
          <w:szCs w:val="24"/>
          <w:lang w:val="hr-HR"/>
        </w:rPr>
        <w:t>Insolvent</w:t>
      </w:r>
      <w:proofErr w:type="spellEnd"/>
      <w:r w:rsidRPr="00F6590B">
        <w:rPr>
          <w:rFonts w:cs="Times New Roman"/>
          <w:szCs w:val="24"/>
          <w:lang w:val="hr-HR"/>
        </w:rPr>
        <w:t xml:space="preserve"> </w:t>
      </w:r>
      <w:proofErr w:type="spellStart"/>
      <w:r w:rsidRPr="00F6590B">
        <w:rPr>
          <w:rFonts w:cs="Times New Roman"/>
          <w:szCs w:val="24"/>
          <w:lang w:val="hr-HR"/>
        </w:rPr>
        <w:t>Corporations</w:t>
      </w:r>
      <w:proofErr w:type="spellEnd"/>
      <w:r w:rsidRPr="00F6590B">
        <w:rPr>
          <w:rFonts w:cs="Times New Roman"/>
          <w:szCs w:val="24"/>
          <w:lang w:val="hr-HR"/>
        </w:rPr>
        <w:t xml:space="preserve">. </w:t>
      </w:r>
      <w:proofErr w:type="spellStart"/>
      <w:r w:rsidRPr="00F6590B">
        <w:rPr>
          <w:rFonts w:cs="Times New Roman"/>
          <w:i/>
          <w:szCs w:val="24"/>
          <w:lang w:val="hr-HR"/>
        </w:rPr>
        <w:t>Northwestern</w:t>
      </w:r>
      <w:proofErr w:type="spellEnd"/>
      <w:r w:rsidRPr="00F6590B">
        <w:rPr>
          <w:rFonts w:cs="Times New Roman"/>
          <w:i/>
          <w:szCs w:val="24"/>
          <w:lang w:val="hr-HR"/>
        </w:rPr>
        <w:t xml:space="preserve"> </w:t>
      </w:r>
      <w:proofErr w:type="spellStart"/>
      <w:r w:rsidRPr="00F6590B">
        <w:rPr>
          <w:rFonts w:cs="Times New Roman"/>
          <w:i/>
          <w:szCs w:val="24"/>
          <w:lang w:val="hr-HR"/>
        </w:rPr>
        <w:t>Law</w:t>
      </w:r>
      <w:proofErr w:type="spellEnd"/>
      <w:r w:rsidRPr="00F6590B">
        <w:rPr>
          <w:rFonts w:cs="Times New Roman"/>
          <w:i/>
          <w:szCs w:val="24"/>
          <w:lang w:val="hr-HR"/>
        </w:rPr>
        <w:t xml:space="preserve"> </w:t>
      </w:r>
      <w:proofErr w:type="spellStart"/>
      <w:r w:rsidRPr="00F6590B">
        <w:rPr>
          <w:rFonts w:cs="Times New Roman"/>
          <w:i/>
          <w:szCs w:val="24"/>
          <w:lang w:val="hr-HR"/>
        </w:rPr>
        <w:t>Review</w:t>
      </w:r>
      <w:proofErr w:type="spellEnd"/>
      <w:r w:rsidRPr="00F6590B">
        <w:rPr>
          <w:rFonts w:cs="Times New Roman"/>
          <w:szCs w:val="24"/>
          <w:lang w:val="hr-HR"/>
        </w:rPr>
        <w:t>, 94</w:t>
      </w:r>
      <w:r w:rsidR="00915916" w:rsidRPr="00F6590B">
        <w:rPr>
          <w:rFonts w:cs="Times New Roman"/>
          <w:szCs w:val="24"/>
          <w:lang w:val="hr-HR"/>
        </w:rPr>
        <w:t xml:space="preserve">(1), </w:t>
      </w:r>
      <w:r w:rsidRPr="00F6590B">
        <w:rPr>
          <w:rFonts w:cs="Times New Roman"/>
          <w:szCs w:val="24"/>
          <w:lang w:val="hr-HR"/>
        </w:rPr>
        <w:t>1357-1439</w:t>
      </w:r>
    </w:p>
    <w:p w14:paraId="575D75A9" w14:textId="753E9B25" w:rsidR="00C67528" w:rsidRPr="00F6590B" w:rsidRDefault="00C67528" w:rsidP="00483743">
      <w:pPr>
        <w:autoSpaceDE w:val="0"/>
        <w:autoSpaceDN w:val="0"/>
        <w:adjustRightInd w:val="0"/>
        <w:spacing w:line="480" w:lineRule="auto"/>
        <w:ind w:left="851" w:hanging="851"/>
        <w:jc w:val="left"/>
        <w:rPr>
          <w:rFonts w:cs="Times New Roman"/>
          <w:szCs w:val="24"/>
          <w:lang w:val="hr-HR"/>
        </w:rPr>
      </w:pPr>
      <w:r w:rsidRPr="00F6590B">
        <w:rPr>
          <w:rFonts w:cs="Times New Roman"/>
          <w:szCs w:val="24"/>
          <w:lang w:val="hr-HR"/>
        </w:rPr>
        <w:t>Šarlija, N</w:t>
      </w:r>
      <w:r w:rsidR="002C5FF9" w:rsidRPr="00F6590B">
        <w:rPr>
          <w:rFonts w:cs="Times New Roman"/>
          <w:szCs w:val="24"/>
          <w:lang w:val="hr-HR"/>
        </w:rPr>
        <w:t xml:space="preserve">., </w:t>
      </w:r>
      <w:proofErr w:type="spellStart"/>
      <w:r w:rsidRPr="00F6590B">
        <w:rPr>
          <w:rFonts w:cs="Times New Roman"/>
          <w:szCs w:val="24"/>
          <w:lang w:val="hr-HR"/>
        </w:rPr>
        <w:t>Penavin</w:t>
      </w:r>
      <w:proofErr w:type="spellEnd"/>
      <w:r w:rsidRPr="00F6590B">
        <w:rPr>
          <w:rFonts w:cs="Times New Roman"/>
          <w:szCs w:val="24"/>
          <w:lang w:val="hr-HR"/>
        </w:rPr>
        <w:t>, S</w:t>
      </w:r>
      <w:r w:rsidR="002C5FF9" w:rsidRPr="00F6590B">
        <w:rPr>
          <w:rFonts w:cs="Times New Roman"/>
          <w:szCs w:val="24"/>
          <w:lang w:val="hr-HR"/>
        </w:rPr>
        <w:t>., &amp;</w:t>
      </w:r>
      <w:r w:rsidRPr="00F6590B">
        <w:rPr>
          <w:rFonts w:cs="Times New Roman"/>
          <w:szCs w:val="24"/>
          <w:lang w:val="hr-HR"/>
        </w:rPr>
        <w:t xml:space="preserve"> </w:t>
      </w:r>
      <w:proofErr w:type="spellStart"/>
      <w:r w:rsidRPr="00F6590B">
        <w:rPr>
          <w:rFonts w:cs="Times New Roman"/>
          <w:szCs w:val="24"/>
          <w:lang w:val="hr-HR"/>
        </w:rPr>
        <w:t>Harc</w:t>
      </w:r>
      <w:proofErr w:type="spellEnd"/>
      <w:r w:rsidRPr="00F6590B">
        <w:rPr>
          <w:rFonts w:cs="Times New Roman"/>
          <w:szCs w:val="24"/>
          <w:lang w:val="hr-HR"/>
        </w:rPr>
        <w:t>, M</w:t>
      </w:r>
      <w:r w:rsidR="002C5FF9" w:rsidRPr="00F6590B">
        <w:rPr>
          <w:rFonts w:cs="Times New Roman"/>
          <w:szCs w:val="24"/>
          <w:lang w:val="hr-HR"/>
        </w:rPr>
        <w:t>. (2009)</w:t>
      </w:r>
      <w:r w:rsidRPr="00F6590B">
        <w:rPr>
          <w:rFonts w:cs="Times New Roman"/>
          <w:szCs w:val="24"/>
          <w:lang w:val="hr-HR"/>
        </w:rPr>
        <w:t xml:space="preserve">. Predviđanje nelikvidnosti poduzeća u Hrvatskoj. </w:t>
      </w:r>
      <w:r w:rsidRPr="00F6590B">
        <w:rPr>
          <w:rFonts w:cs="Times New Roman"/>
          <w:i/>
          <w:szCs w:val="24"/>
          <w:lang w:val="hr-HR"/>
        </w:rPr>
        <w:t>Zbornik</w:t>
      </w:r>
      <w:r w:rsidR="002C5FF9" w:rsidRPr="00F6590B">
        <w:rPr>
          <w:rFonts w:cs="Times New Roman"/>
          <w:i/>
          <w:szCs w:val="24"/>
          <w:lang w:val="hr-HR"/>
        </w:rPr>
        <w:t xml:space="preserve"> Ekonomskog fakulteta u Zagrebu</w:t>
      </w:r>
      <w:r w:rsidR="002C5FF9" w:rsidRPr="00F6590B">
        <w:rPr>
          <w:rFonts w:cs="Times New Roman"/>
          <w:szCs w:val="24"/>
          <w:lang w:val="hr-HR"/>
        </w:rPr>
        <w:t xml:space="preserve">, </w:t>
      </w:r>
      <w:r w:rsidRPr="00F6590B">
        <w:rPr>
          <w:rFonts w:cs="Times New Roman"/>
          <w:szCs w:val="24"/>
          <w:lang w:val="hr-HR"/>
        </w:rPr>
        <w:t xml:space="preserve"> 200 (2</w:t>
      </w:r>
      <w:r w:rsidR="002C5FF9" w:rsidRPr="00F6590B">
        <w:rPr>
          <w:rFonts w:cs="Times New Roman"/>
          <w:szCs w:val="24"/>
          <w:lang w:val="hr-HR"/>
        </w:rPr>
        <w:t>),</w:t>
      </w:r>
      <w:r w:rsidRPr="00F6590B">
        <w:rPr>
          <w:rFonts w:cs="Times New Roman"/>
          <w:szCs w:val="24"/>
          <w:lang w:val="hr-HR"/>
        </w:rPr>
        <w:t xml:space="preserve"> 21-36</w:t>
      </w:r>
    </w:p>
    <w:p w14:paraId="550BCD90" w14:textId="6B0A694D" w:rsidR="00752585" w:rsidRPr="00F6590B" w:rsidRDefault="00752585" w:rsidP="00483743">
      <w:pPr>
        <w:autoSpaceDE w:val="0"/>
        <w:autoSpaceDN w:val="0"/>
        <w:adjustRightInd w:val="0"/>
        <w:spacing w:line="480" w:lineRule="auto"/>
        <w:ind w:left="851" w:hanging="851"/>
        <w:jc w:val="left"/>
        <w:rPr>
          <w:rFonts w:cs="Times New Roman"/>
          <w:szCs w:val="24"/>
          <w:lang w:val="hr-HR"/>
        </w:rPr>
      </w:pPr>
      <w:r w:rsidRPr="00F6590B">
        <w:rPr>
          <w:rFonts w:cs="Times New Roman"/>
          <w:szCs w:val="24"/>
          <w:lang w:val="hr-HR"/>
        </w:rPr>
        <w:t>Uzelac, A</w:t>
      </w:r>
      <w:r w:rsidR="006C47D5" w:rsidRPr="00F6590B">
        <w:rPr>
          <w:rFonts w:cs="Times New Roman"/>
          <w:szCs w:val="24"/>
          <w:lang w:val="hr-HR"/>
        </w:rPr>
        <w:t>. (2005)</w:t>
      </w:r>
      <w:r w:rsidRPr="00F6590B">
        <w:rPr>
          <w:rFonts w:cs="Times New Roman"/>
          <w:szCs w:val="24"/>
          <w:lang w:val="hr-HR"/>
        </w:rPr>
        <w:t xml:space="preserve">. Efikasnost pravosuđa u europskom kontekstu: usporedba funkcioniranja europskih pravosudnih sustava. </w:t>
      </w:r>
      <w:r w:rsidRPr="00F6590B">
        <w:rPr>
          <w:rFonts w:cs="Times New Roman"/>
          <w:i/>
          <w:szCs w:val="24"/>
          <w:lang w:val="hr-HR"/>
        </w:rPr>
        <w:t>Zbornik Pravnog fakulteta u Zagrebu</w:t>
      </w:r>
      <w:r w:rsidR="006C47D5" w:rsidRPr="00F6590B">
        <w:rPr>
          <w:rFonts w:cs="Times New Roman"/>
          <w:i/>
          <w:szCs w:val="24"/>
          <w:lang w:val="hr-HR"/>
        </w:rPr>
        <w:t>,</w:t>
      </w:r>
      <w:r w:rsidRPr="00F6590B">
        <w:rPr>
          <w:rFonts w:cs="Times New Roman"/>
          <w:szCs w:val="24"/>
          <w:lang w:val="hr-HR"/>
        </w:rPr>
        <w:t xml:space="preserve"> 55</w:t>
      </w:r>
      <w:r w:rsidR="006C47D5" w:rsidRPr="00F6590B">
        <w:rPr>
          <w:rFonts w:cs="Times New Roman"/>
          <w:szCs w:val="24"/>
          <w:lang w:val="hr-HR"/>
        </w:rPr>
        <w:t>(</w:t>
      </w:r>
      <w:r w:rsidRPr="00F6590B">
        <w:rPr>
          <w:rFonts w:cs="Times New Roman"/>
          <w:szCs w:val="24"/>
          <w:lang w:val="hr-HR"/>
        </w:rPr>
        <w:t>3-4</w:t>
      </w:r>
      <w:r w:rsidR="006C47D5" w:rsidRPr="00F6590B">
        <w:rPr>
          <w:rFonts w:cs="Times New Roman"/>
          <w:szCs w:val="24"/>
          <w:lang w:val="hr-HR"/>
        </w:rPr>
        <w:t>),</w:t>
      </w:r>
      <w:r w:rsidRPr="00F6590B">
        <w:rPr>
          <w:rFonts w:cs="Times New Roman"/>
          <w:szCs w:val="24"/>
          <w:lang w:val="hr-HR"/>
        </w:rPr>
        <w:t xml:space="preserve"> 1101-1136</w:t>
      </w:r>
    </w:p>
    <w:p w14:paraId="3A9204F7" w14:textId="6D5BE525" w:rsidR="00C33F36" w:rsidRPr="00F6590B" w:rsidRDefault="00C33F36" w:rsidP="00483743">
      <w:pPr>
        <w:autoSpaceDE w:val="0"/>
        <w:autoSpaceDN w:val="0"/>
        <w:adjustRightInd w:val="0"/>
        <w:spacing w:line="480" w:lineRule="auto"/>
        <w:ind w:left="851" w:hanging="851"/>
        <w:jc w:val="left"/>
        <w:rPr>
          <w:rFonts w:cs="Times New Roman"/>
          <w:szCs w:val="24"/>
          <w:lang w:val="hr-HR"/>
        </w:rPr>
      </w:pPr>
      <w:r w:rsidRPr="00F6590B">
        <w:rPr>
          <w:rFonts w:cs="Times New Roman"/>
          <w:szCs w:val="24"/>
          <w:lang w:val="hr-HR"/>
        </w:rPr>
        <w:t>Vuković</w:t>
      </w:r>
      <w:r w:rsidR="006C47D5" w:rsidRPr="00F6590B">
        <w:rPr>
          <w:rFonts w:cs="Times New Roman"/>
          <w:szCs w:val="24"/>
          <w:lang w:val="hr-HR"/>
        </w:rPr>
        <w:t>,</w:t>
      </w:r>
      <w:r w:rsidR="00F01E71" w:rsidRPr="00F6590B">
        <w:rPr>
          <w:rFonts w:cs="Times New Roman"/>
          <w:szCs w:val="24"/>
          <w:lang w:val="hr-HR"/>
        </w:rPr>
        <w:t xml:space="preserve"> A</w:t>
      </w:r>
      <w:r w:rsidR="006C47D5" w:rsidRPr="00F6590B">
        <w:rPr>
          <w:rFonts w:cs="Times New Roman"/>
          <w:szCs w:val="24"/>
          <w:lang w:val="hr-HR"/>
        </w:rPr>
        <w:t>., &amp;</w:t>
      </w:r>
      <w:r w:rsidRPr="00F6590B">
        <w:rPr>
          <w:rFonts w:cs="Times New Roman"/>
          <w:szCs w:val="24"/>
          <w:lang w:val="hr-HR"/>
        </w:rPr>
        <w:t xml:space="preserve"> Bodul</w:t>
      </w:r>
      <w:r w:rsidR="006C47D5" w:rsidRPr="00F6590B">
        <w:rPr>
          <w:rFonts w:cs="Times New Roman"/>
          <w:szCs w:val="24"/>
          <w:lang w:val="hr-HR"/>
        </w:rPr>
        <w:t>,</w:t>
      </w:r>
      <w:r w:rsidR="00F01E71" w:rsidRPr="00F6590B">
        <w:rPr>
          <w:rFonts w:cs="Times New Roman"/>
          <w:szCs w:val="24"/>
          <w:lang w:val="hr-HR"/>
        </w:rPr>
        <w:t xml:space="preserve"> D</w:t>
      </w:r>
      <w:r w:rsidR="006C47D5" w:rsidRPr="00F6590B">
        <w:rPr>
          <w:rFonts w:cs="Times New Roman"/>
          <w:szCs w:val="24"/>
          <w:lang w:val="hr-HR"/>
        </w:rPr>
        <w:t>. (2012).</w:t>
      </w:r>
      <w:r w:rsidRPr="00F6590B">
        <w:rPr>
          <w:rFonts w:cs="Times New Roman"/>
          <w:szCs w:val="24"/>
          <w:lang w:val="hr-HR"/>
        </w:rPr>
        <w:t xml:space="preserve"> Stečajno zakonodavstvo u tranziciji - komparativni osvrt, hrvatski izazovi i potencijalna rješenja</w:t>
      </w:r>
      <w:r w:rsidR="006C47D5" w:rsidRPr="00F6590B">
        <w:rPr>
          <w:rFonts w:cs="Times New Roman"/>
          <w:szCs w:val="24"/>
          <w:lang w:val="hr-HR"/>
        </w:rPr>
        <w:t>.</w:t>
      </w:r>
      <w:r w:rsidRPr="00F6590B">
        <w:rPr>
          <w:rFonts w:cs="Times New Roman"/>
          <w:szCs w:val="24"/>
          <w:lang w:val="hr-HR"/>
        </w:rPr>
        <w:t xml:space="preserve"> Zbornik radova Pravnog fakulteta u Splitu, </w:t>
      </w:r>
      <w:r w:rsidR="006C47D5" w:rsidRPr="00F6590B">
        <w:rPr>
          <w:rFonts w:cs="Times New Roman"/>
          <w:szCs w:val="24"/>
          <w:lang w:val="hr-HR"/>
        </w:rPr>
        <w:t>49(3)</w:t>
      </w:r>
      <w:r w:rsidRPr="00F6590B">
        <w:rPr>
          <w:rFonts w:cs="Times New Roman"/>
          <w:szCs w:val="24"/>
          <w:lang w:val="hr-HR"/>
        </w:rPr>
        <w:t>, 633-661</w:t>
      </w:r>
    </w:p>
    <w:p w14:paraId="48D64D63" w14:textId="42D5D3B2" w:rsidR="00EB3524" w:rsidRPr="00F6590B" w:rsidRDefault="00EB3524" w:rsidP="00483743">
      <w:pPr>
        <w:autoSpaceDE w:val="0"/>
        <w:autoSpaceDN w:val="0"/>
        <w:adjustRightInd w:val="0"/>
        <w:spacing w:line="480" w:lineRule="auto"/>
        <w:ind w:left="851" w:hanging="851"/>
        <w:jc w:val="left"/>
        <w:rPr>
          <w:rFonts w:cs="Times New Roman"/>
          <w:szCs w:val="24"/>
          <w:lang w:val="hr-HR"/>
        </w:rPr>
      </w:pPr>
      <w:proofErr w:type="spellStart"/>
      <w:r w:rsidRPr="00F6590B">
        <w:rPr>
          <w:rFonts w:cs="Times New Roman"/>
          <w:szCs w:val="24"/>
          <w:lang w:val="hr-HR"/>
        </w:rPr>
        <w:t>Zenzerović</w:t>
      </w:r>
      <w:proofErr w:type="spellEnd"/>
      <w:r w:rsidR="006C47D5" w:rsidRPr="00F6590B">
        <w:rPr>
          <w:rFonts w:cs="Times New Roman"/>
          <w:szCs w:val="24"/>
          <w:lang w:val="hr-HR"/>
        </w:rPr>
        <w:t>,</w:t>
      </w:r>
      <w:r w:rsidR="00F01E71" w:rsidRPr="00F6590B">
        <w:rPr>
          <w:rFonts w:cs="Times New Roman"/>
          <w:szCs w:val="24"/>
          <w:lang w:val="hr-HR"/>
        </w:rPr>
        <w:t xml:space="preserve"> R</w:t>
      </w:r>
      <w:r w:rsidR="006C47D5" w:rsidRPr="00F6590B">
        <w:rPr>
          <w:rFonts w:cs="Times New Roman"/>
          <w:szCs w:val="24"/>
          <w:lang w:val="hr-HR"/>
        </w:rPr>
        <w:t>., &amp;</w:t>
      </w:r>
      <w:r w:rsidRPr="00F6590B">
        <w:rPr>
          <w:rFonts w:cs="Times New Roman"/>
          <w:szCs w:val="24"/>
          <w:lang w:val="hr-HR"/>
        </w:rPr>
        <w:t xml:space="preserve"> Peruško</w:t>
      </w:r>
      <w:r w:rsidR="006C47D5" w:rsidRPr="00F6590B">
        <w:rPr>
          <w:rFonts w:cs="Times New Roman"/>
          <w:szCs w:val="24"/>
          <w:lang w:val="hr-HR"/>
        </w:rPr>
        <w:t>,</w:t>
      </w:r>
      <w:r w:rsidR="00F01E71" w:rsidRPr="00F6590B">
        <w:rPr>
          <w:rFonts w:cs="Times New Roman"/>
          <w:szCs w:val="24"/>
          <w:lang w:val="hr-HR"/>
        </w:rPr>
        <w:t xml:space="preserve"> T</w:t>
      </w:r>
      <w:r w:rsidR="006C47D5" w:rsidRPr="00F6590B">
        <w:rPr>
          <w:rFonts w:cs="Times New Roman"/>
          <w:szCs w:val="24"/>
          <w:lang w:val="hr-HR"/>
        </w:rPr>
        <w:t>.</w:t>
      </w:r>
      <w:r w:rsidR="00296E3C" w:rsidRPr="00F6590B">
        <w:rPr>
          <w:rFonts w:cs="Times New Roman"/>
          <w:szCs w:val="24"/>
          <w:lang w:val="hr-HR"/>
        </w:rPr>
        <w:t xml:space="preserve"> </w:t>
      </w:r>
      <w:r w:rsidR="006C47D5" w:rsidRPr="00F6590B">
        <w:rPr>
          <w:rFonts w:cs="Times New Roman"/>
          <w:szCs w:val="24"/>
          <w:lang w:val="hr-HR"/>
        </w:rPr>
        <w:t>(2006).</w:t>
      </w:r>
      <w:r w:rsidRPr="00F6590B">
        <w:rPr>
          <w:rFonts w:cs="Times New Roman"/>
          <w:szCs w:val="24"/>
          <w:lang w:val="hr-HR"/>
        </w:rPr>
        <w:t xml:space="preserve"> Kratki osvrt na modele za predvi</w:t>
      </w:r>
      <w:r w:rsidR="006C47D5" w:rsidRPr="00F6590B">
        <w:rPr>
          <w:rFonts w:cs="Times New Roman"/>
          <w:szCs w:val="24"/>
          <w:lang w:val="hr-HR"/>
        </w:rPr>
        <w:t>đ</w:t>
      </w:r>
      <w:r w:rsidRPr="00F6590B">
        <w:rPr>
          <w:rFonts w:cs="Times New Roman"/>
          <w:szCs w:val="24"/>
          <w:lang w:val="hr-HR"/>
        </w:rPr>
        <w:t xml:space="preserve">anje stečaja, </w:t>
      </w:r>
      <w:r w:rsidRPr="00F6590B">
        <w:rPr>
          <w:rFonts w:cs="Times New Roman"/>
          <w:i/>
          <w:szCs w:val="24"/>
          <w:lang w:val="hr-HR"/>
        </w:rPr>
        <w:t>Ekonomska istraživanja</w:t>
      </w:r>
      <w:r w:rsidRPr="00F6590B">
        <w:rPr>
          <w:rFonts w:cs="Times New Roman"/>
          <w:szCs w:val="24"/>
          <w:lang w:val="hr-HR"/>
        </w:rPr>
        <w:t>, 19</w:t>
      </w:r>
      <w:r w:rsidR="006C47D5" w:rsidRPr="00F6590B">
        <w:rPr>
          <w:rFonts w:cs="Times New Roman"/>
          <w:szCs w:val="24"/>
          <w:lang w:val="hr-HR"/>
        </w:rPr>
        <w:t>(2)</w:t>
      </w:r>
      <w:r w:rsidRPr="00F6590B">
        <w:rPr>
          <w:rFonts w:cs="Times New Roman"/>
          <w:szCs w:val="24"/>
          <w:lang w:val="hr-HR"/>
        </w:rPr>
        <w:t>, 132-151</w:t>
      </w:r>
    </w:p>
    <w:sectPr w:rsidR="00EB3524" w:rsidRPr="00F6590B" w:rsidSect="00EB47EA">
      <w:footerReference w:type="default" r:id="rId1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FA60E" w14:textId="77777777" w:rsidR="001E4CF9" w:rsidRDefault="001E4CF9" w:rsidP="00947058">
      <w:pPr>
        <w:spacing w:line="240" w:lineRule="auto"/>
      </w:pPr>
      <w:r>
        <w:separator/>
      </w:r>
    </w:p>
  </w:endnote>
  <w:endnote w:type="continuationSeparator" w:id="0">
    <w:p w14:paraId="4C9C22A5" w14:textId="77777777" w:rsidR="001E4CF9" w:rsidRDefault="001E4CF9" w:rsidP="00947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limbach-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70379"/>
      <w:docPartObj>
        <w:docPartGallery w:val="Page Numbers (Bottom of Page)"/>
        <w:docPartUnique/>
      </w:docPartObj>
    </w:sdtPr>
    <w:sdtEndPr/>
    <w:sdtContent>
      <w:p w14:paraId="0DD62716" w14:textId="64418687" w:rsidR="001C3A23" w:rsidRDefault="001C3A23" w:rsidP="00947058">
        <w:pPr>
          <w:pStyle w:val="Footer"/>
          <w:ind w:firstLine="0"/>
          <w:jc w:val="center"/>
        </w:pPr>
        <w:r>
          <w:fldChar w:fldCharType="begin"/>
        </w:r>
        <w:r>
          <w:instrText>PAGE   \* MERGEFORMAT</w:instrText>
        </w:r>
        <w:r>
          <w:fldChar w:fldCharType="separate"/>
        </w:r>
        <w:r w:rsidR="008925EC" w:rsidRPr="008925EC">
          <w:rPr>
            <w:noProof/>
            <w:lang w:val="hr-HR"/>
          </w:rPr>
          <w:t>17</w:t>
        </w:r>
        <w:r>
          <w:fldChar w:fldCharType="end"/>
        </w:r>
      </w:p>
    </w:sdtContent>
  </w:sdt>
  <w:p w14:paraId="3D397CC7" w14:textId="77777777" w:rsidR="001C3A23" w:rsidRDefault="001C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F98C" w14:textId="77777777" w:rsidR="001E4CF9" w:rsidRDefault="001E4CF9" w:rsidP="00947058">
      <w:pPr>
        <w:spacing w:line="240" w:lineRule="auto"/>
      </w:pPr>
      <w:r>
        <w:separator/>
      </w:r>
    </w:p>
  </w:footnote>
  <w:footnote w:type="continuationSeparator" w:id="0">
    <w:p w14:paraId="02E49147" w14:textId="77777777" w:rsidR="001E4CF9" w:rsidRDefault="001E4CF9" w:rsidP="00947058">
      <w:pPr>
        <w:spacing w:line="240" w:lineRule="auto"/>
      </w:pPr>
      <w:r>
        <w:continuationSeparator/>
      </w:r>
    </w:p>
  </w:footnote>
  <w:footnote w:id="1">
    <w:p w14:paraId="10BF0C25" w14:textId="0504B794" w:rsidR="001C3A23" w:rsidRPr="0067256F" w:rsidRDefault="001C3A23" w:rsidP="00626C13">
      <w:pPr>
        <w:pStyle w:val="FootnoteText"/>
        <w:rPr>
          <w:lang w:val="hr-HR"/>
        </w:rPr>
      </w:pPr>
      <w:r w:rsidRPr="0067256F">
        <w:rPr>
          <w:rStyle w:val="FootnoteReference"/>
          <w:lang w:val="hr-HR"/>
        </w:rPr>
        <w:footnoteRef/>
      </w:r>
      <w:r w:rsidRPr="0067256F">
        <w:rPr>
          <w:lang w:val="hr-HR"/>
        </w:rPr>
        <w:t xml:space="preserve"> Ovdje se podrazumijeva temeljna distinkcija poštenih i nepoštenih stečajnih dužnika.</w:t>
      </w:r>
    </w:p>
  </w:footnote>
  <w:footnote w:id="2">
    <w:p w14:paraId="53BBFCCA" w14:textId="38EE89F6" w:rsidR="001C3A23" w:rsidRPr="0067256F" w:rsidRDefault="001C3A23">
      <w:pPr>
        <w:pStyle w:val="FootnoteText"/>
        <w:rPr>
          <w:lang w:val="hr-HR"/>
        </w:rPr>
      </w:pPr>
      <w:r w:rsidRPr="0067256F">
        <w:rPr>
          <w:rStyle w:val="FootnoteReference"/>
          <w:lang w:val="hr-HR"/>
        </w:rPr>
        <w:footnoteRef/>
      </w:r>
      <w:r w:rsidRPr="0067256F">
        <w:rPr>
          <w:lang w:val="hr-HR"/>
        </w:rPr>
        <w:t xml:space="preserve"> Termin zasad nema adekvatnog prijevoda na hrvatski jezik, a označava pokušaj ishođenja povoljnije presude ili odluke odabirom jurisdikcije koju osoba smatra pogodnijom.</w:t>
      </w:r>
    </w:p>
  </w:footnote>
  <w:footnote w:id="3">
    <w:p w14:paraId="465833FA" w14:textId="10EC2C31" w:rsidR="001C3A23" w:rsidRPr="0067256F" w:rsidRDefault="001C3A23">
      <w:pPr>
        <w:pStyle w:val="FootnoteText"/>
        <w:rPr>
          <w:lang w:val="hr-HR"/>
        </w:rPr>
      </w:pPr>
      <w:r w:rsidRPr="0067256F">
        <w:rPr>
          <w:rStyle w:val="FootnoteReference"/>
          <w:lang w:val="hr-HR"/>
        </w:rPr>
        <w:footnoteRef/>
      </w:r>
      <w:r w:rsidRPr="0067256F">
        <w:rPr>
          <w:lang w:val="hr-HR"/>
        </w:rPr>
        <w:t xml:space="preserve"> Kad god se prodaje neka rabljena imovina najčešće se ne može postići dobra cijena ako se prodaja radi po žurnom postupku.</w:t>
      </w:r>
    </w:p>
  </w:footnote>
  <w:footnote w:id="4">
    <w:p w14:paraId="42BF53D2" w14:textId="6DFB2E24" w:rsidR="001C3A23" w:rsidRPr="0067256F" w:rsidRDefault="001C3A23">
      <w:pPr>
        <w:pStyle w:val="FootnoteText"/>
        <w:rPr>
          <w:lang w:val="hr-HR"/>
        </w:rPr>
      </w:pPr>
      <w:r w:rsidRPr="0067256F">
        <w:rPr>
          <w:rStyle w:val="FootnoteReference"/>
          <w:lang w:val="hr-HR"/>
        </w:rPr>
        <w:footnoteRef/>
      </w:r>
      <w:r w:rsidRPr="0067256F">
        <w:rPr>
          <w:lang w:val="hr-HR"/>
        </w:rPr>
        <w:t xml:space="preserve"> Dostupno na adresi: http://www.coe.int/t/dghl/cooperation/cepej/evaluation/2012/Croatia_en.pdf (pristupljeno 14.08.2013.)</w:t>
      </w:r>
    </w:p>
  </w:footnote>
  <w:footnote w:id="5">
    <w:p w14:paraId="006B91FF" w14:textId="01506B25" w:rsidR="001C3A23" w:rsidRPr="00377C4A" w:rsidRDefault="001C3A23">
      <w:pPr>
        <w:pStyle w:val="FootnoteText"/>
        <w:rPr>
          <w:lang w:val="hr-HR"/>
        </w:rPr>
      </w:pPr>
      <w:r>
        <w:rPr>
          <w:rStyle w:val="FootnoteReference"/>
        </w:rPr>
        <w:footnoteRef/>
      </w:r>
      <w:r>
        <w:t xml:space="preserve"> </w:t>
      </w:r>
      <w:r w:rsidRPr="00377C4A">
        <w:t>http://www.mprh.hr/projekt-ipa-2010-jacanje-ucinkovitosti-pravosuda-u</w:t>
      </w:r>
      <w:r>
        <w:t xml:space="preserve"> </w:t>
      </w:r>
      <w:r w:rsidRPr="0067256F">
        <w:rPr>
          <w:lang w:val="hr-HR"/>
        </w:rPr>
        <w:t>(pristupljeno 14.08.2013.)</w:t>
      </w:r>
    </w:p>
  </w:footnote>
  <w:footnote w:id="6">
    <w:p w14:paraId="3D038AE9" w14:textId="2F4B7FBA" w:rsidR="001C3A23" w:rsidRPr="0067256F" w:rsidRDefault="001C3A23" w:rsidP="003653B8">
      <w:pPr>
        <w:pStyle w:val="FootnoteText"/>
        <w:rPr>
          <w:lang w:val="hr-HR"/>
        </w:rPr>
      </w:pPr>
      <w:r w:rsidRPr="0067256F">
        <w:rPr>
          <w:rStyle w:val="FootnoteReference"/>
          <w:lang w:val="hr-HR"/>
        </w:rPr>
        <w:footnoteRef/>
      </w:r>
      <w:r w:rsidRPr="0067256F">
        <w:rPr>
          <w:lang w:val="hr-HR"/>
        </w:rPr>
        <w:t xml:space="preserve"> </w:t>
      </w:r>
      <w:r>
        <w:rPr>
          <w:lang w:val="hr-HR"/>
        </w:rPr>
        <w:t>Dostupno na službenim stranicama Hrvatskog sabora: http://</w:t>
      </w:r>
      <w:r w:rsidRPr="00240214">
        <w:rPr>
          <w:lang w:val="hr-HR"/>
        </w:rPr>
        <w:t>www.sabor.hr/fgs.axd?id=20528</w:t>
      </w:r>
      <w:r>
        <w:rPr>
          <w:lang w:val="hr-HR"/>
        </w:rPr>
        <w:t xml:space="preserve"> </w:t>
      </w:r>
      <w:r w:rsidRPr="0067256F">
        <w:rPr>
          <w:lang w:val="hr-HR"/>
        </w:rPr>
        <w:t xml:space="preserve">(pristupljeno </w:t>
      </w:r>
      <w:r>
        <w:rPr>
          <w:lang w:val="hr-HR"/>
        </w:rPr>
        <w:t>01</w:t>
      </w:r>
      <w:r w:rsidRPr="0067256F">
        <w:rPr>
          <w:lang w:val="hr-HR"/>
        </w:rPr>
        <w:t>.0</w:t>
      </w:r>
      <w:r>
        <w:rPr>
          <w:lang w:val="hr-HR"/>
        </w:rPr>
        <w:t>9</w:t>
      </w:r>
      <w:r w:rsidRPr="0067256F">
        <w:rPr>
          <w:lang w:val="hr-HR"/>
        </w:rPr>
        <w:t>.201</w:t>
      </w:r>
      <w:r>
        <w:rPr>
          <w:lang w:val="hr-HR"/>
        </w:rPr>
        <w:t>3</w:t>
      </w:r>
      <w:r w:rsidRPr="0067256F">
        <w:rPr>
          <w:lang w:val="hr-HR"/>
        </w:rPr>
        <w:t>.)</w:t>
      </w:r>
      <w:r>
        <w:rPr>
          <w:lang w:val="hr-HR"/>
        </w:rPr>
        <w:t>.</w:t>
      </w:r>
    </w:p>
  </w:footnote>
  <w:footnote w:id="7">
    <w:p w14:paraId="50709523" w14:textId="787288C5" w:rsidR="001C3A23" w:rsidRPr="0067256F" w:rsidRDefault="001C3A23" w:rsidP="0087470E">
      <w:pPr>
        <w:pStyle w:val="FootnoteText"/>
        <w:rPr>
          <w:lang w:val="hr-HR"/>
        </w:rPr>
      </w:pPr>
      <w:r w:rsidRPr="0067256F">
        <w:rPr>
          <w:rStyle w:val="FootnoteReference"/>
          <w:lang w:val="hr-HR"/>
        </w:rPr>
        <w:footnoteRef/>
      </w:r>
      <w:r w:rsidRPr="0067256F">
        <w:rPr>
          <w:lang w:val="hr-HR"/>
        </w:rPr>
        <w:t xml:space="preserve"> Autor ovoga rada u više je navrata kroz duži niz godina pokušavao kompilirati sličnu bazu, ali je najčešće naišao na nespremnost sudova ka iznošenju detaljnijih podataka; očito je navedena politička stranka imala veću snagu utjecaja, premda su i oni tek nakon višestrukog slanja službenih požurnica više mjeseci nakon inicijalnog zahtjeva dobili podatke, i to nepotpune.</w:t>
      </w:r>
    </w:p>
  </w:footnote>
  <w:footnote w:id="8">
    <w:p w14:paraId="608F100B" w14:textId="576B8021" w:rsidR="001C3A23" w:rsidRPr="0067256F" w:rsidRDefault="001C3A23">
      <w:pPr>
        <w:pStyle w:val="FootnoteText"/>
        <w:rPr>
          <w:lang w:val="hr-HR"/>
        </w:rPr>
      </w:pPr>
      <w:r w:rsidRPr="0067256F">
        <w:rPr>
          <w:rStyle w:val="FootnoteReference"/>
          <w:lang w:val="hr-HR"/>
        </w:rPr>
        <w:footnoteRef/>
      </w:r>
      <w:r w:rsidRPr="0067256F">
        <w:rPr>
          <w:lang w:val="hr-HR"/>
        </w:rPr>
        <w:t xml:space="preserve"> Izvor: Izvješće Ministarstva financija, http://www.mfin.hr/adminmax/docs/Prezentacija130726.pps (pristupljeno na dan 1.8.2013.)</w:t>
      </w:r>
    </w:p>
  </w:footnote>
  <w:footnote w:id="9">
    <w:p w14:paraId="6D162B24" w14:textId="77777777" w:rsidR="001C3A23" w:rsidRPr="001C3A23" w:rsidRDefault="001C3A23" w:rsidP="001C3A23">
      <w:pPr>
        <w:pStyle w:val="FootnoteText"/>
        <w:rPr>
          <w:lang w:val="hr-HR"/>
        </w:rPr>
      </w:pPr>
      <w:r>
        <w:rPr>
          <w:rStyle w:val="FootnoteReference"/>
        </w:rPr>
        <w:footnoteRef/>
      </w:r>
      <w:r>
        <w:t xml:space="preserve"> </w:t>
      </w:r>
      <w:r w:rsidRPr="001C3A23">
        <w:rPr>
          <w:szCs w:val="24"/>
          <w:lang w:val="hr-HR"/>
        </w:rPr>
        <w:t>Greene, 2008: 11-19; Kennedy, 2008: 41-42</w:t>
      </w:r>
    </w:p>
  </w:footnote>
  <w:footnote w:id="10">
    <w:p w14:paraId="4DADC9FE" w14:textId="46A5D821" w:rsidR="001C3A23" w:rsidRPr="000E070F" w:rsidRDefault="001C3A23" w:rsidP="000E070F">
      <w:pPr>
        <w:pStyle w:val="FootnoteText"/>
        <w:rPr>
          <w:lang w:val="hr-HR"/>
        </w:rPr>
      </w:pPr>
      <w:r>
        <w:rPr>
          <w:rStyle w:val="FootnoteReference"/>
        </w:rPr>
        <w:footnoteRef/>
      </w:r>
      <w:r>
        <w:t xml:space="preserve"> </w:t>
      </w:r>
      <w:proofErr w:type="spellStart"/>
      <w:r w:rsidRPr="000E070F">
        <w:rPr>
          <w:i/>
        </w:rPr>
        <w:t>lnRIJESENI</w:t>
      </w:r>
      <w:proofErr w:type="spellEnd"/>
      <w:r>
        <w:t>[</w:t>
      </w:r>
      <w:proofErr w:type="spellStart"/>
      <w:r>
        <w:t>i</w:t>
      </w:r>
      <w:proofErr w:type="spellEnd"/>
      <w:r>
        <w:t xml:space="preserve">, t] = </w:t>
      </w:r>
      <w:proofErr w:type="spellStart"/>
      <w:r>
        <w:t>Xb</w:t>
      </w:r>
      <w:proofErr w:type="spellEnd"/>
      <w:r>
        <w:t xml:space="preserve"> + u[i] + e[</w:t>
      </w:r>
      <w:proofErr w:type="spellStart"/>
      <w:r>
        <w:t>i</w:t>
      </w:r>
      <w:proofErr w:type="spellEnd"/>
      <w:r>
        <w:t xml:space="preserve">, t]; test: </w:t>
      </w:r>
      <w:proofErr w:type="spellStart"/>
      <w:r>
        <w:t>Var</w:t>
      </w:r>
      <w:proofErr w:type="spellEnd"/>
      <w:r>
        <w:t>(u) = 0; χ2bar (01) = 0,00; P &gt; χ</w:t>
      </w:r>
      <w:r w:rsidRPr="000E070F">
        <w:rPr>
          <w:vertAlign w:val="superscript"/>
        </w:rPr>
        <w:t>2</w:t>
      </w:r>
      <w:r>
        <w:t>bar = 1,000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5B2"/>
    <w:multiLevelType w:val="hybridMultilevel"/>
    <w:tmpl w:val="44C487FC"/>
    <w:lvl w:ilvl="0" w:tplc="C2DE5E9E">
      <w:start w:val="1"/>
      <w:numFmt w:val="lowerLetter"/>
      <w:lvlText w:val="%1)"/>
      <w:lvlJc w:val="left"/>
      <w:pPr>
        <w:ind w:left="1040" w:hanging="36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1">
    <w:nsid w:val="1D0D265E"/>
    <w:multiLevelType w:val="hybridMultilevel"/>
    <w:tmpl w:val="2B887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85547FE"/>
    <w:multiLevelType w:val="hybridMultilevel"/>
    <w:tmpl w:val="58E0E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5411287"/>
    <w:multiLevelType w:val="hybridMultilevel"/>
    <w:tmpl w:val="CDC6BE6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67B74EE"/>
    <w:multiLevelType w:val="hybridMultilevel"/>
    <w:tmpl w:val="4628DA9C"/>
    <w:lvl w:ilvl="0" w:tplc="34340530">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57553358"/>
    <w:multiLevelType w:val="hybridMultilevel"/>
    <w:tmpl w:val="05BEB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F79784C"/>
    <w:multiLevelType w:val="hybridMultilevel"/>
    <w:tmpl w:val="A0C672D6"/>
    <w:lvl w:ilvl="0" w:tplc="57642CB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nsid w:val="68EB4B2A"/>
    <w:multiLevelType w:val="hybridMultilevel"/>
    <w:tmpl w:val="BF8851D4"/>
    <w:lvl w:ilvl="0" w:tplc="041A0011">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nsid w:val="6AB20B8E"/>
    <w:multiLevelType w:val="hybridMultilevel"/>
    <w:tmpl w:val="FC24A21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D765B37"/>
    <w:multiLevelType w:val="hybridMultilevel"/>
    <w:tmpl w:val="18E2F488"/>
    <w:lvl w:ilvl="0" w:tplc="9A149ED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2"/>
  </w:num>
  <w:num w:numId="2">
    <w:abstractNumId w:val="9"/>
  </w:num>
  <w:num w:numId="3">
    <w:abstractNumId w:val="6"/>
  </w:num>
  <w:num w:numId="4">
    <w:abstractNumId w:val="0"/>
  </w:num>
  <w:num w:numId="5">
    <w:abstractNumId w:val="4"/>
  </w:num>
  <w:num w:numId="6">
    <w:abstractNumId w:val="1"/>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2"/>
    <w:rsid w:val="00034629"/>
    <w:rsid w:val="00041320"/>
    <w:rsid w:val="00050699"/>
    <w:rsid w:val="0005399B"/>
    <w:rsid w:val="000553BC"/>
    <w:rsid w:val="00062712"/>
    <w:rsid w:val="00064D38"/>
    <w:rsid w:val="00065856"/>
    <w:rsid w:val="00086D65"/>
    <w:rsid w:val="000B0AAA"/>
    <w:rsid w:val="000B37BF"/>
    <w:rsid w:val="000D48DC"/>
    <w:rsid w:val="000E070F"/>
    <w:rsid w:val="000F56F3"/>
    <w:rsid w:val="001214C0"/>
    <w:rsid w:val="001226DC"/>
    <w:rsid w:val="00124BDF"/>
    <w:rsid w:val="00131497"/>
    <w:rsid w:val="00141E48"/>
    <w:rsid w:val="00142CB0"/>
    <w:rsid w:val="00145E5F"/>
    <w:rsid w:val="00150142"/>
    <w:rsid w:val="001525AB"/>
    <w:rsid w:val="001539FC"/>
    <w:rsid w:val="001571F5"/>
    <w:rsid w:val="00190102"/>
    <w:rsid w:val="0019028F"/>
    <w:rsid w:val="00197846"/>
    <w:rsid w:val="001B5CB6"/>
    <w:rsid w:val="001C26DF"/>
    <w:rsid w:val="001C34AD"/>
    <w:rsid w:val="001C3A23"/>
    <w:rsid w:val="001C7CBF"/>
    <w:rsid w:val="001D2239"/>
    <w:rsid w:val="001E4CF9"/>
    <w:rsid w:val="001F5C98"/>
    <w:rsid w:val="00201E0A"/>
    <w:rsid w:val="002218F0"/>
    <w:rsid w:val="002275AB"/>
    <w:rsid w:val="0023155C"/>
    <w:rsid w:val="00234D86"/>
    <w:rsid w:val="002356FA"/>
    <w:rsid w:val="00240214"/>
    <w:rsid w:val="00242AB4"/>
    <w:rsid w:val="00242B61"/>
    <w:rsid w:val="00246E53"/>
    <w:rsid w:val="002702D6"/>
    <w:rsid w:val="002717CC"/>
    <w:rsid w:val="00272CF8"/>
    <w:rsid w:val="002748BF"/>
    <w:rsid w:val="00277069"/>
    <w:rsid w:val="0028139F"/>
    <w:rsid w:val="00286CD9"/>
    <w:rsid w:val="00296E3C"/>
    <w:rsid w:val="002A197B"/>
    <w:rsid w:val="002A24CF"/>
    <w:rsid w:val="002A31FC"/>
    <w:rsid w:val="002B296A"/>
    <w:rsid w:val="002B332D"/>
    <w:rsid w:val="002C2EEB"/>
    <w:rsid w:val="002C5FF9"/>
    <w:rsid w:val="002D2369"/>
    <w:rsid w:val="002D65D5"/>
    <w:rsid w:val="002D6CC5"/>
    <w:rsid w:val="002E0A66"/>
    <w:rsid w:val="00302525"/>
    <w:rsid w:val="00313EEF"/>
    <w:rsid w:val="003219ED"/>
    <w:rsid w:val="003340D7"/>
    <w:rsid w:val="0033711C"/>
    <w:rsid w:val="00353459"/>
    <w:rsid w:val="00357433"/>
    <w:rsid w:val="003625A4"/>
    <w:rsid w:val="003653B8"/>
    <w:rsid w:val="00370A76"/>
    <w:rsid w:val="00377C4A"/>
    <w:rsid w:val="00381720"/>
    <w:rsid w:val="00381AF0"/>
    <w:rsid w:val="00382602"/>
    <w:rsid w:val="00383C06"/>
    <w:rsid w:val="003973AF"/>
    <w:rsid w:val="003A5DF5"/>
    <w:rsid w:val="003A6126"/>
    <w:rsid w:val="003A6227"/>
    <w:rsid w:val="003C08B4"/>
    <w:rsid w:val="003C0E73"/>
    <w:rsid w:val="003D293F"/>
    <w:rsid w:val="003E4C3D"/>
    <w:rsid w:val="003E5098"/>
    <w:rsid w:val="003F47C4"/>
    <w:rsid w:val="003F6BAA"/>
    <w:rsid w:val="003F7448"/>
    <w:rsid w:val="004107D0"/>
    <w:rsid w:val="00412A9F"/>
    <w:rsid w:val="00422CCA"/>
    <w:rsid w:val="00423E7A"/>
    <w:rsid w:val="00426B40"/>
    <w:rsid w:val="00433088"/>
    <w:rsid w:val="004347AC"/>
    <w:rsid w:val="00453197"/>
    <w:rsid w:val="004538D7"/>
    <w:rsid w:val="0045572A"/>
    <w:rsid w:val="00464786"/>
    <w:rsid w:val="004709B5"/>
    <w:rsid w:val="00482DAE"/>
    <w:rsid w:val="00483743"/>
    <w:rsid w:val="004A425A"/>
    <w:rsid w:val="004A5FD9"/>
    <w:rsid w:val="004B4B2A"/>
    <w:rsid w:val="004B687D"/>
    <w:rsid w:val="004C3F84"/>
    <w:rsid w:val="004C46A8"/>
    <w:rsid w:val="004C5262"/>
    <w:rsid w:val="004E3499"/>
    <w:rsid w:val="004E3CC0"/>
    <w:rsid w:val="004E580F"/>
    <w:rsid w:val="004E7CFB"/>
    <w:rsid w:val="004F6128"/>
    <w:rsid w:val="0050245E"/>
    <w:rsid w:val="0050626B"/>
    <w:rsid w:val="005112C3"/>
    <w:rsid w:val="0051477B"/>
    <w:rsid w:val="00524123"/>
    <w:rsid w:val="00532723"/>
    <w:rsid w:val="005369DA"/>
    <w:rsid w:val="00541DEB"/>
    <w:rsid w:val="005624B5"/>
    <w:rsid w:val="005679E3"/>
    <w:rsid w:val="0057129F"/>
    <w:rsid w:val="005716E2"/>
    <w:rsid w:val="00574A29"/>
    <w:rsid w:val="00576325"/>
    <w:rsid w:val="00577FE8"/>
    <w:rsid w:val="0058115B"/>
    <w:rsid w:val="005831D8"/>
    <w:rsid w:val="005852F7"/>
    <w:rsid w:val="00587E00"/>
    <w:rsid w:val="00587EC7"/>
    <w:rsid w:val="00590ABB"/>
    <w:rsid w:val="005A2B17"/>
    <w:rsid w:val="005A2E89"/>
    <w:rsid w:val="005A3156"/>
    <w:rsid w:val="005A5B52"/>
    <w:rsid w:val="005B3003"/>
    <w:rsid w:val="005B53B4"/>
    <w:rsid w:val="005D0334"/>
    <w:rsid w:val="005D3402"/>
    <w:rsid w:val="005D55B1"/>
    <w:rsid w:val="005D6D81"/>
    <w:rsid w:val="005E397F"/>
    <w:rsid w:val="005E47E5"/>
    <w:rsid w:val="005E684D"/>
    <w:rsid w:val="005E7E70"/>
    <w:rsid w:val="006006F3"/>
    <w:rsid w:val="00604C30"/>
    <w:rsid w:val="00604E4A"/>
    <w:rsid w:val="00610E08"/>
    <w:rsid w:val="00611114"/>
    <w:rsid w:val="00611307"/>
    <w:rsid w:val="0061154B"/>
    <w:rsid w:val="00616811"/>
    <w:rsid w:val="00617FF9"/>
    <w:rsid w:val="0062121D"/>
    <w:rsid w:val="00622CAE"/>
    <w:rsid w:val="0062602C"/>
    <w:rsid w:val="00626C13"/>
    <w:rsid w:val="006376DB"/>
    <w:rsid w:val="00650C99"/>
    <w:rsid w:val="0067256F"/>
    <w:rsid w:val="0068272F"/>
    <w:rsid w:val="00683446"/>
    <w:rsid w:val="00687F65"/>
    <w:rsid w:val="0069283D"/>
    <w:rsid w:val="006A3BF7"/>
    <w:rsid w:val="006C0DEE"/>
    <w:rsid w:val="006C3E3B"/>
    <w:rsid w:val="006C47D5"/>
    <w:rsid w:val="006D407C"/>
    <w:rsid w:val="006E2392"/>
    <w:rsid w:val="006F0759"/>
    <w:rsid w:val="007073B9"/>
    <w:rsid w:val="00712A78"/>
    <w:rsid w:val="0071625E"/>
    <w:rsid w:val="00716BD8"/>
    <w:rsid w:val="007247CB"/>
    <w:rsid w:val="0072788B"/>
    <w:rsid w:val="007416EB"/>
    <w:rsid w:val="00742DC9"/>
    <w:rsid w:val="00743D2B"/>
    <w:rsid w:val="00752585"/>
    <w:rsid w:val="00754456"/>
    <w:rsid w:val="00757FB3"/>
    <w:rsid w:val="007614B4"/>
    <w:rsid w:val="007805A6"/>
    <w:rsid w:val="00781AFE"/>
    <w:rsid w:val="00791BD1"/>
    <w:rsid w:val="00796C61"/>
    <w:rsid w:val="007A5EAA"/>
    <w:rsid w:val="007B2CE8"/>
    <w:rsid w:val="007D13ED"/>
    <w:rsid w:val="007D5ECD"/>
    <w:rsid w:val="007D6921"/>
    <w:rsid w:val="007E7289"/>
    <w:rsid w:val="007F1E33"/>
    <w:rsid w:val="008119F3"/>
    <w:rsid w:val="0083182B"/>
    <w:rsid w:val="00833ACF"/>
    <w:rsid w:val="008449F1"/>
    <w:rsid w:val="008458AE"/>
    <w:rsid w:val="00847F7A"/>
    <w:rsid w:val="008502A2"/>
    <w:rsid w:val="00855637"/>
    <w:rsid w:val="00870E97"/>
    <w:rsid w:val="00873CE6"/>
    <w:rsid w:val="0087470E"/>
    <w:rsid w:val="00877EF1"/>
    <w:rsid w:val="00881327"/>
    <w:rsid w:val="008925EC"/>
    <w:rsid w:val="00892C28"/>
    <w:rsid w:val="008B7328"/>
    <w:rsid w:val="008B7C1A"/>
    <w:rsid w:val="008C0BA1"/>
    <w:rsid w:val="008C7B14"/>
    <w:rsid w:val="008F402F"/>
    <w:rsid w:val="008F7F94"/>
    <w:rsid w:val="009000C0"/>
    <w:rsid w:val="00900900"/>
    <w:rsid w:val="00910C76"/>
    <w:rsid w:val="00912922"/>
    <w:rsid w:val="00915916"/>
    <w:rsid w:val="009160D3"/>
    <w:rsid w:val="0091620F"/>
    <w:rsid w:val="009262D1"/>
    <w:rsid w:val="00933BCB"/>
    <w:rsid w:val="0093636A"/>
    <w:rsid w:val="00943451"/>
    <w:rsid w:val="00947058"/>
    <w:rsid w:val="0095044D"/>
    <w:rsid w:val="00975672"/>
    <w:rsid w:val="0098144A"/>
    <w:rsid w:val="00983397"/>
    <w:rsid w:val="00994600"/>
    <w:rsid w:val="0099474F"/>
    <w:rsid w:val="009A3777"/>
    <w:rsid w:val="009A6021"/>
    <w:rsid w:val="009B2B4F"/>
    <w:rsid w:val="009E428D"/>
    <w:rsid w:val="009F2846"/>
    <w:rsid w:val="00A02242"/>
    <w:rsid w:val="00A03147"/>
    <w:rsid w:val="00A102C4"/>
    <w:rsid w:val="00A118C3"/>
    <w:rsid w:val="00A1752D"/>
    <w:rsid w:val="00A36522"/>
    <w:rsid w:val="00A415CC"/>
    <w:rsid w:val="00A43191"/>
    <w:rsid w:val="00A44678"/>
    <w:rsid w:val="00A56CE9"/>
    <w:rsid w:val="00A5721A"/>
    <w:rsid w:val="00AC13AE"/>
    <w:rsid w:val="00AC4911"/>
    <w:rsid w:val="00AC6199"/>
    <w:rsid w:val="00AE1788"/>
    <w:rsid w:val="00AE45B9"/>
    <w:rsid w:val="00AF49A6"/>
    <w:rsid w:val="00AF4E36"/>
    <w:rsid w:val="00AF5CB3"/>
    <w:rsid w:val="00AF64BD"/>
    <w:rsid w:val="00B11AE1"/>
    <w:rsid w:val="00B154E2"/>
    <w:rsid w:val="00B228FB"/>
    <w:rsid w:val="00B30161"/>
    <w:rsid w:val="00B41FC7"/>
    <w:rsid w:val="00B459F0"/>
    <w:rsid w:val="00B4659A"/>
    <w:rsid w:val="00B57324"/>
    <w:rsid w:val="00B60B93"/>
    <w:rsid w:val="00B60BFC"/>
    <w:rsid w:val="00B762F2"/>
    <w:rsid w:val="00B7795F"/>
    <w:rsid w:val="00B828A1"/>
    <w:rsid w:val="00B87023"/>
    <w:rsid w:val="00B92CD6"/>
    <w:rsid w:val="00BA164E"/>
    <w:rsid w:val="00BB0F48"/>
    <w:rsid w:val="00BB1B1A"/>
    <w:rsid w:val="00BB3EDF"/>
    <w:rsid w:val="00BB44CD"/>
    <w:rsid w:val="00BC4E72"/>
    <w:rsid w:val="00BC7C37"/>
    <w:rsid w:val="00BD2E9D"/>
    <w:rsid w:val="00BE7A48"/>
    <w:rsid w:val="00BF3F09"/>
    <w:rsid w:val="00BF6BFF"/>
    <w:rsid w:val="00C11DC9"/>
    <w:rsid w:val="00C123E6"/>
    <w:rsid w:val="00C32CF6"/>
    <w:rsid w:val="00C33F36"/>
    <w:rsid w:val="00C36ABE"/>
    <w:rsid w:val="00C4395F"/>
    <w:rsid w:val="00C524D6"/>
    <w:rsid w:val="00C533BD"/>
    <w:rsid w:val="00C6472A"/>
    <w:rsid w:val="00C64DA6"/>
    <w:rsid w:val="00C67528"/>
    <w:rsid w:val="00C71DB2"/>
    <w:rsid w:val="00C8201C"/>
    <w:rsid w:val="00C821CD"/>
    <w:rsid w:val="00C9334B"/>
    <w:rsid w:val="00C95E82"/>
    <w:rsid w:val="00CA2553"/>
    <w:rsid w:val="00CA6110"/>
    <w:rsid w:val="00CA6C8C"/>
    <w:rsid w:val="00D01D03"/>
    <w:rsid w:val="00D01F3B"/>
    <w:rsid w:val="00D06778"/>
    <w:rsid w:val="00D20725"/>
    <w:rsid w:val="00D21667"/>
    <w:rsid w:val="00D26260"/>
    <w:rsid w:val="00D26297"/>
    <w:rsid w:val="00D2630A"/>
    <w:rsid w:val="00D32562"/>
    <w:rsid w:val="00D34FA1"/>
    <w:rsid w:val="00D5067C"/>
    <w:rsid w:val="00D61C5A"/>
    <w:rsid w:val="00D6356D"/>
    <w:rsid w:val="00D703B9"/>
    <w:rsid w:val="00D72D4F"/>
    <w:rsid w:val="00D76847"/>
    <w:rsid w:val="00D842D9"/>
    <w:rsid w:val="00DD2745"/>
    <w:rsid w:val="00DD2B46"/>
    <w:rsid w:val="00DD7036"/>
    <w:rsid w:val="00DE6E46"/>
    <w:rsid w:val="00DF1FF4"/>
    <w:rsid w:val="00E1679F"/>
    <w:rsid w:val="00E3092E"/>
    <w:rsid w:val="00E511B2"/>
    <w:rsid w:val="00E51BB1"/>
    <w:rsid w:val="00E52727"/>
    <w:rsid w:val="00E54391"/>
    <w:rsid w:val="00E61ECD"/>
    <w:rsid w:val="00E754D7"/>
    <w:rsid w:val="00E83E57"/>
    <w:rsid w:val="00E845D5"/>
    <w:rsid w:val="00E86FA3"/>
    <w:rsid w:val="00E87879"/>
    <w:rsid w:val="00E92B9F"/>
    <w:rsid w:val="00E93A03"/>
    <w:rsid w:val="00E974FD"/>
    <w:rsid w:val="00EA0B75"/>
    <w:rsid w:val="00EA3897"/>
    <w:rsid w:val="00EB3524"/>
    <w:rsid w:val="00EB47EA"/>
    <w:rsid w:val="00EB5A91"/>
    <w:rsid w:val="00EC1C57"/>
    <w:rsid w:val="00EC2BB8"/>
    <w:rsid w:val="00EC2CD0"/>
    <w:rsid w:val="00ED737D"/>
    <w:rsid w:val="00EE06C6"/>
    <w:rsid w:val="00EE1ABC"/>
    <w:rsid w:val="00EE633F"/>
    <w:rsid w:val="00EF1F0D"/>
    <w:rsid w:val="00EF3A10"/>
    <w:rsid w:val="00F01E71"/>
    <w:rsid w:val="00F1112A"/>
    <w:rsid w:val="00F14A01"/>
    <w:rsid w:val="00F164B8"/>
    <w:rsid w:val="00F23820"/>
    <w:rsid w:val="00F308FF"/>
    <w:rsid w:val="00F43F98"/>
    <w:rsid w:val="00F4409A"/>
    <w:rsid w:val="00F504C8"/>
    <w:rsid w:val="00F56DA7"/>
    <w:rsid w:val="00F6590B"/>
    <w:rsid w:val="00F72E2E"/>
    <w:rsid w:val="00F953DC"/>
    <w:rsid w:val="00FD4ED0"/>
    <w:rsid w:val="00FE18EB"/>
    <w:rsid w:val="00FE47BA"/>
    <w:rsid w:val="00FE7C3A"/>
    <w:rsid w:val="00FF0324"/>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8"/>
    <w:pPr>
      <w:spacing w:after="0" w:line="276"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947058"/>
    <w:pPr>
      <w:keepNext/>
      <w:keepLines/>
      <w:jc w:val="left"/>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058"/>
    <w:pPr>
      <w:ind w:left="720"/>
      <w:contextualSpacing/>
    </w:pPr>
  </w:style>
  <w:style w:type="character" w:customStyle="1" w:styleId="Heading1Char">
    <w:name w:val="Heading 1 Char"/>
    <w:basedOn w:val="DefaultParagraphFont"/>
    <w:link w:val="Heading1"/>
    <w:uiPriority w:val="9"/>
    <w:rsid w:val="00947058"/>
    <w:rPr>
      <w:rFonts w:ascii="Times New Roman" w:eastAsiaTheme="majorEastAsia" w:hAnsi="Times New Roman" w:cstheme="majorBidi"/>
      <w:b/>
      <w:bCs/>
      <w:color w:val="000000" w:themeColor="text1"/>
      <w:sz w:val="24"/>
      <w:szCs w:val="28"/>
    </w:rPr>
  </w:style>
  <w:style w:type="paragraph" w:styleId="Header">
    <w:name w:val="header"/>
    <w:basedOn w:val="Normal"/>
    <w:link w:val="HeaderChar"/>
    <w:uiPriority w:val="99"/>
    <w:unhideWhenUsed/>
    <w:rsid w:val="00947058"/>
    <w:pPr>
      <w:tabs>
        <w:tab w:val="center" w:pos="4536"/>
        <w:tab w:val="right" w:pos="9072"/>
      </w:tabs>
      <w:spacing w:line="240" w:lineRule="auto"/>
    </w:pPr>
  </w:style>
  <w:style w:type="character" w:customStyle="1" w:styleId="HeaderChar">
    <w:name w:val="Header Char"/>
    <w:basedOn w:val="DefaultParagraphFont"/>
    <w:link w:val="Header"/>
    <w:uiPriority w:val="99"/>
    <w:rsid w:val="00947058"/>
    <w:rPr>
      <w:rFonts w:ascii="Times New Roman" w:hAnsi="Times New Roman"/>
      <w:sz w:val="24"/>
    </w:rPr>
  </w:style>
  <w:style w:type="paragraph" w:styleId="Footer">
    <w:name w:val="footer"/>
    <w:basedOn w:val="Normal"/>
    <w:link w:val="FooterChar"/>
    <w:uiPriority w:val="99"/>
    <w:unhideWhenUsed/>
    <w:rsid w:val="00947058"/>
    <w:pPr>
      <w:tabs>
        <w:tab w:val="center" w:pos="4536"/>
        <w:tab w:val="right" w:pos="9072"/>
      </w:tabs>
      <w:spacing w:line="240" w:lineRule="auto"/>
    </w:pPr>
  </w:style>
  <w:style w:type="character" w:customStyle="1" w:styleId="FooterChar">
    <w:name w:val="Footer Char"/>
    <w:basedOn w:val="DefaultParagraphFont"/>
    <w:link w:val="Footer"/>
    <w:uiPriority w:val="99"/>
    <w:rsid w:val="00947058"/>
    <w:rPr>
      <w:rFonts w:ascii="Times New Roman" w:hAnsi="Times New Roman"/>
      <w:sz w:val="24"/>
    </w:rPr>
  </w:style>
  <w:style w:type="character" w:styleId="Hyperlink">
    <w:name w:val="Hyperlink"/>
    <w:unhideWhenUsed/>
    <w:rsid w:val="0050245E"/>
    <w:rPr>
      <w:color w:val="0000FF"/>
      <w:u w:val="single"/>
    </w:rPr>
  </w:style>
  <w:style w:type="paragraph" w:styleId="FootnoteText">
    <w:name w:val="footnote text"/>
    <w:basedOn w:val="Normal"/>
    <w:link w:val="FootnoteTextChar"/>
    <w:uiPriority w:val="99"/>
    <w:unhideWhenUsed/>
    <w:rsid w:val="00626C13"/>
    <w:pPr>
      <w:spacing w:line="240" w:lineRule="auto"/>
      <w:ind w:firstLine="0"/>
    </w:pPr>
    <w:rPr>
      <w:sz w:val="20"/>
      <w:szCs w:val="20"/>
    </w:rPr>
  </w:style>
  <w:style w:type="character" w:customStyle="1" w:styleId="FootnoteTextChar">
    <w:name w:val="Footnote Text Char"/>
    <w:basedOn w:val="DefaultParagraphFont"/>
    <w:link w:val="FootnoteText"/>
    <w:uiPriority w:val="99"/>
    <w:rsid w:val="00626C13"/>
    <w:rPr>
      <w:rFonts w:ascii="Times New Roman" w:hAnsi="Times New Roman"/>
      <w:sz w:val="20"/>
      <w:szCs w:val="20"/>
    </w:rPr>
  </w:style>
  <w:style w:type="character" w:styleId="FootnoteReference">
    <w:name w:val="footnote reference"/>
    <w:basedOn w:val="DefaultParagraphFont"/>
    <w:uiPriority w:val="99"/>
    <w:semiHidden/>
    <w:unhideWhenUsed/>
    <w:rsid w:val="00683446"/>
    <w:rPr>
      <w:vertAlign w:val="superscript"/>
    </w:rPr>
  </w:style>
  <w:style w:type="character" w:styleId="CommentReference">
    <w:name w:val="annotation reference"/>
    <w:basedOn w:val="DefaultParagraphFont"/>
    <w:uiPriority w:val="99"/>
    <w:semiHidden/>
    <w:unhideWhenUsed/>
    <w:rsid w:val="001C34AD"/>
    <w:rPr>
      <w:sz w:val="16"/>
      <w:szCs w:val="16"/>
    </w:rPr>
  </w:style>
  <w:style w:type="paragraph" w:styleId="CommentText">
    <w:name w:val="annotation text"/>
    <w:basedOn w:val="Normal"/>
    <w:link w:val="CommentTextChar"/>
    <w:uiPriority w:val="99"/>
    <w:semiHidden/>
    <w:unhideWhenUsed/>
    <w:rsid w:val="001C34AD"/>
    <w:pPr>
      <w:spacing w:line="240" w:lineRule="auto"/>
    </w:pPr>
    <w:rPr>
      <w:sz w:val="20"/>
      <w:szCs w:val="20"/>
    </w:rPr>
  </w:style>
  <w:style w:type="character" w:customStyle="1" w:styleId="CommentTextChar">
    <w:name w:val="Comment Text Char"/>
    <w:basedOn w:val="DefaultParagraphFont"/>
    <w:link w:val="CommentText"/>
    <w:uiPriority w:val="99"/>
    <w:semiHidden/>
    <w:rsid w:val="001C34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34AD"/>
    <w:rPr>
      <w:b/>
      <w:bCs/>
    </w:rPr>
  </w:style>
  <w:style w:type="character" w:customStyle="1" w:styleId="CommentSubjectChar">
    <w:name w:val="Comment Subject Char"/>
    <w:basedOn w:val="CommentTextChar"/>
    <w:link w:val="CommentSubject"/>
    <w:uiPriority w:val="99"/>
    <w:semiHidden/>
    <w:rsid w:val="001C34AD"/>
    <w:rPr>
      <w:rFonts w:ascii="Times New Roman" w:hAnsi="Times New Roman"/>
      <w:b/>
      <w:bCs/>
      <w:sz w:val="20"/>
      <w:szCs w:val="20"/>
    </w:rPr>
  </w:style>
  <w:style w:type="paragraph" w:styleId="BalloonText">
    <w:name w:val="Balloon Text"/>
    <w:basedOn w:val="Normal"/>
    <w:link w:val="BalloonTextChar"/>
    <w:uiPriority w:val="99"/>
    <w:semiHidden/>
    <w:unhideWhenUsed/>
    <w:rsid w:val="001C3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AD"/>
    <w:rPr>
      <w:rFonts w:ascii="Tahoma" w:hAnsi="Tahoma" w:cs="Tahoma"/>
      <w:sz w:val="16"/>
      <w:szCs w:val="16"/>
    </w:rPr>
  </w:style>
  <w:style w:type="paragraph" w:styleId="Caption">
    <w:name w:val="caption"/>
    <w:basedOn w:val="Normal"/>
    <w:next w:val="Normal"/>
    <w:uiPriority w:val="35"/>
    <w:unhideWhenUsed/>
    <w:qFormat/>
    <w:rsid w:val="00A415CC"/>
    <w:pPr>
      <w:spacing w:line="240" w:lineRule="auto"/>
      <w:ind w:firstLine="0"/>
      <w:jc w:val="center"/>
    </w:pPr>
    <w:rPr>
      <w:bCs/>
      <w:color w:val="000000" w:themeColor="text1"/>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8"/>
    <w:pPr>
      <w:spacing w:after="0" w:line="276"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947058"/>
    <w:pPr>
      <w:keepNext/>
      <w:keepLines/>
      <w:jc w:val="left"/>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058"/>
    <w:pPr>
      <w:ind w:left="720"/>
      <w:contextualSpacing/>
    </w:pPr>
  </w:style>
  <w:style w:type="character" w:customStyle="1" w:styleId="Heading1Char">
    <w:name w:val="Heading 1 Char"/>
    <w:basedOn w:val="DefaultParagraphFont"/>
    <w:link w:val="Heading1"/>
    <w:uiPriority w:val="9"/>
    <w:rsid w:val="00947058"/>
    <w:rPr>
      <w:rFonts w:ascii="Times New Roman" w:eastAsiaTheme="majorEastAsia" w:hAnsi="Times New Roman" w:cstheme="majorBidi"/>
      <w:b/>
      <w:bCs/>
      <w:color w:val="000000" w:themeColor="text1"/>
      <w:sz w:val="24"/>
      <w:szCs w:val="28"/>
    </w:rPr>
  </w:style>
  <w:style w:type="paragraph" w:styleId="Header">
    <w:name w:val="header"/>
    <w:basedOn w:val="Normal"/>
    <w:link w:val="HeaderChar"/>
    <w:uiPriority w:val="99"/>
    <w:unhideWhenUsed/>
    <w:rsid w:val="00947058"/>
    <w:pPr>
      <w:tabs>
        <w:tab w:val="center" w:pos="4536"/>
        <w:tab w:val="right" w:pos="9072"/>
      </w:tabs>
      <w:spacing w:line="240" w:lineRule="auto"/>
    </w:pPr>
  </w:style>
  <w:style w:type="character" w:customStyle="1" w:styleId="HeaderChar">
    <w:name w:val="Header Char"/>
    <w:basedOn w:val="DefaultParagraphFont"/>
    <w:link w:val="Header"/>
    <w:uiPriority w:val="99"/>
    <w:rsid w:val="00947058"/>
    <w:rPr>
      <w:rFonts w:ascii="Times New Roman" w:hAnsi="Times New Roman"/>
      <w:sz w:val="24"/>
    </w:rPr>
  </w:style>
  <w:style w:type="paragraph" w:styleId="Footer">
    <w:name w:val="footer"/>
    <w:basedOn w:val="Normal"/>
    <w:link w:val="FooterChar"/>
    <w:uiPriority w:val="99"/>
    <w:unhideWhenUsed/>
    <w:rsid w:val="00947058"/>
    <w:pPr>
      <w:tabs>
        <w:tab w:val="center" w:pos="4536"/>
        <w:tab w:val="right" w:pos="9072"/>
      </w:tabs>
      <w:spacing w:line="240" w:lineRule="auto"/>
    </w:pPr>
  </w:style>
  <w:style w:type="character" w:customStyle="1" w:styleId="FooterChar">
    <w:name w:val="Footer Char"/>
    <w:basedOn w:val="DefaultParagraphFont"/>
    <w:link w:val="Footer"/>
    <w:uiPriority w:val="99"/>
    <w:rsid w:val="00947058"/>
    <w:rPr>
      <w:rFonts w:ascii="Times New Roman" w:hAnsi="Times New Roman"/>
      <w:sz w:val="24"/>
    </w:rPr>
  </w:style>
  <w:style w:type="character" w:styleId="Hyperlink">
    <w:name w:val="Hyperlink"/>
    <w:unhideWhenUsed/>
    <w:rsid w:val="0050245E"/>
    <w:rPr>
      <w:color w:val="0000FF"/>
      <w:u w:val="single"/>
    </w:rPr>
  </w:style>
  <w:style w:type="paragraph" w:styleId="FootnoteText">
    <w:name w:val="footnote text"/>
    <w:basedOn w:val="Normal"/>
    <w:link w:val="FootnoteTextChar"/>
    <w:uiPriority w:val="99"/>
    <w:unhideWhenUsed/>
    <w:rsid w:val="00626C13"/>
    <w:pPr>
      <w:spacing w:line="240" w:lineRule="auto"/>
      <w:ind w:firstLine="0"/>
    </w:pPr>
    <w:rPr>
      <w:sz w:val="20"/>
      <w:szCs w:val="20"/>
    </w:rPr>
  </w:style>
  <w:style w:type="character" w:customStyle="1" w:styleId="FootnoteTextChar">
    <w:name w:val="Footnote Text Char"/>
    <w:basedOn w:val="DefaultParagraphFont"/>
    <w:link w:val="FootnoteText"/>
    <w:uiPriority w:val="99"/>
    <w:rsid w:val="00626C13"/>
    <w:rPr>
      <w:rFonts w:ascii="Times New Roman" w:hAnsi="Times New Roman"/>
      <w:sz w:val="20"/>
      <w:szCs w:val="20"/>
    </w:rPr>
  </w:style>
  <w:style w:type="character" w:styleId="FootnoteReference">
    <w:name w:val="footnote reference"/>
    <w:basedOn w:val="DefaultParagraphFont"/>
    <w:uiPriority w:val="99"/>
    <w:semiHidden/>
    <w:unhideWhenUsed/>
    <w:rsid w:val="00683446"/>
    <w:rPr>
      <w:vertAlign w:val="superscript"/>
    </w:rPr>
  </w:style>
  <w:style w:type="character" w:styleId="CommentReference">
    <w:name w:val="annotation reference"/>
    <w:basedOn w:val="DefaultParagraphFont"/>
    <w:uiPriority w:val="99"/>
    <w:semiHidden/>
    <w:unhideWhenUsed/>
    <w:rsid w:val="001C34AD"/>
    <w:rPr>
      <w:sz w:val="16"/>
      <w:szCs w:val="16"/>
    </w:rPr>
  </w:style>
  <w:style w:type="paragraph" w:styleId="CommentText">
    <w:name w:val="annotation text"/>
    <w:basedOn w:val="Normal"/>
    <w:link w:val="CommentTextChar"/>
    <w:uiPriority w:val="99"/>
    <w:semiHidden/>
    <w:unhideWhenUsed/>
    <w:rsid w:val="001C34AD"/>
    <w:pPr>
      <w:spacing w:line="240" w:lineRule="auto"/>
    </w:pPr>
    <w:rPr>
      <w:sz w:val="20"/>
      <w:szCs w:val="20"/>
    </w:rPr>
  </w:style>
  <w:style w:type="character" w:customStyle="1" w:styleId="CommentTextChar">
    <w:name w:val="Comment Text Char"/>
    <w:basedOn w:val="DefaultParagraphFont"/>
    <w:link w:val="CommentText"/>
    <w:uiPriority w:val="99"/>
    <w:semiHidden/>
    <w:rsid w:val="001C34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34AD"/>
    <w:rPr>
      <w:b/>
      <w:bCs/>
    </w:rPr>
  </w:style>
  <w:style w:type="character" w:customStyle="1" w:styleId="CommentSubjectChar">
    <w:name w:val="Comment Subject Char"/>
    <w:basedOn w:val="CommentTextChar"/>
    <w:link w:val="CommentSubject"/>
    <w:uiPriority w:val="99"/>
    <w:semiHidden/>
    <w:rsid w:val="001C34AD"/>
    <w:rPr>
      <w:rFonts w:ascii="Times New Roman" w:hAnsi="Times New Roman"/>
      <w:b/>
      <w:bCs/>
      <w:sz w:val="20"/>
      <w:szCs w:val="20"/>
    </w:rPr>
  </w:style>
  <w:style w:type="paragraph" w:styleId="BalloonText">
    <w:name w:val="Balloon Text"/>
    <w:basedOn w:val="Normal"/>
    <w:link w:val="BalloonTextChar"/>
    <w:uiPriority w:val="99"/>
    <w:semiHidden/>
    <w:unhideWhenUsed/>
    <w:rsid w:val="001C3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AD"/>
    <w:rPr>
      <w:rFonts w:ascii="Tahoma" w:hAnsi="Tahoma" w:cs="Tahoma"/>
      <w:sz w:val="16"/>
      <w:szCs w:val="16"/>
    </w:rPr>
  </w:style>
  <w:style w:type="paragraph" w:styleId="Caption">
    <w:name w:val="caption"/>
    <w:basedOn w:val="Normal"/>
    <w:next w:val="Normal"/>
    <w:uiPriority w:val="35"/>
    <w:unhideWhenUsed/>
    <w:qFormat/>
    <w:rsid w:val="00A415CC"/>
    <w:pPr>
      <w:spacing w:line="240" w:lineRule="auto"/>
      <w:ind w:firstLine="0"/>
      <w:jc w:val="center"/>
    </w:pPr>
    <w:rPr>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3381">
      <w:bodyDiv w:val="1"/>
      <w:marLeft w:val="0"/>
      <w:marRight w:val="0"/>
      <w:marTop w:val="0"/>
      <w:marBottom w:val="0"/>
      <w:divBdr>
        <w:top w:val="none" w:sz="0" w:space="0" w:color="auto"/>
        <w:left w:val="none" w:sz="0" w:space="0" w:color="auto"/>
        <w:bottom w:val="none" w:sz="0" w:space="0" w:color="auto"/>
        <w:right w:val="none" w:sz="0" w:space="0" w:color="auto"/>
      </w:divBdr>
    </w:div>
    <w:div w:id="415978827">
      <w:bodyDiv w:val="1"/>
      <w:marLeft w:val="0"/>
      <w:marRight w:val="0"/>
      <w:marTop w:val="0"/>
      <w:marBottom w:val="0"/>
      <w:divBdr>
        <w:top w:val="none" w:sz="0" w:space="0" w:color="auto"/>
        <w:left w:val="none" w:sz="0" w:space="0" w:color="auto"/>
        <w:bottom w:val="none" w:sz="0" w:space="0" w:color="auto"/>
        <w:right w:val="none" w:sz="0" w:space="0" w:color="auto"/>
      </w:divBdr>
    </w:div>
    <w:div w:id="538274523">
      <w:bodyDiv w:val="1"/>
      <w:marLeft w:val="0"/>
      <w:marRight w:val="0"/>
      <w:marTop w:val="0"/>
      <w:marBottom w:val="0"/>
      <w:divBdr>
        <w:top w:val="none" w:sz="0" w:space="0" w:color="auto"/>
        <w:left w:val="none" w:sz="0" w:space="0" w:color="auto"/>
        <w:bottom w:val="none" w:sz="0" w:space="0" w:color="auto"/>
        <w:right w:val="none" w:sz="0" w:space="0" w:color="auto"/>
      </w:divBdr>
    </w:div>
    <w:div w:id="539168034">
      <w:bodyDiv w:val="1"/>
      <w:marLeft w:val="0"/>
      <w:marRight w:val="0"/>
      <w:marTop w:val="0"/>
      <w:marBottom w:val="0"/>
      <w:divBdr>
        <w:top w:val="none" w:sz="0" w:space="0" w:color="auto"/>
        <w:left w:val="none" w:sz="0" w:space="0" w:color="auto"/>
        <w:bottom w:val="none" w:sz="0" w:space="0" w:color="auto"/>
        <w:right w:val="none" w:sz="0" w:space="0" w:color="auto"/>
      </w:divBdr>
    </w:div>
    <w:div w:id="585574405">
      <w:bodyDiv w:val="1"/>
      <w:marLeft w:val="0"/>
      <w:marRight w:val="0"/>
      <w:marTop w:val="0"/>
      <w:marBottom w:val="0"/>
      <w:divBdr>
        <w:top w:val="none" w:sz="0" w:space="0" w:color="auto"/>
        <w:left w:val="none" w:sz="0" w:space="0" w:color="auto"/>
        <w:bottom w:val="none" w:sz="0" w:space="0" w:color="auto"/>
        <w:right w:val="none" w:sz="0" w:space="0" w:color="auto"/>
      </w:divBdr>
    </w:div>
    <w:div w:id="1310861794">
      <w:bodyDiv w:val="1"/>
      <w:marLeft w:val="0"/>
      <w:marRight w:val="0"/>
      <w:marTop w:val="0"/>
      <w:marBottom w:val="0"/>
      <w:divBdr>
        <w:top w:val="none" w:sz="0" w:space="0" w:color="auto"/>
        <w:left w:val="none" w:sz="0" w:space="0" w:color="auto"/>
        <w:bottom w:val="none" w:sz="0" w:space="0" w:color="auto"/>
        <w:right w:val="none" w:sz="0" w:space="0" w:color="auto"/>
      </w:divBdr>
    </w:div>
    <w:div w:id="1341662951">
      <w:bodyDiv w:val="1"/>
      <w:marLeft w:val="0"/>
      <w:marRight w:val="0"/>
      <w:marTop w:val="0"/>
      <w:marBottom w:val="0"/>
      <w:divBdr>
        <w:top w:val="none" w:sz="0" w:space="0" w:color="auto"/>
        <w:left w:val="none" w:sz="0" w:space="0" w:color="auto"/>
        <w:bottom w:val="none" w:sz="0" w:space="0" w:color="auto"/>
        <w:right w:val="none" w:sz="0" w:space="0" w:color="auto"/>
      </w:divBdr>
    </w:div>
    <w:div w:id="1480997740">
      <w:bodyDiv w:val="1"/>
      <w:marLeft w:val="0"/>
      <w:marRight w:val="0"/>
      <w:marTop w:val="0"/>
      <w:marBottom w:val="0"/>
      <w:divBdr>
        <w:top w:val="none" w:sz="0" w:space="0" w:color="auto"/>
        <w:left w:val="none" w:sz="0" w:space="0" w:color="auto"/>
        <w:bottom w:val="none" w:sz="0" w:space="0" w:color="auto"/>
        <w:right w:val="none" w:sz="0" w:space="0" w:color="auto"/>
      </w:divBdr>
    </w:div>
    <w:div w:id="1812478579">
      <w:bodyDiv w:val="1"/>
      <w:marLeft w:val="0"/>
      <w:marRight w:val="0"/>
      <w:marTop w:val="0"/>
      <w:marBottom w:val="0"/>
      <w:divBdr>
        <w:top w:val="none" w:sz="0" w:space="0" w:color="auto"/>
        <w:left w:val="none" w:sz="0" w:space="0" w:color="auto"/>
        <w:bottom w:val="none" w:sz="0" w:space="0" w:color="auto"/>
        <w:right w:val="none" w:sz="0" w:space="0" w:color="auto"/>
      </w:divBdr>
    </w:div>
    <w:div w:id="1934127776">
      <w:bodyDiv w:val="1"/>
      <w:marLeft w:val="0"/>
      <w:marRight w:val="0"/>
      <w:marTop w:val="0"/>
      <w:marBottom w:val="0"/>
      <w:divBdr>
        <w:top w:val="none" w:sz="0" w:space="0" w:color="auto"/>
        <w:left w:val="none" w:sz="0" w:space="0" w:color="auto"/>
        <w:bottom w:val="none" w:sz="0" w:space="0" w:color="auto"/>
        <w:right w:val="none" w:sz="0" w:space="0" w:color="auto"/>
      </w:divBdr>
    </w:div>
    <w:div w:id="2047555687">
      <w:bodyDiv w:val="1"/>
      <w:marLeft w:val="0"/>
      <w:marRight w:val="0"/>
      <w:marTop w:val="0"/>
      <w:marBottom w:val="0"/>
      <w:divBdr>
        <w:top w:val="none" w:sz="0" w:space="0" w:color="auto"/>
        <w:left w:val="none" w:sz="0" w:space="0" w:color="auto"/>
        <w:bottom w:val="none" w:sz="0" w:space="0" w:color="auto"/>
        <w:right w:val="none" w:sz="0" w:space="0" w:color="auto"/>
      </w:divBdr>
    </w:div>
    <w:div w:id="20697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175013521539898E-2"/>
          <c:y val="2.3572224689933516E-2"/>
          <c:w val="0.89102348932047226"/>
          <c:h val="0.776052330265254"/>
        </c:manualLayout>
      </c:layout>
      <c:barChart>
        <c:barDir val="col"/>
        <c:grouping val="clustered"/>
        <c:varyColors val="0"/>
        <c:ser>
          <c:idx val="0"/>
          <c:order val="0"/>
          <c:tx>
            <c:strRef>
              <c:f>Sheet2!$A$1</c:f>
              <c:strCache>
                <c:ptCount val="1"/>
                <c:pt idx="0">
                  <c:v>Stvarna vrijednost</c:v>
                </c:pt>
              </c:strCache>
            </c:strRef>
          </c:tx>
          <c:spPr>
            <a:solidFill>
              <a:schemeClr val="bg1">
                <a:lumMod val="50000"/>
              </a:schemeClr>
            </a:solidFill>
          </c:spPr>
          <c:invertIfNegative val="0"/>
          <c:cat>
            <c:strRef>
              <c:f>Sheet2!$C$2:$C$57</c:f>
              <c:strCache>
                <c:ptCount val="56"/>
                <c:pt idx="0">
                  <c:v>Bjelovar, 2005</c:v>
                </c:pt>
                <c:pt idx="1">
                  <c:v>Bjelovar, 2006</c:v>
                </c:pt>
                <c:pt idx="2">
                  <c:v>Bjelovar, 2007</c:v>
                </c:pt>
                <c:pt idx="3">
                  <c:v>Bjelovar, 2008</c:v>
                </c:pt>
                <c:pt idx="4">
                  <c:v>Bjelovar, 2009</c:v>
                </c:pt>
                <c:pt idx="5">
                  <c:v>Bjelovar, 2010</c:v>
                </c:pt>
                <c:pt idx="6">
                  <c:v>Bjelovar, 2011</c:v>
                </c:pt>
                <c:pt idx="7">
                  <c:v>Bjelovar, 2012</c:v>
                </c:pt>
                <c:pt idx="8">
                  <c:v>Osijek, 2005</c:v>
                </c:pt>
                <c:pt idx="9">
                  <c:v>Osijek, 2006</c:v>
                </c:pt>
                <c:pt idx="10">
                  <c:v>Osijek, 2007</c:v>
                </c:pt>
                <c:pt idx="11">
                  <c:v>Osijek, 2008</c:v>
                </c:pt>
                <c:pt idx="12">
                  <c:v>Osijek, 2009</c:v>
                </c:pt>
                <c:pt idx="13">
                  <c:v>Osijek, 2010</c:v>
                </c:pt>
                <c:pt idx="14">
                  <c:v>Osijek, 2011</c:v>
                </c:pt>
                <c:pt idx="15">
                  <c:v>Osijek, 2012</c:v>
                </c:pt>
                <c:pt idx="16">
                  <c:v>Rijeka, 2005</c:v>
                </c:pt>
                <c:pt idx="17">
                  <c:v>Rijeka, 2006</c:v>
                </c:pt>
                <c:pt idx="18">
                  <c:v>Rijeka, 2007</c:v>
                </c:pt>
                <c:pt idx="19">
                  <c:v>Rijeka, 2008</c:v>
                </c:pt>
                <c:pt idx="20">
                  <c:v>Rijeka, 2009</c:v>
                </c:pt>
                <c:pt idx="21">
                  <c:v>Rijeka, 2010</c:v>
                </c:pt>
                <c:pt idx="22">
                  <c:v>Rijeka, 2011</c:v>
                </c:pt>
                <c:pt idx="23">
                  <c:v>Rijeka, 2012</c:v>
                </c:pt>
                <c:pt idx="24">
                  <c:v>Split, 2005</c:v>
                </c:pt>
                <c:pt idx="25">
                  <c:v>Split, 2006</c:v>
                </c:pt>
                <c:pt idx="26">
                  <c:v>Split, 2007</c:v>
                </c:pt>
                <c:pt idx="27">
                  <c:v>Split, 2008</c:v>
                </c:pt>
                <c:pt idx="28">
                  <c:v>Split, 2009</c:v>
                </c:pt>
                <c:pt idx="29">
                  <c:v>Split, 2010</c:v>
                </c:pt>
                <c:pt idx="30">
                  <c:v>Split, 2011</c:v>
                </c:pt>
                <c:pt idx="31">
                  <c:v>Split, 2012</c:v>
                </c:pt>
                <c:pt idx="32">
                  <c:v>Varazdin, 2005</c:v>
                </c:pt>
                <c:pt idx="33">
                  <c:v>Varazdin, 2006</c:v>
                </c:pt>
                <c:pt idx="34">
                  <c:v>Varazdin, 2007</c:v>
                </c:pt>
                <c:pt idx="35">
                  <c:v>Varazdin, 2008</c:v>
                </c:pt>
                <c:pt idx="36">
                  <c:v>Varazdin, 2009</c:v>
                </c:pt>
                <c:pt idx="37">
                  <c:v>Varazdin, 2010</c:v>
                </c:pt>
                <c:pt idx="38">
                  <c:v>Varazdin, 2011</c:v>
                </c:pt>
                <c:pt idx="39">
                  <c:v>Varazdin, 2012</c:v>
                </c:pt>
                <c:pt idx="40">
                  <c:v>Zadar, 2005</c:v>
                </c:pt>
                <c:pt idx="41">
                  <c:v>Zadar, 2006</c:v>
                </c:pt>
                <c:pt idx="42">
                  <c:v>Zadar, 2007</c:v>
                </c:pt>
                <c:pt idx="43">
                  <c:v>Zadar, 2008</c:v>
                </c:pt>
                <c:pt idx="44">
                  <c:v>Zadar, 2009</c:v>
                </c:pt>
                <c:pt idx="45">
                  <c:v>Zadar, 2010</c:v>
                </c:pt>
                <c:pt idx="46">
                  <c:v>Zadar, 2011</c:v>
                </c:pt>
                <c:pt idx="47">
                  <c:v>Zadar, 2012</c:v>
                </c:pt>
                <c:pt idx="48">
                  <c:v>Zagreb, 2005</c:v>
                </c:pt>
                <c:pt idx="49">
                  <c:v>Zagreb, 2006</c:v>
                </c:pt>
                <c:pt idx="50">
                  <c:v>Zagreb, 2007</c:v>
                </c:pt>
                <c:pt idx="51">
                  <c:v>Zagreb, 2008</c:v>
                </c:pt>
                <c:pt idx="52">
                  <c:v>Zagreb, 2009</c:v>
                </c:pt>
                <c:pt idx="53">
                  <c:v>Zagreb, 2010</c:v>
                </c:pt>
                <c:pt idx="54">
                  <c:v>Zagreb, 2011</c:v>
                </c:pt>
                <c:pt idx="55">
                  <c:v>Zagreb, 2012</c:v>
                </c:pt>
              </c:strCache>
            </c:strRef>
          </c:cat>
          <c:val>
            <c:numRef>
              <c:f>Sheet2!$A$2:$A$57</c:f>
              <c:numCache>
                <c:formatCode>General</c:formatCode>
                <c:ptCount val="56"/>
                <c:pt idx="0">
                  <c:v>54.999824812493088</c:v>
                </c:pt>
                <c:pt idx="1">
                  <c:v>51.000222731545762</c:v>
                </c:pt>
                <c:pt idx="2">
                  <c:v>61.999728127800424</c:v>
                </c:pt>
                <c:pt idx="3">
                  <c:v>60.999764285883451</c:v>
                </c:pt>
                <c:pt idx="4">
                  <c:v>65.000177457025814</c:v>
                </c:pt>
                <c:pt idx="5">
                  <c:v>158.0007847836882</c:v>
                </c:pt>
                <c:pt idx="6">
                  <c:v>128.99968983771723</c:v>
                </c:pt>
                <c:pt idx="7">
                  <c:v>120.99993398281237</c:v>
                </c:pt>
                <c:pt idx="8">
                  <c:v>403.0013855378686</c:v>
                </c:pt>
                <c:pt idx="9">
                  <c:v>259.99957593630853</c:v>
                </c:pt>
                <c:pt idx="10">
                  <c:v>238.99915108987668</c:v>
                </c:pt>
                <c:pt idx="11">
                  <c:v>158.99933184838707</c:v>
                </c:pt>
                <c:pt idx="12">
                  <c:v>142.00041782123563</c:v>
                </c:pt>
                <c:pt idx="13">
                  <c:v>162.00059369344169</c:v>
                </c:pt>
                <c:pt idx="14">
                  <c:v>326.99994411660282</c:v>
                </c:pt>
                <c:pt idx="15">
                  <c:v>493.00040719712212</c:v>
                </c:pt>
                <c:pt idx="16">
                  <c:v>146.99961974401756</c:v>
                </c:pt>
                <c:pt idx="17">
                  <c:v>113.00024648577431</c:v>
                </c:pt>
                <c:pt idx="18">
                  <c:v>103.00010421240026</c:v>
                </c:pt>
                <c:pt idx="19">
                  <c:v>127.00037002029796</c:v>
                </c:pt>
                <c:pt idx="20">
                  <c:v>149.00055041514318</c:v>
                </c:pt>
                <c:pt idx="21">
                  <c:v>212.00078977100438</c:v>
                </c:pt>
                <c:pt idx="22">
                  <c:v>556.00094839748533</c:v>
                </c:pt>
                <c:pt idx="23">
                  <c:v>688.99912427214576</c:v>
                </c:pt>
                <c:pt idx="24">
                  <c:v>233.00036031947036</c:v>
                </c:pt>
                <c:pt idx="25">
                  <c:v>144.99945735003212</c:v>
                </c:pt>
                <c:pt idx="26">
                  <c:v>110.99997765433316</c:v>
                </c:pt>
                <c:pt idx="27">
                  <c:v>90.000029670281037</c:v>
                </c:pt>
                <c:pt idx="28">
                  <c:v>82.000061724354467</c:v>
                </c:pt>
                <c:pt idx="29">
                  <c:v>99.999981401192613</c:v>
                </c:pt>
                <c:pt idx="30">
                  <c:v>143.99952486183977</c:v>
                </c:pt>
                <c:pt idx="31">
                  <c:v>542.0021672240448</c:v>
                </c:pt>
                <c:pt idx="32">
                  <c:v>200.00052669108624</c:v>
                </c:pt>
                <c:pt idx="33">
                  <c:v>244.00043302884291</c:v>
                </c:pt>
                <c:pt idx="34">
                  <c:v>100.9999477990463</c:v>
                </c:pt>
                <c:pt idx="35">
                  <c:v>90.000029670281037</c:v>
                </c:pt>
                <c:pt idx="36">
                  <c:v>65.999687026998004</c:v>
                </c:pt>
                <c:pt idx="37">
                  <c:v>75.999746138662815</c:v>
                </c:pt>
                <c:pt idx="38">
                  <c:v>171.99922998980972</c:v>
                </c:pt>
                <c:pt idx="39">
                  <c:v>438.00047725537678</c:v>
                </c:pt>
                <c:pt idx="40">
                  <c:v>115.99997783166381</c:v>
                </c:pt>
                <c:pt idx="41">
                  <c:v>82.999949552897732</c:v>
                </c:pt>
                <c:pt idx="42">
                  <c:v>53.999781485971312</c:v>
                </c:pt>
                <c:pt idx="43">
                  <c:v>37.000077232244308</c:v>
                </c:pt>
                <c:pt idx="44">
                  <c:v>40.000021835448514</c:v>
                </c:pt>
                <c:pt idx="45">
                  <c:v>42.999995025177107</c:v>
                </c:pt>
                <c:pt idx="46">
                  <c:v>200.99901348254676</c:v>
                </c:pt>
                <c:pt idx="47">
                  <c:v>238.99915108987668</c:v>
                </c:pt>
                <c:pt idx="48">
                  <c:v>516.00166901421278</c:v>
                </c:pt>
                <c:pt idx="49">
                  <c:v>399.99818116094247</c:v>
                </c:pt>
                <c:pt idx="50">
                  <c:v>370.99923477343071</c:v>
                </c:pt>
                <c:pt idx="51">
                  <c:v>361.0007370425825</c:v>
                </c:pt>
                <c:pt idx="52">
                  <c:v>408.00115284473065</c:v>
                </c:pt>
                <c:pt idx="53">
                  <c:v>557.00265136681298</c:v>
                </c:pt>
                <c:pt idx="54">
                  <c:v>798.99924433310423</c:v>
                </c:pt>
                <c:pt idx="55">
                  <c:v>1600.9940555032956</c:v>
                </c:pt>
              </c:numCache>
            </c:numRef>
          </c:val>
        </c:ser>
        <c:ser>
          <c:idx val="1"/>
          <c:order val="1"/>
          <c:tx>
            <c:strRef>
              <c:f>Sheet2!$B$1</c:f>
              <c:strCache>
                <c:ptCount val="1"/>
                <c:pt idx="0">
                  <c:v>Vrijednost predviđena modelom</c:v>
                </c:pt>
              </c:strCache>
            </c:strRef>
          </c:tx>
          <c:spPr>
            <a:solidFill>
              <a:schemeClr val="tx1"/>
            </a:solidFill>
          </c:spPr>
          <c:invertIfNegative val="0"/>
          <c:cat>
            <c:strRef>
              <c:f>Sheet2!$C$2:$C$57</c:f>
              <c:strCache>
                <c:ptCount val="56"/>
                <c:pt idx="0">
                  <c:v>Bjelovar, 2005</c:v>
                </c:pt>
                <c:pt idx="1">
                  <c:v>Bjelovar, 2006</c:v>
                </c:pt>
                <c:pt idx="2">
                  <c:v>Bjelovar, 2007</c:v>
                </c:pt>
                <c:pt idx="3">
                  <c:v>Bjelovar, 2008</c:v>
                </c:pt>
                <c:pt idx="4">
                  <c:v>Bjelovar, 2009</c:v>
                </c:pt>
                <c:pt idx="5">
                  <c:v>Bjelovar, 2010</c:v>
                </c:pt>
                <c:pt idx="6">
                  <c:v>Bjelovar, 2011</c:v>
                </c:pt>
                <c:pt idx="7">
                  <c:v>Bjelovar, 2012</c:v>
                </c:pt>
                <c:pt idx="8">
                  <c:v>Osijek, 2005</c:v>
                </c:pt>
                <c:pt idx="9">
                  <c:v>Osijek, 2006</c:v>
                </c:pt>
                <c:pt idx="10">
                  <c:v>Osijek, 2007</c:v>
                </c:pt>
                <c:pt idx="11">
                  <c:v>Osijek, 2008</c:v>
                </c:pt>
                <c:pt idx="12">
                  <c:v>Osijek, 2009</c:v>
                </c:pt>
                <c:pt idx="13">
                  <c:v>Osijek, 2010</c:v>
                </c:pt>
                <c:pt idx="14">
                  <c:v>Osijek, 2011</c:v>
                </c:pt>
                <c:pt idx="15">
                  <c:v>Osijek, 2012</c:v>
                </c:pt>
                <c:pt idx="16">
                  <c:v>Rijeka, 2005</c:v>
                </c:pt>
                <c:pt idx="17">
                  <c:v>Rijeka, 2006</c:v>
                </c:pt>
                <c:pt idx="18">
                  <c:v>Rijeka, 2007</c:v>
                </c:pt>
                <c:pt idx="19">
                  <c:v>Rijeka, 2008</c:v>
                </c:pt>
                <c:pt idx="20">
                  <c:v>Rijeka, 2009</c:v>
                </c:pt>
                <c:pt idx="21">
                  <c:v>Rijeka, 2010</c:v>
                </c:pt>
                <c:pt idx="22">
                  <c:v>Rijeka, 2011</c:v>
                </c:pt>
                <c:pt idx="23">
                  <c:v>Rijeka, 2012</c:v>
                </c:pt>
                <c:pt idx="24">
                  <c:v>Split, 2005</c:v>
                </c:pt>
                <c:pt idx="25">
                  <c:v>Split, 2006</c:v>
                </c:pt>
                <c:pt idx="26">
                  <c:v>Split, 2007</c:v>
                </c:pt>
                <c:pt idx="27">
                  <c:v>Split, 2008</c:v>
                </c:pt>
                <c:pt idx="28">
                  <c:v>Split, 2009</c:v>
                </c:pt>
                <c:pt idx="29">
                  <c:v>Split, 2010</c:v>
                </c:pt>
                <c:pt idx="30">
                  <c:v>Split, 2011</c:v>
                </c:pt>
                <c:pt idx="31">
                  <c:v>Split, 2012</c:v>
                </c:pt>
                <c:pt idx="32">
                  <c:v>Varazdin, 2005</c:v>
                </c:pt>
                <c:pt idx="33">
                  <c:v>Varazdin, 2006</c:v>
                </c:pt>
                <c:pt idx="34">
                  <c:v>Varazdin, 2007</c:v>
                </c:pt>
                <c:pt idx="35">
                  <c:v>Varazdin, 2008</c:v>
                </c:pt>
                <c:pt idx="36">
                  <c:v>Varazdin, 2009</c:v>
                </c:pt>
                <c:pt idx="37">
                  <c:v>Varazdin, 2010</c:v>
                </c:pt>
                <c:pt idx="38">
                  <c:v>Varazdin, 2011</c:v>
                </c:pt>
                <c:pt idx="39">
                  <c:v>Varazdin, 2012</c:v>
                </c:pt>
                <c:pt idx="40">
                  <c:v>Zadar, 2005</c:v>
                </c:pt>
                <c:pt idx="41">
                  <c:v>Zadar, 2006</c:v>
                </c:pt>
                <c:pt idx="42">
                  <c:v>Zadar, 2007</c:v>
                </c:pt>
                <c:pt idx="43">
                  <c:v>Zadar, 2008</c:v>
                </c:pt>
                <c:pt idx="44">
                  <c:v>Zadar, 2009</c:v>
                </c:pt>
                <c:pt idx="45">
                  <c:v>Zadar, 2010</c:v>
                </c:pt>
                <c:pt idx="46">
                  <c:v>Zadar, 2011</c:v>
                </c:pt>
                <c:pt idx="47">
                  <c:v>Zadar, 2012</c:v>
                </c:pt>
                <c:pt idx="48">
                  <c:v>Zagreb, 2005</c:v>
                </c:pt>
                <c:pt idx="49">
                  <c:v>Zagreb, 2006</c:v>
                </c:pt>
                <c:pt idx="50">
                  <c:v>Zagreb, 2007</c:v>
                </c:pt>
                <c:pt idx="51">
                  <c:v>Zagreb, 2008</c:v>
                </c:pt>
                <c:pt idx="52">
                  <c:v>Zagreb, 2009</c:v>
                </c:pt>
                <c:pt idx="53">
                  <c:v>Zagreb, 2010</c:v>
                </c:pt>
                <c:pt idx="54">
                  <c:v>Zagreb, 2011</c:v>
                </c:pt>
                <c:pt idx="55">
                  <c:v>Zagreb, 2012</c:v>
                </c:pt>
              </c:strCache>
            </c:strRef>
          </c:cat>
          <c:val>
            <c:numRef>
              <c:f>Sheet2!$B$2:$B$57</c:f>
              <c:numCache>
                <c:formatCode>General</c:formatCode>
                <c:ptCount val="56"/>
                <c:pt idx="0">
                  <c:v>65.384812060341844</c:v>
                </c:pt>
                <c:pt idx="1">
                  <c:v>61.109051646962698</c:v>
                </c:pt>
                <c:pt idx="2">
                  <c:v>56.042481423824597</c:v>
                </c:pt>
                <c:pt idx="3">
                  <c:v>56.169280661010468</c:v>
                </c:pt>
                <c:pt idx="4">
                  <c:v>54.002481542546455</c:v>
                </c:pt>
                <c:pt idx="5">
                  <c:v>156.37703776919838</c:v>
                </c:pt>
                <c:pt idx="6">
                  <c:v>161.82896404391116</c:v>
                </c:pt>
                <c:pt idx="7">
                  <c:v>98.936675098059581</c:v>
                </c:pt>
                <c:pt idx="8">
                  <c:v>392.75656795985913</c:v>
                </c:pt>
                <c:pt idx="9">
                  <c:v>258.58901843823111</c:v>
                </c:pt>
                <c:pt idx="10">
                  <c:v>247.87138431341563</c:v>
                </c:pt>
                <c:pt idx="11">
                  <c:v>150.63203371233004</c:v>
                </c:pt>
                <c:pt idx="12">
                  <c:v>148.79507146865296</c:v>
                </c:pt>
                <c:pt idx="13">
                  <c:v>165.08822038235218</c:v>
                </c:pt>
                <c:pt idx="14">
                  <c:v>281.33327539897164</c:v>
                </c:pt>
                <c:pt idx="15">
                  <c:v>563.46205886148414</c:v>
                </c:pt>
                <c:pt idx="16">
                  <c:v>137.76922462483688</c:v>
                </c:pt>
                <c:pt idx="17">
                  <c:v>143.09517953411279</c:v>
                </c:pt>
                <c:pt idx="18">
                  <c:v>121.03623940854879</c:v>
                </c:pt>
                <c:pt idx="19">
                  <c:v>124.54536163161595</c:v>
                </c:pt>
                <c:pt idx="20">
                  <c:v>141.93795138101902</c:v>
                </c:pt>
                <c:pt idx="21">
                  <c:v>207.78211362321545</c:v>
                </c:pt>
                <c:pt idx="22">
                  <c:v>460.89488416446551</c:v>
                </c:pt>
                <c:pt idx="23">
                  <c:v>650.91560839269653</c:v>
                </c:pt>
                <c:pt idx="24">
                  <c:v>178.52524146679892</c:v>
                </c:pt>
                <c:pt idx="25">
                  <c:v>131.72020317718139</c:v>
                </c:pt>
                <c:pt idx="26">
                  <c:v>115.62474610713562</c:v>
                </c:pt>
                <c:pt idx="27">
                  <c:v>84.817339743299001</c:v>
                </c:pt>
                <c:pt idx="28">
                  <c:v>83.143663742554722</c:v>
                </c:pt>
                <c:pt idx="29">
                  <c:v>99.23591548240347</c:v>
                </c:pt>
                <c:pt idx="30">
                  <c:v>245.90370101412569</c:v>
                </c:pt>
                <c:pt idx="31">
                  <c:v>461.6559884617069</c:v>
                </c:pt>
                <c:pt idx="32">
                  <c:v>211.87786496457718</c:v>
                </c:pt>
                <c:pt idx="33">
                  <c:v>207.37318578554849</c:v>
                </c:pt>
                <c:pt idx="34">
                  <c:v>86.467619256656462</c:v>
                </c:pt>
                <c:pt idx="35">
                  <c:v>97.67249555318304</c:v>
                </c:pt>
                <c:pt idx="36">
                  <c:v>78.856520107255633</c:v>
                </c:pt>
                <c:pt idx="37">
                  <c:v>69.45159256229482</c:v>
                </c:pt>
                <c:pt idx="38">
                  <c:v>167.61002478295606</c:v>
                </c:pt>
                <c:pt idx="39">
                  <c:v>492.11380464584602</c:v>
                </c:pt>
                <c:pt idx="40">
                  <c:v>129.48823142720158</c:v>
                </c:pt>
                <c:pt idx="41">
                  <c:v>73.031437563542426</c:v>
                </c:pt>
                <c:pt idx="42">
                  <c:v>53.05610826019776</c:v>
                </c:pt>
                <c:pt idx="43">
                  <c:v>45.844718443711635</c:v>
                </c:pt>
                <c:pt idx="44">
                  <c:v>41.888025563102715</c:v>
                </c:pt>
                <c:pt idx="45">
                  <c:v>47.164429679466018</c:v>
                </c:pt>
                <c:pt idx="46">
                  <c:v>133.42106105593885</c:v>
                </c:pt>
                <c:pt idx="47">
                  <c:v>262.15868805225381</c:v>
                </c:pt>
                <c:pt idx="48">
                  <c:v>524.4604395918301</c:v>
                </c:pt>
                <c:pt idx="49">
                  <c:v>390.17681180967077</c:v>
                </c:pt>
                <c:pt idx="50">
                  <c:v>384.36399221082382</c:v>
                </c:pt>
                <c:pt idx="51">
                  <c:v>332.99584086248609</c:v>
                </c:pt>
                <c:pt idx="52">
                  <c:v>387.79234381442126</c:v>
                </c:pt>
                <c:pt idx="53">
                  <c:v>566.47899430429618</c:v>
                </c:pt>
                <c:pt idx="54">
                  <c:v>808.49945101481103</c:v>
                </c:pt>
                <c:pt idx="55">
                  <c:v>1727.5163152057905</c:v>
                </c:pt>
              </c:numCache>
            </c:numRef>
          </c:val>
        </c:ser>
        <c:dLbls>
          <c:showLegendKey val="0"/>
          <c:showVal val="0"/>
          <c:showCatName val="0"/>
          <c:showSerName val="0"/>
          <c:showPercent val="0"/>
          <c:showBubbleSize val="0"/>
        </c:dLbls>
        <c:gapWidth val="150"/>
        <c:axId val="133242368"/>
        <c:axId val="87285056"/>
      </c:barChart>
      <c:catAx>
        <c:axId val="133242368"/>
        <c:scaling>
          <c:orientation val="minMax"/>
        </c:scaling>
        <c:delete val="0"/>
        <c:axPos val="b"/>
        <c:majorTickMark val="out"/>
        <c:minorTickMark val="none"/>
        <c:tickLblPos val="nextTo"/>
        <c:txPr>
          <a:bodyPr rot="-5400000" vert="horz"/>
          <a:lstStyle/>
          <a:p>
            <a:pPr>
              <a:defRPr/>
            </a:pPr>
            <a:endParaRPr lang="sr-Latn-RS"/>
          </a:p>
        </c:txPr>
        <c:crossAx val="87285056"/>
        <c:crosses val="autoZero"/>
        <c:auto val="1"/>
        <c:lblAlgn val="ctr"/>
        <c:lblOffset val="100"/>
        <c:tickLblSkip val="1"/>
        <c:noMultiLvlLbl val="0"/>
      </c:catAx>
      <c:valAx>
        <c:axId val="87285056"/>
        <c:scaling>
          <c:orientation val="minMax"/>
          <c:max val="1800"/>
        </c:scaling>
        <c:delete val="0"/>
        <c:axPos val="l"/>
        <c:majorGridlines/>
        <c:title>
          <c:tx>
            <c:rich>
              <a:bodyPr rot="-5400000" vert="horz"/>
              <a:lstStyle/>
              <a:p>
                <a:pPr>
                  <a:defRPr sz="1100" b="0"/>
                </a:pPr>
                <a:r>
                  <a:rPr lang="hr-HR" sz="1100" b="0"/>
                  <a:t>Brije riješenih stečajnih predmeta</a:t>
                </a:r>
              </a:p>
            </c:rich>
          </c:tx>
          <c:layout>
            <c:manualLayout>
              <c:xMode val="edge"/>
              <c:yMode val="edge"/>
              <c:x val="8.0825295068204968E-3"/>
              <c:y val="0.27886482457080353"/>
            </c:manualLayout>
          </c:layout>
          <c:overlay val="0"/>
        </c:title>
        <c:numFmt formatCode="General" sourceLinked="1"/>
        <c:majorTickMark val="out"/>
        <c:minorTickMark val="none"/>
        <c:tickLblPos val="nextTo"/>
        <c:crossAx val="133242368"/>
        <c:crosses val="autoZero"/>
        <c:crossBetween val="between"/>
        <c:majorUnit val="100"/>
      </c:valAx>
    </c:plotArea>
    <c:legend>
      <c:legendPos val="r"/>
      <c:layout>
        <c:manualLayout>
          <c:xMode val="edge"/>
          <c:yMode val="edge"/>
          <c:x val="0.13089846070126196"/>
          <c:y val="0.17498316950312295"/>
          <c:w val="0.32503578645589654"/>
          <c:h val="0.14562914461956558"/>
        </c:manualLayout>
      </c:layout>
      <c:overlay val="0"/>
      <c:spPr>
        <a:solidFill>
          <a:schemeClr val="bg1"/>
        </a:solidFill>
      </c:spPr>
      <c:txPr>
        <a:bodyPr/>
        <a:lstStyle/>
        <a:p>
          <a:pPr>
            <a:defRPr sz="1100"/>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6930-C310-4D97-8CD3-9DBE1458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cp:lastModifiedBy>
  <cp:revision>20</cp:revision>
  <dcterms:created xsi:type="dcterms:W3CDTF">2014-03-05T13:26:00Z</dcterms:created>
  <dcterms:modified xsi:type="dcterms:W3CDTF">2014-03-18T13:13:00Z</dcterms:modified>
</cp:coreProperties>
</file>