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F4" w:rsidRPr="00664D31" w:rsidRDefault="0078216C" w:rsidP="003E74E3">
      <w:pPr>
        <w:pStyle w:val="NASLOV"/>
      </w:pPr>
      <w:r>
        <w:t xml:space="preserve">IMPLEMENTACIJA </w:t>
      </w:r>
      <w:r w:rsidR="00BD4A44">
        <w:t>DINAMIČK</w:t>
      </w:r>
      <w:r>
        <w:t>E</w:t>
      </w:r>
      <w:r w:rsidR="00BD4A44">
        <w:t xml:space="preserve"> ANALIZ</w:t>
      </w:r>
      <w:r>
        <w:t>E</w:t>
      </w:r>
      <w:r w:rsidR="00BD4A44">
        <w:t xml:space="preserve"> KOD GEOMETRIJSKI TOČNIH PROSTORNIH GREDNIH ELEMENATA TEMELJENIH NA FIXED-POLE PRISTUPU</w:t>
      </w:r>
    </w:p>
    <w:p w:rsidR="002F1FF4" w:rsidRPr="00664D31" w:rsidRDefault="004F6704" w:rsidP="003E74E3">
      <w:pPr>
        <w:pStyle w:val="Imeprezimefakultet"/>
      </w:pPr>
      <w:r>
        <w:t>Maja Gaćeša</w:t>
      </w:r>
      <w:r w:rsidR="002F1FF4">
        <w:t xml:space="preserve"> (</w:t>
      </w:r>
      <w:r>
        <w:t>maja</w:t>
      </w:r>
      <w:r w:rsidR="002F1FF4">
        <w:t>.</w:t>
      </w:r>
      <w:r>
        <w:t>gacesa</w:t>
      </w:r>
      <w:r w:rsidR="002F1FF4">
        <w:t>@</w:t>
      </w:r>
      <w:r>
        <w:t>gradri</w:t>
      </w:r>
      <w:r w:rsidR="002F1FF4">
        <w:t>.hr)</w:t>
      </w:r>
    </w:p>
    <w:p w:rsidR="002F1FF4" w:rsidRDefault="004F6704" w:rsidP="003E74E3">
      <w:pPr>
        <w:pStyle w:val="Imeprezimefakultet"/>
      </w:pPr>
      <w:r>
        <w:t>Sveučilište u Rijeci</w:t>
      </w:r>
      <w:r w:rsidR="002F1FF4">
        <w:t xml:space="preserve">; </w:t>
      </w:r>
      <w:r>
        <w:t>Građevinski fakultet</w:t>
      </w:r>
    </w:p>
    <w:p w:rsidR="002F1FF4" w:rsidRDefault="002F1FF4" w:rsidP="003E74E3">
      <w:pPr>
        <w:pStyle w:val="Imeprezimefakultet"/>
      </w:pPr>
    </w:p>
    <w:p w:rsidR="00097B4E" w:rsidRDefault="00652F76" w:rsidP="00097B4E">
      <w:pPr>
        <w:pStyle w:val="TEKST"/>
      </w:pPr>
      <w:r>
        <w:t xml:space="preserve">Glavni cilj doktorskog istraživanja je definicija novog grednog konačnog elementa proizvoljnog reda, koji se temelji na Reissner-Simovim kinematičkim jednadžbama </w:t>
      </w:r>
      <w:r w:rsidR="005E4263">
        <w:t>[1]</w:t>
      </w:r>
      <w:r>
        <w:t>, koji je prostoran i koji održava energiju i vektore količina kretanja bez dodatnih algoritamskih intervencija te je dovoljno robustan, odnosno, u stanju je konvergirati rješenju i za relativno velike vremenske inkremente.</w:t>
      </w:r>
    </w:p>
    <w:p w:rsidR="00652F76" w:rsidRDefault="00652F76" w:rsidP="00097B4E">
      <w:pPr>
        <w:pStyle w:val="TEKST"/>
      </w:pPr>
      <w:r>
        <w:t>Kao jedno od mogućih polazišta, trenutno istražujemo tzv. „fixed-pole“ koncept (teoriju nepomičnog pola) koji su predložili Bottasso i Borri, čije r</w:t>
      </w:r>
      <w:r w:rsidRPr="00A70187">
        <w:t>azne implementacije rezultiraju algoritmima koji prirodno</w:t>
      </w:r>
      <w:r>
        <w:t xml:space="preserve"> </w:t>
      </w:r>
      <w:r w:rsidRPr="00A70187">
        <w:t>naslje</w:t>
      </w:r>
      <w:r>
        <w:t>đ</w:t>
      </w:r>
      <w:r w:rsidRPr="00A70187">
        <w:t>uju invarijantnost deformacija s obzirom</w:t>
      </w:r>
      <w:r>
        <w:t xml:space="preserve"> na na kretanje krutog tijela </w:t>
      </w:r>
      <w:r w:rsidR="005E4263">
        <w:t>[2]</w:t>
      </w:r>
      <w:r w:rsidRPr="00A70187">
        <w:t xml:space="preserve"> ili su sposobni</w:t>
      </w:r>
      <w:r>
        <w:t xml:space="preserve"> </w:t>
      </w:r>
      <w:r w:rsidRPr="00A70187">
        <w:t xml:space="preserve">istovremeno </w:t>
      </w:r>
      <w:r>
        <w:t>č</w:t>
      </w:r>
      <w:r w:rsidRPr="00A70187">
        <w:t>uvati i energiju kao i vektore koli</w:t>
      </w:r>
      <w:r>
        <w:t>č</w:t>
      </w:r>
      <w:r w:rsidRPr="00A70187">
        <w:t xml:space="preserve">ine kretanja </w:t>
      </w:r>
      <w:r w:rsidR="005E4263">
        <w:t>[3]</w:t>
      </w:r>
      <w:r>
        <w:t xml:space="preserve">, za razliku od formulacije </w:t>
      </w:r>
      <w:r w:rsidR="005E4263">
        <w:t>[1]</w:t>
      </w:r>
      <w:r w:rsidRPr="001D6221">
        <w:t>.</w:t>
      </w:r>
      <w:r>
        <w:t xml:space="preserve"> Ta prirodno nasl</w:t>
      </w:r>
      <w:r w:rsidR="00F91BEF">
        <w:t>i</w:t>
      </w:r>
      <w:r>
        <w:t xml:space="preserve">jeđena svojstva su vrlo atraktivna za opis </w:t>
      </w:r>
      <w:r w:rsidR="00097B4E">
        <w:t xml:space="preserve">ponašanja deformabilnih tijela </w:t>
      </w:r>
      <w:r>
        <w:t>izložen</w:t>
      </w:r>
      <w:r w:rsidR="00097B4E">
        <w:t>ih</w:t>
      </w:r>
      <w:r>
        <w:t xml:space="preserve"> velikim pomacima</w:t>
      </w:r>
      <w:r w:rsidR="00097B4E">
        <w:t xml:space="preserve">. Međutim, njihova originalna formulacija koristi nestandardne kinematičke nepoznanice kao posljedicu drugačije definicije rezultanti naprezanja </w:t>
      </w:r>
      <w:r w:rsidR="009261C4">
        <w:t xml:space="preserve">(Crtež 1) </w:t>
      </w:r>
      <w:r w:rsidR="00097B4E">
        <w:t>pa je zbog toga takve elemente teško kombinirati sa mrežama konačnih elemenata koji koriste standardne nepoznanice (pomake i rotacije)</w:t>
      </w:r>
      <w:r w:rsidR="00852B5B">
        <w:t xml:space="preserve"> što ih automatski čini manje atraktivnima</w:t>
      </w:r>
      <w:r w:rsidR="00097B4E">
        <w:t>.</w:t>
      </w:r>
    </w:p>
    <w:p w:rsidR="009261C4" w:rsidRDefault="009261C4" w:rsidP="009261C4">
      <w:pPr>
        <w:pStyle w:val="CRTEZTABLICA"/>
      </w:pPr>
      <w:r>
        <w:rPr>
          <w:noProof/>
          <w:lang w:eastAsia="hr-HR"/>
        </w:rPr>
        <w:drawing>
          <wp:inline distT="0" distB="0" distL="0" distR="0">
            <wp:extent cx="2701290" cy="2259031"/>
            <wp:effectExtent l="19050" t="0" r="3810" b="0"/>
            <wp:docPr id="1" name="Picture 2" descr="crt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t_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17" cy="226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C4" w:rsidRPr="00814F16" w:rsidRDefault="009261C4" w:rsidP="009261C4">
      <w:pPr>
        <w:pStyle w:val="CRTEZTABLICA"/>
      </w:pPr>
      <w:r>
        <w:t xml:space="preserve">Crtež 1. Odnos standardnih </w:t>
      </w:r>
      <w:r w:rsidRPr="009261C4">
        <w:rPr>
          <w:i w:val="0"/>
        </w:rPr>
        <w:t>(n, m)</w:t>
      </w:r>
      <w:r>
        <w:t xml:space="preserve"> i „fixed-pole“ </w:t>
      </w:r>
      <w:r w:rsidRPr="009261C4">
        <w:rPr>
          <w:i w:val="0"/>
        </w:rPr>
        <w:t>(</w:t>
      </w: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</m:oMath>
      <w:r w:rsidRPr="009261C4">
        <w:rPr>
          <w:i w:val="0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acc>
      </m:oMath>
      <w:r w:rsidRPr="009261C4">
        <w:rPr>
          <w:i w:val="0"/>
        </w:rPr>
        <w:t>)</w:t>
      </w:r>
      <w:r>
        <w:rPr>
          <w:i w:val="0"/>
        </w:rPr>
        <w:t xml:space="preserve"> </w:t>
      </w:r>
      <w:r>
        <w:t xml:space="preserve">rezultanti naprezanja </w:t>
      </w:r>
    </w:p>
    <w:p w:rsidR="001C0ACB" w:rsidRDefault="001D6221" w:rsidP="00B02C5D">
      <w:pPr>
        <w:pStyle w:val="TEKST"/>
      </w:pPr>
      <w:r>
        <w:t xml:space="preserve">U radu </w:t>
      </w:r>
      <w:r w:rsidR="005E4263">
        <w:t>[4]</w:t>
      </w:r>
      <w:r>
        <w:t xml:space="preserve"> dan je prijedlog konačnog elementa </w:t>
      </w:r>
      <w:r w:rsidR="00B02C5D">
        <w:t xml:space="preserve">proizvoljnog reda, </w:t>
      </w:r>
      <w:r w:rsidR="00097B4E">
        <w:t xml:space="preserve">koji </w:t>
      </w:r>
      <w:r w:rsidR="00B02C5D">
        <w:t>je dobiven modificiranim fixed-pole pristupom</w:t>
      </w:r>
      <w:r w:rsidR="00097B4E">
        <w:t xml:space="preserve">. </w:t>
      </w:r>
      <w:r w:rsidR="00B02C5D">
        <w:t xml:space="preserve">Naime, na razini čvorova uvedena je veza između standardnih i fixed-pole testnih funkcija što nam omogućuje definiciju elementa koji koristi prednosti ovog pristupa, ali istovremeno kao nepoznanice koristi standardne kinematičke veličine </w:t>
      </w:r>
      <w:r>
        <w:t xml:space="preserve">te je stoga pogodniji za kombiniranje sa ostalim mrežama konačnih elemenata. </w:t>
      </w:r>
      <w:r w:rsidR="00B02C5D">
        <w:t>Rezultati prikazani u radovima</w:t>
      </w:r>
      <w:r w:rsidR="001C0ACB">
        <w:t xml:space="preserve"> [Maja, Maja stubica] </w:t>
      </w:r>
      <w:r w:rsidR="00B02C5D">
        <w:t xml:space="preserve">dobiveni su koristeći potpuno originalne programe </w:t>
      </w:r>
      <w:r w:rsidR="001C0ACB">
        <w:t xml:space="preserve">za geometrijski nelinearnu statičku analizu prostornih konstrukcija te je pokazano da </w:t>
      </w:r>
      <w:r w:rsidR="00B02C5D">
        <w:t>bi</w:t>
      </w:r>
      <w:r w:rsidR="001C0ACB">
        <w:t xml:space="preserve"> jedna od opcija u statičkoj analizi mogla dati bolje rezultate od </w:t>
      </w:r>
      <w:r w:rsidR="00DD3239">
        <w:t>postojećih elem</w:t>
      </w:r>
      <w:r w:rsidR="00B02C5D">
        <w:t>e</w:t>
      </w:r>
      <w:r w:rsidR="00DD3239">
        <w:t>nata.</w:t>
      </w:r>
      <w:r w:rsidR="001C0ACB">
        <w:t xml:space="preserve"> To je bila motivacija za istražiti ponašanje ovakvih elemenata kod dinamičke analize u smislu robustnosti (veličine vremenskog inkrementa) te u smislu očuvanja energije kao i vektora količina kretanja.</w:t>
      </w:r>
      <w:r w:rsidR="00931D52">
        <w:t xml:space="preserve"> </w:t>
      </w:r>
      <w:r w:rsidR="001C0ACB">
        <w:t xml:space="preserve"> </w:t>
      </w:r>
    </w:p>
    <w:p w:rsidR="001D6221" w:rsidRDefault="001D6221" w:rsidP="00931D52">
      <w:pPr>
        <w:pStyle w:val="TEKST"/>
      </w:pPr>
      <w:r>
        <w:t xml:space="preserve">Iz </w:t>
      </w:r>
      <w:r w:rsidR="005E4263">
        <w:t>[4]</w:t>
      </w:r>
      <w:r>
        <w:t xml:space="preserve"> slijed</w:t>
      </w:r>
      <w:r w:rsidR="00EE7653">
        <w:t>e</w:t>
      </w:r>
      <w:r>
        <w:t xml:space="preserve"> </w:t>
      </w:r>
      <w:r w:rsidR="007D73A7">
        <w:t xml:space="preserve">čvorni </w:t>
      </w:r>
      <w:r>
        <w:t>vektor</w:t>
      </w:r>
      <w:r w:rsidR="00EE7653">
        <w:t>i</w:t>
      </w:r>
      <w:r>
        <w:t xml:space="preserve"> inercijalnih </w:t>
      </w:r>
      <w:r w:rsidR="00EE7653">
        <w:t>i unutarnjih sila koji glase</w:t>
      </w:r>
    </w:p>
    <w:p w:rsidR="00DB1E2C" w:rsidRDefault="00DB1E2C" w:rsidP="00DB1E2C">
      <w:pPr>
        <w:pStyle w:val="JEDNADZBE"/>
      </w:pPr>
      <w:r>
        <w:tab/>
      </w:r>
      <m:oMath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</m:acc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x</m:t>
        </m:r>
      </m:oMath>
      <w:r w:rsidR="00EE7653">
        <w:t xml:space="preserve">     i     </w:t>
      </w:r>
      <m:oMath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x</m:t>
        </m:r>
      </m:oMath>
      <w:r w:rsidR="00A70187">
        <w:t xml:space="preserve">,  </w:t>
      </w:r>
      <m:oMath>
        <m:r>
          <w:rPr>
            <w:rFonts w:ascii="Cambria Math" w:hAnsi="Cambria Math"/>
          </w:rPr>
          <m:t>i=1..N</m:t>
        </m:r>
      </m:oMath>
      <w:r>
        <w:tab/>
        <w:t>(1)</w:t>
      </w:r>
    </w:p>
    <w:p w:rsidR="00135685" w:rsidRDefault="007D73A7" w:rsidP="007D73A7">
      <w:pPr>
        <w:pStyle w:val="TEKST"/>
        <w:ind w:firstLine="0"/>
      </w:pPr>
      <w:r>
        <w:t xml:space="preserve">gdje </w:t>
      </w:r>
      <w:r w:rsidR="00713A98">
        <w:t xml:space="preserve">je </w:t>
      </w:r>
      <w:r w:rsidR="00713A98" w:rsidRPr="00713A98">
        <w:rPr>
          <w:i/>
        </w:rPr>
        <w:t>x</w:t>
      </w:r>
      <w:r w:rsidR="00713A98">
        <w:rPr>
          <w:i/>
        </w:rPr>
        <w:t xml:space="preserve"> </w:t>
      </w:r>
      <w:r w:rsidR="00713A98">
        <w:t xml:space="preserve">položaj poprečnog presjeka duž referentne osi grede, </w:t>
      </w:r>
      <w:r>
        <w:rPr>
          <w:i/>
        </w:rPr>
        <w:t>i</w:t>
      </w:r>
      <w:r>
        <w:t xml:space="preserve"> označava redni broj čvora konačnog elementa dok je N ukupni broj čvorova; </w:t>
      </w:r>
      <w:r w:rsidRPr="007D73A7">
        <w:rPr>
          <w:i/>
        </w:rPr>
        <w:t>L</w:t>
      </w:r>
      <w:r>
        <w:t xml:space="preserve"> je duljina elementa,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</w:rPr>
          <m:t>(x)</m:t>
        </m:r>
      </m:oMath>
      <w:r>
        <w:t xml:space="preserve"> je </w:t>
      </w:r>
      <w:r w:rsidRPr="007D73A7">
        <w:rPr>
          <w:i/>
        </w:rPr>
        <w:t>i</w:t>
      </w:r>
      <w:r>
        <w:t xml:space="preserve">-ti Lagrangeov interpolacijski polinom stupnja N-1, </w:t>
      </w:r>
      <m:oMath>
        <m:r>
          <m:rPr>
            <m:sty m:val="b"/>
          </m:rPr>
          <w:rPr>
            <w:rFonts w:ascii="Cambria Math" w:hAnsi="Cambria Math"/>
          </w:rPr>
          <m:t>r=r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</m:oMath>
      <w:r>
        <w:t xml:space="preserve"> je vektor položaja </w:t>
      </w:r>
      <w:r w:rsidR="00713A98">
        <w:t xml:space="preserve">referentne osi u </w:t>
      </w:r>
      <w:r>
        <w:t>poprečno</w:t>
      </w:r>
      <w:r w:rsidR="00713A98">
        <w:t>m</w:t>
      </w:r>
      <w:r>
        <w:t xml:space="preserve"> presjek</w:t>
      </w:r>
      <w:r w:rsidR="00713A98">
        <w:t xml:space="preserve">u x,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713A98">
        <w:t xml:space="preserve"> vektor položaja referentne osi u čvoru </w:t>
      </w:r>
      <w:r w:rsidR="00713A98" w:rsidRPr="00713A98">
        <w:rPr>
          <w:i/>
        </w:rPr>
        <w:t>i</w:t>
      </w:r>
      <w:r w:rsidR="00713A98">
        <w:t xml:space="preserve">, a </w:t>
      </w:r>
      <w:r w:rsidR="00713A98" w:rsidRPr="00713A98">
        <w:rPr>
          <w:b/>
        </w:rPr>
        <w:t>I</w:t>
      </w:r>
      <w:r w:rsidR="00713A98">
        <w:t xml:space="preserve"> i </w:t>
      </w:r>
      <w:r w:rsidR="00713A98" w:rsidRPr="00713A98">
        <w:rPr>
          <w:b/>
        </w:rPr>
        <w:t>0</w:t>
      </w:r>
      <w:r w:rsidR="00713A98">
        <w:t xml:space="preserve"> označavaju jediničnu, odnosno nul-matricu dimenzija </w:t>
      </w:r>
      <m:oMath>
        <m:r>
          <w:rPr>
            <w:rFonts w:ascii="Cambria Math" w:hAnsi="Cambria Math"/>
          </w:rPr>
          <m:t>3×3</m:t>
        </m:r>
      </m:oMath>
      <w:r w:rsidR="00713A98">
        <w:t xml:space="preserve">; </w:t>
      </w:r>
      <m:oMath>
        <m:r>
          <m:rPr>
            <m:sty m:val="b"/>
          </m:rPr>
          <w:rPr>
            <w:rFonts w:ascii="Cambria Math" w:hAnsi="Cambria Math"/>
          </w:rPr>
          <m:t>k=</m:t>
        </m:r>
        <m:r>
          <w:rPr>
            <w:rFonts w:ascii="Cambria Math" w:hAnsi="Cambria Math"/>
          </w:rPr>
          <m:t>Aρ</m:t>
        </m:r>
        <m:acc>
          <m:accPr>
            <m:chr m:val="̇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="00713A98">
        <w:t xml:space="preserve"> i </w:t>
      </w:r>
      <m:oMath>
        <m:r>
          <m:rPr>
            <m:sty m:val="b"/>
          </m:rPr>
          <w:rPr>
            <w:rFonts w:ascii="Cambria Math" w:hAnsi="Cambria Math"/>
          </w:rPr>
          <m:t>π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Λ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ρ</m:t>
            </m:r>
          </m:sub>
        </m:sSub>
        <m:r>
          <m:rPr>
            <m:sty m:val="b"/>
          </m:rPr>
          <w:rPr>
            <w:rFonts w:ascii="Cambria Math" w:hAnsi="Cambria Math"/>
          </w:rPr>
          <m:t>W</m:t>
        </m:r>
      </m:oMath>
      <w:r w:rsidR="00D41030">
        <w:t xml:space="preserve"> su specifična količina, odnosno moment količine kretanja gdje su </w:t>
      </w:r>
      <w:r w:rsidR="00D41030" w:rsidRPr="00D41030">
        <w:rPr>
          <w:i/>
        </w:rPr>
        <w:t>A</w:t>
      </w:r>
      <w:r w:rsidR="00D41030">
        <w:t xml:space="preserve"> i </w:t>
      </w:r>
      <m:oMath>
        <m:r>
          <w:rPr>
            <w:rFonts w:ascii="Cambria Math" w:hAnsi="Cambria Math"/>
          </w:rPr>
          <m:t>ρ</m:t>
        </m:r>
      </m:oMath>
      <w:r w:rsidR="00D41030">
        <w:t xml:space="preserve"> površina poprečnog presjeka te specifična gustoća materijala, 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ρ</m:t>
            </m:r>
          </m:sub>
        </m:sSub>
      </m:oMath>
      <w:r w:rsidR="00D41030">
        <w:t xml:space="preserve"> je tenzor momenata inercije, dok je </w:t>
      </w:r>
      <m:oMath>
        <m:r>
          <m:rPr>
            <m:sty m:val="b"/>
          </m:rPr>
          <w:rPr>
            <w:rFonts w:ascii="Cambria Math" w:hAnsi="Cambria Math"/>
          </w:rPr>
          <m:t>Λ</m:t>
        </m:r>
      </m:oMath>
      <w:r w:rsidR="00D41030">
        <w:t xml:space="preserve"> rotacijska matrica, a </w:t>
      </w:r>
      <m:oMath>
        <m:r>
          <m:rPr>
            <m:sty m:val="b"/>
          </m:rPr>
          <w:rPr>
            <w:rFonts w:ascii="Cambria Math" w:hAnsi="Cambria Math"/>
          </w:rPr>
          <m:t>W</m:t>
        </m:r>
      </m:oMath>
      <w:r w:rsidR="00D41030">
        <w:t xml:space="preserve"> vektor kutnih brzina s obzirom na materijalni koordinatni sustav</w:t>
      </w:r>
      <w:r w:rsidR="00EE7653">
        <w:t xml:space="preserve">; </w:t>
      </w:r>
      <m:oMath>
        <m:r>
          <m:rPr>
            <m:sty m:val="b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ΛN,N=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</w:rPr>
          <m:t>Γ</m:t>
        </m:r>
      </m:oMath>
      <w:r w:rsidR="00F6485B">
        <w:t xml:space="preserve"> i</w:t>
      </w:r>
      <w:r w:rsidR="00A17C3D">
        <w:t xml:space="preserve">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ΛN, M=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b"/>
          </m:rPr>
          <w:rPr>
            <w:rFonts w:ascii="Cambria Math" w:hAnsi="Cambria Math"/>
          </w:rPr>
          <m:t>K</m:t>
        </m:r>
      </m:oMath>
      <w:r w:rsidR="004D2968">
        <w:t xml:space="preserve"> </w:t>
      </w:r>
      <w:r w:rsidR="00A17C3D">
        <w:t>su vektori rezultanti naprezanja</w:t>
      </w:r>
      <w:r w:rsidR="004D2968">
        <w:t xml:space="preserve">, </w:t>
      </w:r>
      <m:oMath>
        <m:r>
          <m:rPr>
            <m:sty m:val="b"/>
          </m:rPr>
          <w:rPr>
            <w:rFonts w:ascii="Cambria Math" w:hAnsi="Cambria Math"/>
          </w:rPr>
          <m:t>Γ</m:t>
        </m:r>
      </m:oMath>
      <w:r w:rsidR="004D2968">
        <w:t xml:space="preserve"> i </w:t>
      </w:r>
      <m:oMath>
        <m:r>
          <m:rPr>
            <m:sty m:val="b"/>
          </m:rPr>
          <w:rPr>
            <w:rFonts w:ascii="Cambria Math" w:hAnsi="Cambria Math"/>
          </w:rPr>
          <m:t>K</m:t>
        </m:r>
      </m:oMath>
      <w:r w:rsidR="004D2968">
        <w:rPr>
          <w:b/>
        </w:rPr>
        <w:t xml:space="preserve"> </w:t>
      </w:r>
      <w:r w:rsidR="004D2968">
        <w:t>translacijske odnosno rotacijske mjere deformaci</w:t>
      </w:r>
      <w:r w:rsidR="00F6485B">
        <w:t>ja</w:t>
      </w:r>
      <w:r w:rsidR="004D2968"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4D2968">
        <w:rPr>
          <w:b/>
        </w:rPr>
        <w:t xml:space="preserve"> </w:t>
      </w:r>
      <w:r w:rsidR="004D2968" w:rsidRPr="004D2968">
        <w:t>i</w:t>
      </w:r>
      <w:r w:rsidR="004D2968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4D2968">
        <w:rPr>
          <w:b/>
        </w:rPr>
        <w:t xml:space="preserve"> </w:t>
      </w:r>
      <w:r w:rsidR="004D2968" w:rsidRPr="004D2968">
        <w:t>kons</w:t>
      </w:r>
      <w:r w:rsidR="004D2968">
        <w:t>titutivne matrice (konstitutivni zakon je linearan)</w:t>
      </w:r>
      <w:r w:rsidR="00D41030">
        <w:t xml:space="preserve">. Točkica (npr. </w:t>
      </w:r>
      <m:oMath>
        <m:acc>
          <m:accPr>
            <m:chr m:val="̇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="00D41030">
        <w:t xml:space="preserve">) označava derivaciju te veličine u vremenu, dok šeširić (npr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D41030">
        <w:t>) označava antisimetričnu matricu koja zamjenjuje vektorski produkt (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r-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m:rPr>
            <m:sty m:val="b"/>
          </m:rPr>
          <w:rPr>
            <w:rFonts w:ascii="Cambria Math" w:hAnsi="Cambria Math"/>
          </w:rPr>
          <m:t>=r-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</w:rPr>
          <m:t>×</m:t>
        </m:r>
      </m:oMath>
      <w:r w:rsidR="00D41030">
        <w:t>).</w:t>
      </w:r>
    </w:p>
    <w:p w:rsidR="001F4957" w:rsidRDefault="00135685" w:rsidP="00931D52">
      <w:pPr>
        <w:pStyle w:val="TEKST"/>
      </w:pPr>
      <w:r>
        <w:t xml:space="preserve">Integracija čvornih vektora (1) izvodi se numerički, primjenom Gaussove integracije i to sa N-1 točaka za vektor unutarnjih sila, kako bi se izbjegla pojava shear-lockinga, a sa N točaka za </w:t>
      </w:r>
      <w:r w:rsidR="004D2968">
        <w:t>vektor inercijalnih sila</w:t>
      </w:r>
      <w:r>
        <w:t xml:space="preserve">. </w:t>
      </w:r>
      <w:r w:rsidR="00F6485B">
        <w:t>U smislu kodiranja to predstavlja dodatan zahtjev, s</w:t>
      </w:r>
      <w:r w:rsidR="004D2968">
        <w:t xml:space="preserve"> obzirom na to da se rotacijska matrica </w:t>
      </w:r>
      <m:oMath>
        <m:r>
          <m:rPr>
            <m:sty m:val="b"/>
          </m:rPr>
          <w:rPr>
            <w:rFonts w:ascii="Cambria Math" w:hAnsi="Cambria Math"/>
          </w:rPr>
          <m:t>Λ</m:t>
        </m:r>
      </m:oMath>
      <w:r w:rsidR="004D2968">
        <w:t xml:space="preserve"> pojavljuje u oba vektora, </w:t>
      </w:r>
      <w:r w:rsidR="00F6485B">
        <w:t xml:space="preserve">a </w:t>
      </w:r>
      <w:r w:rsidR="004D2968">
        <w:t xml:space="preserve">to znači da </w:t>
      </w:r>
      <w:r w:rsidR="00F6485B">
        <w:t>se mora</w:t>
      </w:r>
      <w:r w:rsidR="004D2968">
        <w:t xml:space="preserve"> računati u dva seta Gaussovih točaka. U slučaju treće interpolacijske opcije iz </w:t>
      </w:r>
      <w:r w:rsidR="005E4263">
        <w:t>[4]</w:t>
      </w:r>
      <w:r w:rsidR="004D2968">
        <w:t xml:space="preserve">, vrijednosti nepoznatih funkcija </w:t>
      </w:r>
      <w:r w:rsidR="004D2968" w:rsidRPr="004D2968">
        <w:rPr>
          <w:b/>
        </w:rPr>
        <w:t>r</w:t>
      </w:r>
      <w:r w:rsidR="004D2968">
        <w:t xml:space="preserve"> se </w:t>
      </w:r>
      <w:r w:rsidR="004D2968">
        <w:lastRenderedPageBreak/>
        <w:t xml:space="preserve">ne interpoliraju nego popravljaju direktno u integracijskim točkama, što znači da se i te vrijednosti moraju i računati i pamtiti u dva seta Gaussovih točaka te na to treba obratiti pažnju pri programiranju. U preostale dvije interpolacijske opcije, </w:t>
      </w:r>
      <w:r w:rsidR="004D2968" w:rsidRPr="004D2968">
        <w:rPr>
          <w:b/>
        </w:rPr>
        <w:t>r</w:t>
      </w:r>
      <w:r w:rsidR="004D2968">
        <w:t xml:space="preserve"> interpoliramo pomoću Lagrangeovih polinoma N-1 stupnja.</w:t>
      </w:r>
    </w:p>
    <w:p w:rsidR="00EE7653" w:rsidRPr="00EE7653" w:rsidRDefault="001C0ACB" w:rsidP="001D6221">
      <w:pPr>
        <w:pStyle w:val="TEKST"/>
      </w:pPr>
      <w:r>
        <w:t>Kao najjednostavniji slučaj, r</w:t>
      </w:r>
      <w:r w:rsidR="00EE7653">
        <w:t xml:space="preserve">ješavamo problem uz odsustvo vanjskog opterećenja, pa čvorni vektor rezidualnih sila,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g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p>
      </m:oMath>
      <w:r w:rsidR="00EE7653">
        <w:t xml:space="preserve"> postaje</w:t>
      </w:r>
    </w:p>
    <w:p w:rsidR="00135685" w:rsidRDefault="00EE7653" w:rsidP="001F4957">
      <w:pPr>
        <w:pStyle w:val="JEDNADZBE"/>
      </w:pPr>
      <w:r>
        <w:tab/>
      </w:r>
      <m:oMath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g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m,n+1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i,n+1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</w:rPr>
          <m:t>=0,</m:t>
        </m:r>
      </m:oMath>
      <w:r w:rsidR="00A70187">
        <w:t xml:space="preserve">  </w:t>
      </w:r>
      <m:oMath>
        <m:r>
          <w:rPr>
            <w:rFonts w:ascii="Cambria Math" w:hAnsi="Cambria Math"/>
          </w:rPr>
          <m:t>i=1..N</m:t>
        </m:r>
      </m:oMath>
      <w:r>
        <w:tab/>
        <w:t>(2)</w:t>
      </w:r>
    </w:p>
    <w:p w:rsidR="00931D52" w:rsidRDefault="00A17C3D" w:rsidP="006B71A9">
      <w:pPr>
        <w:pStyle w:val="TEKST"/>
      </w:pPr>
      <w:r>
        <w:t xml:space="preserve">što je </w:t>
      </w:r>
      <w:r w:rsidR="00A70187">
        <w:t xml:space="preserve">sustav </w:t>
      </w:r>
      <w:r>
        <w:t>nelinearni</w:t>
      </w:r>
      <w:r w:rsidR="00A70187">
        <w:t xml:space="preserve">h jednadžbi </w:t>
      </w:r>
      <w:r>
        <w:t xml:space="preserve">koji rješavamo iterativno, primjenom Newton-Raphsonovog postupka. </w:t>
      </w:r>
      <w:r w:rsidR="00E733BF">
        <w:t>I</w:t>
      </w:r>
      <w:r w:rsidR="000F4098">
        <w:t xml:space="preserve">ndeks </w:t>
      </w:r>
      <w:r w:rsidR="000F4098" w:rsidRPr="00E733BF">
        <w:rPr>
          <w:i/>
        </w:rPr>
        <w:t>n+1</w:t>
      </w:r>
      <w:r w:rsidR="000F4098">
        <w:t xml:space="preserve"> označava da jednadžbu postavljamo u trenutku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="000F4098">
        <w:t xml:space="preserve">. Kao što je </w:t>
      </w:r>
      <w:r w:rsidR="00F6485B">
        <w:t>ranije spomenuto,</w:t>
      </w:r>
      <w:r w:rsidR="000F4098">
        <w:t xml:space="preserve"> razmatramo nekoliko mogućnosti za interpolaciju </w:t>
      </w:r>
      <w:r w:rsidR="006B71A9">
        <w:t xml:space="preserve">nepoznanica, </w:t>
      </w:r>
      <w:r w:rsidR="006B71A9" w:rsidRPr="006B71A9">
        <w:rPr>
          <w:b/>
        </w:rPr>
        <w:t>r</w:t>
      </w:r>
      <w:r w:rsidR="006B71A9">
        <w:t xml:space="preserve"> i </w:t>
      </w:r>
      <w:r w:rsidR="000F4098">
        <w:t>popravaka (odnosno probnih funkcija)</w:t>
      </w:r>
      <w:r w:rsidR="006B71A9">
        <w:t>,</w:t>
      </w:r>
      <w:r w:rsidR="000F4098">
        <w:t xml:space="preserve"> </w:t>
      </w:r>
      <m:oMath>
        <m:r>
          <w:rPr>
            <w:rFonts w:ascii="Cambria Math" w:hAnsi="Cambria Math"/>
          </w:rPr>
          <m:t>∆</m:t>
        </m:r>
        <m:r>
          <m:rPr>
            <m:sty m:val="b"/>
          </m:rPr>
          <w:rPr>
            <w:rFonts w:ascii="Cambria Math" w:hAnsi="Cambria Math"/>
          </w:rPr>
          <m:t>r</m:t>
        </m:r>
      </m:oMath>
      <w:r w:rsidR="000F4098">
        <w:t xml:space="preserve"> i </w:t>
      </w:r>
      <m:oMath>
        <m:r>
          <w:rPr>
            <w:rFonts w:ascii="Cambria Math" w:hAnsi="Cambria Math"/>
          </w:rPr>
          <m:t>∆</m:t>
        </m:r>
        <m:r>
          <m:rPr>
            <m:sty m:val="b"/>
          </m:rPr>
          <w:rPr>
            <w:rFonts w:ascii="Cambria Math" w:hAnsi="Cambria Math"/>
          </w:rPr>
          <m:t>ϑ</m:t>
        </m:r>
      </m:oMath>
      <w:r w:rsidR="006B71A9">
        <w:t>.</w:t>
      </w:r>
    </w:p>
    <w:p w:rsidR="000F4098" w:rsidRDefault="00E733BF" w:rsidP="006B71A9">
      <w:pPr>
        <w:pStyle w:val="TEKST"/>
      </w:pPr>
      <w:r>
        <w:t xml:space="preserve">Vrijednosti brzina i akceleracija se unutar svake iteracije popravljaju pomoću Newmarkovih formula kao što je prikazano u </w:t>
      </w:r>
      <w:r w:rsidR="005E4263">
        <w:t>[1]</w:t>
      </w:r>
      <w:r>
        <w:t xml:space="preserve"> i popravljaju se inkrementalno </w:t>
      </w:r>
      <w:r w:rsidR="005E4263">
        <w:t>[6]</w:t>
      </w:r>
      <w:r>
        <w:t xml:space="preserve"> što znači da nove vrijednosti uvijek ovise samo o zadnjim iskonvergiranim vrijednostima, a ne o vrijednostima iz zadnje iteracije </w:t>
      </w:r>
      <w:r w:rsidR="00931D52">
        <w:t>te na taj način izbjegavamo da izračunate veličine ovise o veličinama koje nisu povezane sa stanjem dinamičke ravnoteže.</w:t>
      </w:r>
      <w:r w:rsidR="0078216C">
        <w:t xml:space="preserve"> Na taj način iskodirana je druga interpolacijska opcija u programskom paketu Wolfram Mathematica.</w:t>
      </w:r>
    </w:p>
    <w:p w:rsidR="00A17C3D" w:rsidRDefault="0078216C" w:rsidP="0078216C">
      <w:pPr>
        <w:pStyle w:val="TEKST"/>
      </w:pPr>
      <w:r>
        <w:t>Preliminarni rezultati pokazuju da ovakva implementacija nije dovoljno robustna, ali treba razmotriti i ostale interpolacijske opcije. Kao moguće poboljšanje, razmotrit će se drugačije sheme numeričke integracije u vremenu.</w:t>
      </w:r>
    </w:p>
    <w:p w:rsidR="00F6485B" w:rsidRDefault="00F6485B" w:rsidP="00F6485B">
      <w:pPr>
        <w:pStyle w:val="PODNASLOV"/>
        <w:tabs>
          <w:tab w:val="left" w:pos="1902"/>
        </w:tabs>
      </w:pPr>
      <w:r>
        <w:t>Zahvala</w:t>
      </w:r>
    </w:p>
    <w:p w:rsidR="0078216C" w:rsidRPr="0078216C" w:rsidRDefault="0078216C" w:rsidP="0078216C">
      <w:pPr>
        <w:pStyle w:val="TEKST"/>
      </w:pPr>
      <w:r w:rsidRPr="0078216C">
        <w:t>Istraživanje koje je rezultiralo ovim radom je provedeno u sklopu znanstvenog projekta br. 114-0000000-3025: “Unapredivanje točnosti nelinearnih grednih elemenata s neograničenim 3D rotacijama” koji je financijski podržalo Ministarstvo znanosti, obrazovanja i sporta Republike Hrvatske. Dodatno se zahvaljujem Hrvatskoj zakladi za znanost koja je sufinancirala projekt br. 03.01/129 iz programa “Stipendije za doktorante” s naslovom “Očuvanje mehaničkih konstanti pri numeričkoj integraciji nelinearnih jednadžbi kretanja grede u vremenu”.</w:t>
      </w:r>
    </w:p>
    <w:p w:rsidR="002F1FF4" w:rsidRDefault="002F1FF4" w:rsidP="00DE6818">
      <w:pPr>
        <w:pStyle w:val="PODNASLOV"/>
        <w:tabs>
          <w:tab w:val="left" w:pos="1902"/>
        </w:tabs>
      </w:pPr>
      <w:r>
        <w:t>Literatura</w:t>
      </w:r>
    </w:p>
    <w:p w:rsidR="0078216C" w:rsidRDefault="005E4263" w:rsidP="001A1205">
      <w:pPr>
        <w:pStyle w:val="LITERATURA"/>
      </w:pPr>
      <w:r>
        <w:t>[1]</w:t>
      </w:r>
      <w:r w:rsidR="0078216C">
        <w:tab/>
      </w:r>
      <w:r w:rsidR="001A1205">
        <w:t>Simo, J.C. &amp; Vu-Quoc, L.: On the dynamics in space of rods undergoing large motions—A geometrically exact approach, Computer Methods in Applied Mechanics and Engineering, vol. 66, no. 2, str. 125–161, 1988.</w:t>
      </w:r>
    </w:p>
    <w:p w:rsidR="001A1205" w:rsidRDefault="005E4263" w:rsidP="001A1205">
      <w:pPr>
        <w:pStyle w:val="LITERATURA"/>
      </w:pPr>
      <w:r>
        <w:t>[2]</w:t>
      </w:r>
      <w:r w:rsidR="001A1205">
        <w:tab/>
        <w:t>Borri, M. &amp; Bottasso, C.: An intrinsic beam model based on a helicoidal approximation—Part I: Formulation, International Journal for Numerical Methods in Engineering, vol. 37, no. 13, str. 2267–2289, 1994.</w:t>
      </w:r>
    </w:p>
    <w:p w:rsidR="001D6221" w:rsidRDefault="005E4263" w:rsidP="001A1205">
      <w:pPr>
        <w:pStyle w:val="LITERATURA"/>
      </w:pPr>
      <w:r>
        <w:t>[3]</w:t>
      </w:r>
      <w:r w:rsidR="001D6221">
        <w:tab/>
      </w:r>
      <w:r w:rsidR="001A1205">
        <w:t>Bottasso, C. &amp; Borri, M.: Integrating finite rotations, Computer Methods in Applied Mechanics and Engineering, vol. 164, no. 3-4, str. 307–331, 1998.</w:t>
      </w:r>
    </w:p>
    <w:p w:rsidR="001D6221" w:rsidRDefault="005E4263" w:rsidP="001D6221">
      <w:pPr>
        <w:pStyle w:val="LITERATURA"/>
      </w:pPr>
      <w:r>
        <w:t>[4]</w:t>
      </w:r>
      <w:r w:rsidR="001D6221">
        <w:tab/>
      </w:r>
      <w:r w:rsidR="001A1205">
        <w:t>Jelenić, G., Gaćeša, M. &amp; Saje, M.:</w:t>
      </w:r>
      <w:r>
        <w:t xml:space="preserve"> </w:t>
      </w:r>
      <w:r w:rsidRPr="005E4263">
        <w:t>A note on relationship between fixed-pole and moving-pole approaches in static and dynamic analysis of non-linear spatial beam structures</w:t>
      </w:r>
      <w:r>
        <w:t xml:space="preserve">, </w:t>
      </w:r>
      <w:r w:rsidRPr="005E4263">
        <w:t>6th European Congress on Computational Methods in Applied Sciences and Engineeri</w:t>
      </w:r>
      <w:r>
        <w:t>ng Proceedings, Beč, 2012.</w:t>
      </w:r>
    </w:p>
    <w:p w:rsidR="005E4263" w:rsidRDefault="005E4263" w:rsidP="001D6221">
      <w:pPr>
        <w:pStyle w:val="LITERATURA"/>
      </w:pPr>
      <w:r>
        <w:t>[5]</w:t>
      </w:r>
      <w:r>
        <w:tab/>
        <w:t>Gaćeša, M. &amp; Jelenić, G.: Geometrijski točan 3D gredni konačni element – koncept nepomičnog pola, Zbornik radova petog susreta Hrvatskog društva za mehaniku, Zagreb, 2013.</w:t>
      </w:r>
    </w:p>
    <w:p w:rsidR="001D6221" w:rsidRDefault="005E4263" w:rsidP="005E4263">
      <w:pPr>
        <w:pStyle w:val="LITERATURA"/>
      </w:pPr>
      <w:r>
        <w:t>[6]</w:t>
      </w:r>
      <w:r>
        <w:tab/>
        <w:t>Jelenić , G. &amp; Crisfield, M.: Geometrically exact 3D beam theory: implementation of a strain-invariant finite element for statics and dynamics, Computer Methods in Applied Mechanics and Engineering, vol. 171, no. 1-2, str. 141–171, 1999</w:t>
      </w:r>
    </w:p>
    <w:p w:rsidR="001D6221" w:rsidRPr="00D76B02" w:rsidRDefault="001D6221" w:rsidP="00931DCB">
      <w:pPr>
        <w:pStyle w:val="LITERATURA"/>
      </w:pPr>
    </w:p>
    <w:sectPr w:rsidR="001D6221" w:rsidRPr="00D76B02" w:rsidSect="003E290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964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C0" w:rsidRDefault="00947FC0" w:rsidP="00633BFC">
      <w:r>
        <w:separator/>
      </w:r>
    </w:p>
  </w:endnote>
  <w:endnote w:type="continuationSeparator" w:id="1">
    <w:p w:rsidR="00947FC0" w:rsidRDefault="00947FC0" w:rsidP="0063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F4" w:rsidRPr="00F80375" w:rsidRDefault="00422224" w:rsidP="00DB6A62">
    <w:pPr>
      <w:pStyle w:val="Footer"/>
      <w:jc w:val="center"/>
      <w:rPr>
        <w:sz w:val="20"/>
        <w:szCs w:val="20"/>
      </w:rPr>
    </w:pPr>
    <w:r w:rsidRPr="00F80375">
      <w:rPr>
        <w:sz w:val="20"/>
        <w:szCs w:val="20"/>
      </w:rPr>
      <w:fldChar w:fldCharType="begin"/>
    </w:r>
    <w:r w:rsidR="002F1FF4" w:rsidRPr="00F80375">
      <w:rPr>
        <w:sz w:val="20"/>
        <w:szCs w:val="20"/>
      </w:rPr>
      <w:instrText>PAGE   \* MERGEFORMAT</w:instrText>
    </w:r>
    <w:r w:rsidRPr="00F80375">
      <w:rPr>
        <w:sz w:val="20"/>
        <w:szCs w:val="20"/>
      </w:rPr>
      <w:fldChar w:fldCharType="separate"/>
    </w:r>
    <w:r w:rsidR="00F91BEF">
      <w:rPr>
        <w:noProof/>
        <w:sz w:val="20"/>
        <w:szCs w:val="20"/>
      </w:rPr>
      <w:t>2</w:t>
    </w:r>
    <w:r w:rsidRPr="00F8037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F4" w:rsidRPr="00F80375" w:rsidRDefault="00422224" w:rsidP="005D3276">
    <w:pPr>
      <w:pStyle w:val="Footer"/>
      <w:jc w:val="center"/>
      <w:rPr>
        <w:sz w:val="20"/>
        <w:szCs w:val="20"/>
      </w:rPr>
    </w:pPr>
    <w:r w:rsidRPr="00F80375">
      <w:rPr>
        <w:sz w:val="20"/>
        <w:szCs w:val="20"/>
      </w:rPr>
      <w:fldChar w:fldCharType="begin"/>
    </w:r>
    <w:r w:rsidR="002F1FF4" w:rsidRPr="00F80375">
      <w:rPr>
        <w:sz w:val="20"/>
        <w:szCs w:val="20"/>
      </w:rPr>
      <w:instrText>PAGE   \* MERGEFORMAT</w:instrText>
    </w:r>
    <w:r w:rsidRPr="00F80375">
      <w:rPr>
        <w:sz w:val="20"/>
        <w:szCs w:val="20"/>
      </w:rPr>
      <w:fldChar w:fldCharType="separate"/>
    </w:r>
    <w:r w:rsidR="00F91BEF">
      <w:rPr>
        <w:noProof/>
        <w:sz w:val="20"/>
        <w:szCs w:val="20"/>
      </w:rPr>
      <w:t>1</w:t>
    </w:r>
    <w:r w:rsidRPr="00F8037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C0" w:rsidRDefault="00947FC0" w:rsidP="00633BFC">
      <w:r>
        <w:separator/>
      </w:r>
    </w:p>
  </w:footnote>
  <w:footnote w:type="continuationSeparator" w:id="1">
    <w:p w:rsidR="00947FC0" w:rsidRDefault="00947FC0" w:rsidP="0063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F4" w:rsidRPr="00C9476D" w:rsidRDefault="002F1FF4" w:rsidP="00CC5B68">
    <w:pPr>
      <w:pStyle w:val="Header"/>
      <w:tabs>
        <w:tab w:val="clear" w:pos="4536"/>
      </w:tabs>
      <w:jc w:val="left"/>
      <w:rPr>
        <w:sz w:val="16"/>
        <w:szCs w:val="16"/>
      </w:rPr>
    </w:pPr>
    <w:r w:rsidRPr="00C9476D">
      <w:rPr>
        <w:sz w:val="16"/>
        <w:szCs w:val="16"/>
      </w:rPr>
      <w:t>Prvi skup mladih istraživača iz područja građevinarstva, arhitekture i geodezije</w:t>
    </w:r>
  </w:p>
  <w:p w:rsidR="002F1FF4" w:rsidRPr="00C9476D" w:rsidRDefault="002F1FF4" w:rsidP="00CC5B68">
    <w:pPr>
      <w:pStyle w:val="Header"/>
      <w:tabs>
        <w:tab w:val="clear" w:pos="4536"/>
      </w:tabs>
      <w:jc w:val="left"/>
      <w:rPr>
        <w:sz w:val="16"/>
        <w:szCs w:val="16"/>
      </w:rPr>
    </w:pPr>
    <w:r w:rsidRPr="00C9476D">
      <w:rPr>
        <w:sz w:val="16"/>
        <w:szCs w:val="16"/>
      </w:rPr>
      <w:t>ZAJEDNIČKI TEMELJI, Split, 26.-27. 09. 2013.</w:t>
    </w:r>
  </w:p>
  <w:p w:rsidR="002F1FF4" w:rsidRPr="009171D4" w:rsidRDefault="002F1FF4" w:rsidP="009171D4">
    <w:pPr>
      <w:pStyle w:val="Header"/>
      <w:tabs>
        <w:tab w:val="clear" w:pos="4536"/>
      </w:tabs>
      <w:jc w:val="lef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F4" w:rsidRPr="00C9476D" w:rsidRDefault="002F1FF4" w:rsidP="005D3276">
    <w:pPr>
      <w:pStyle w:val="Header"/>
      <w:tabs>
        <w:tab w:val="clear" w:pos="4536"/>
      </w:tabs>
      <w:jc w:val="right"/>
      <w:rPr>
        <w:sz w:val="16"/>
        <w:szCs w:val="16"/>
      </w:rPr>
    </w:pPr>
    <w:r w:rsidRPr="00C9476D">
      <w:rPr>
        <w:sz w:val="16"/>
        <w:szCs w:val="16"/>
      </w:rPr>
      <w:t>Prvi skup mladih istraživača iz područja građevinarstva, arhitekture i geodezije</w:t>
    </w:r>
  </w:p>
  <w:p w:rsidR="002F1FF4" w:rsidRPr="00C9476D" w:rsidRDefault="002F1FF4" w:rsidP="005D3276">
    <w:pPr>
      <w:pStyle w:val="Header"/>
      <w:tabs>
        <w:tab w:val="clear" w:pos="4536"/>
      </w:tabs>
      <w:jc w:val="right"/>
      <w:rPr>
        <w:sz w:val="16"/>
        <w:szCs w:val="16"/>
      </w:rPr>
    </w:pPr>
    <w:r w:rsidRPr="00C9476D">
      <w:rPr>
        <w:sz w:val="16"/>
        <w:szCs w:val="16"/>
      </w:rPr>
      <w:t>ZAJEDNIČKI TEMELJI, Split, 26.-27. 09.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19F"/>
    <w:multiLevelType w:val="hybridMultilevel"/>
    <w:tmpl w:val="024EE488"/>
    <w:lvl w:ilvl="0" w:tplc="6694D9E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B6"/>
    <w:rsid w:val="00002765"/>
    <w:rsid w:val="00021484"/>
    <w:rsid w:val="00022DF6"/>
    <w:rsid w:val="000843C8"/>
    <w:rsid w:val="00097B4E"/>
    <w:rsid w:val="000C2973"/>
    <w:rsid w:val="000C58E2"/>
    <w:rsid w:val="000E3D90"/>
    <w:rsid w:val="000E68BF"/>
    <w:rsid w:val="000F4098"/>
    <w:rsid w:val="001102A9"/>
    <w:rsid w:val="0011775C"/>
    <w:rsid w:val="00135685"/>
    <w:rsid w:val="00135E70"/>
    <w:rsid w:val="00162DE0"/>
    <w:rsid w:val="00182570"/>
    <w:rsid w:val="001A1205"/>
    <w:rsid w:val="001A3562"/>
    <w:rsid w:val="001B613F"/>
    <w:rsid w:val="001C0ACB"/>
    <w:rsid w:val="001D6221"/>
    <w:rsid w:val="001E44B4"/>
    <w:rsid w:val="001F4957"/>
    <w:rsid w:val="00220DF3"/>
    <w:rsid w:val="0028366C"/>
    <w:rsid w:val="002A611A"/>
    <w:rsid w:val="002B139A"/>
    <w:rsid w:val="002B407E"/>
    <w:rsid w:val="002B641F"/>
    <w:rsid w:val="002C4967"/>
    <w:rsid w:val="002E75B7"/>
    <w:rsid w:val="002F1FF4"/>
    <w:rsid w:val="003036B3"/>
    <w:rsid w:val="00324DBB"/>
    <w:rsid w:val="00392978"/>
    <w:rsid w:val="00395881"/>
    <w:rsid w:val="003A3DCA"/>
    <w:rsid w:val="003B1026"/>
    <w:rsid w:val="003C18E6"/>
    <w:rsid w:val="003E2905"/>
    <w:rsid w:val="003E74E3"/>
    <w:rsid w:val="00407B90"/>
    <w:rsid w:val="00422224"/>
    <w:rsid w:val="004239EB"/>
    <w:rsid w:val="00430DE3"/>
    <w:rsid w:val="004331AB"/>
    <w:rsid w:val="00440C67"/>
    <w:rsid w:val="0044558C"/>
    <w:rsid w:val="00453C65"/>
    <w:rsid w:val="00477023"/>
    <w:rsid w:val="00496B23"/>
    <w:rsid w:val="004B7EF8"/>
    <w:rsid w:val="004D2968"/>
    <w:rsid w:val="004E27FB"/>
    <w:rsid w:val="004F0D4C"/>
    <w:rsid w:val="004F6704"/>
    <w:rsid w:val="0051122E"/>
    <w:rsid w:val="00520299"/>
    <w:rsid w:val="00531BE9"/>
    <w:rsid w:val="0053727E"/>
    <w:rsid w:val="00541F3B"/>
    <w:rsid w:val="005A2C2B"/>
    <w:rsid w:val="005B08BC"/>
    <w:rsid w:val="005B3FC8"/>
    <w:rsid w:val="005C3FC0"/>
    <w:rsid w:val="005C6CE2"/>
    <w:rsid w:val="005D2C49"/>
    <w:rsid w:val="005D3276"/>
    <w:rsid w:val="005E3FE9"/>
    <w:rsid w:val="005E4263"/>
    <w:rsid w:val="0061065D"/>
    <w:rsid w:val="00633BFC"/>
    <w:rsid w:val="00652F76"/>
    <w:rsid w:val="00660954"/>
    <w:rsid w:val="00664D31"/>
    <w:rsid w:val="00682B3D"/>
    <w:rsid w:val="006A195B"/>
    <w:rsid w:val="006A4F3A"/>
    <w:rsid w:val="006B0D4C"/>
    <w:rsid w:val="006B2EF5"/>
    <w:rsid w:val="006B71A9"/>
    <w:rsid w:val="006D41A8"/>
    <w:rsid w:val="006E1977"/>
    <w:rsid w:val="006E271F"/>
    <w:rsid w:val="006E2827"/>
    <w:rsid w:val="006E59DD"/>
    <w:rsid w:val="00713A98"/>
    <w:rsid w:val="00713DCA"/>
    <w:rsid w:val="0073130D"/>
    <w:rsid w:val="007550ED"/>
    <w:rsid w:val="0076415D"/>
    <w:rsid w:val="00767B57"/>
    <w:rsid w:val="00775C33"/>
    <w:rsid w:val="0078216C"/>
    <w:rsid w:val="007913DE"/>
    <w:rsid w:val="007C7837"/>
    <w:rsid w:val="007D11B5"/>
    <w:rsid w:val="007D1824"/>
    <w:rsid w:val="007D73A7"/>
    <w:rsid w:val="007E6241"/>
    <w:rsid w:val="007F1AB6"/>
    <w:rsid w:val="007F3981"/>
    <w:rsid w:val="00805595"/>
    <w:rsid w:val="00814F16"/>
    <w:rsid w:val="00816F4F"/>
    <w:rsid w:val="008309DA"/>
    <w:rsid w:val="00847DD3"/>
    <w:rsid w:val="00852B5B"/>
    <w:rsid w:val="008851CE"/>
    <w:rsid w:val="008876D5"/>
    <w:rsid w:val="00892767"/>
    <w:rsid w:val="008B7F49"/>
    <w:rsid w:val="008D1F67"/>
    <w:rsid w:val="008D2886"/>
    <w:rsid w:val="009023FA"/>
    <w:rsid w:val="009171D4"/>
    <w:rsid w:val="0092545E"/>
    <w:rsid w:val="009261C4"/>
    <w:rsid w:val="00931D52"/>
    <w:rsid w:val="00931DCB"/>
    <w:rsid w:val="009418C7"/>
    <w:rsid w:val="009436E4"/>
    <w:rsid w:val="00947FC0"/>
    <w:rsid w:val="009B3DA2"/>
    <w:rsid w:val="009C3149"/>
    <w:rsid w:val="009E44B1"/>
    <w:rsid w:val="009E6B46"/>
    <w:rsid w:val="00A17C3D"/>
    <w:rsid w:val="00A378EC"/>
    <w:rsid w:val="00A45FE7"/>
    <w:rsid w:val="00A70187"/>
    <w:rsid w:val="00A8783D"/>
    <w:rsid w:val="00A87A14"/>
    <w:rsid w:val="00A90ABF"/>
    <w:rsid w:val="00A9404E"/>
    <w:rsid w:val="00AB51B6"/>
    <w:rsid w:val="00AD3648"/>
    <w:rsid w:val="00AD4E80"/>
    <w:rsid w:val="00B02C5D"/>
    <w:rsid w:val="00B04DDD"/>
    <w:rsid w:val="00B82FCE"/>
    <w:rsid w:val="00B86BC7"/>
    <w:rsid w:val="00B96EE0"/>
    <w:rsid w:val="00BD4A44"/>
    <w:rsid w:val="00C25758"/>
    <w:rsid w:val="00C562A2"/>
    <w:rsid w:val="00C9476D"/>
    <w:rsid w:val="00CA3A4E"/>
    <w:rsid w:val="00CA5F78"/>
    <w:rsid w:val="00CA73E4"/>
    <w:rsid w:val="00CC5B68"/>
    <w:rsid w:val="00CE0EA7"/>
    <w:rsid w:val="00CF7708"/>
    <w:rsid w:val="00CF78AA"/>
    <w:rsid w:val="00D0605B"/>
    <w:rsid w:val="00D3129C"/>
    <w:rsid w:val="00D41030"/>
    <w:rsid w:val="00D62DCA"/>
    <w:rsid w:val="00D6616C"/>
    <w:rsid w:val="00D67779"/>
    <w:rsid w:val="00D76B02"/>
    <w:rsid w:val="00DA03F5"/>
    <w:rsid w:val="00DA3AB6"/>
    <w:rsid w:val="00DB1E2C"/>
    <w:rsid w:val="00DB3947"/>
    <w:rsid w:val="00DB6A62"/>
    <w:rsid w:val="00DD0453"/>
    <w:rsid w:val="00DD3239"/>
    <w:rsid w:val="00DE6818"/>
    <w:rsid w:val="00DF0C8E"/>
    <w:rsid w:val="00DF0D3C"/>
    <w:rsid w:val="00E2797D"/>
    <w:rsid w:val="00E3642C"/>
    <w:rsid w:val="00E412FD"/>
    <w:rsid w:val="00E47C47"/>
    <w:rsid w:val="00E5356E"/>
    <w:rsid w:val="00E62F63"/>
    <w:rsid w:val="00E706C5"/>
    <w:rsid w:val="00E733BF"/>
    <w:rsid w:val="00E976AB"/>
    <w:rsid w:val="00EB7623"/>
    <w:rsid w:val="00ED1171"/>
    <w:rsid w:val="00EE7653"/>
    <w:rsid w:val="00F122D6"/>
    <w:rsid w:val="00F3042E"/>
    <w:rsid w:val="00F56DC4"/>
    <w:rsid w:val="00F6485B"/>
    <w:rsid w:val="00F80375"/>
    <w:rsid w:val="00F86A53"/>
    <w:rsid w:val="00F91BEF"/>
    <w:rsid w:val="00FD046E"/>
    <w:rsid w:val="00FD1D5C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4C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B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33B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3B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33B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3BF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7913DE"/>
    <w:pPr>
      <w:spacing w:before="200" w:after="120"/>
      <w:jc w:val="center"/>
    </w:pPr>
    <w:rPr>
      <w:rFonts w:ascii="Times New Roman" w:hAnsi="Times New Roman"/>
      <w:b/>
      <w:sz w:val="24"/>
      <w:szCs w:val="24"/>
    </w:rPr>
  </w:style>
  <w:style w:type="paragraph" w:customStyle="1" w:styleId="Imeprezimefakultet">
    <w:name w:val="Ime_prezime_fakultet"/>
    <w:basedOn w:val="Normal"/>
    <w:link w:val="ImeprezimefakultetChar"/>
    <w:uiPriority w:val="99"/>
    <w:rsid w:val="007913DE"/>
    <w:pPr>
      <w:spacing w:before="60" w:after="60"/>
      <w:jc w:val="center"/>
    </w:pPr>
    <w:rPr>
      <w:rFonts w:ascii="Times New Roman" w:hAnsi="Times New Roman"/>
      <w:i/>
    </w:rPr>
  </w:style>
  <w:style w:type="character" w:customStyle="1" w:styleId="NASLOVChar">
    <w:name w:val="NASLOV Char"/>
    <w:link w:val="NASLOV"/>
    <w:uiPriority w:val="99"/>
    <w:locked/>
    <w:rsid w:val="007913DE"/>
    <w:rPr>
      <w:rFonts w:ascii="Times New Roman" w:hAnsi="Times New Roman"/>
      <w:b/>
      <w:sz w:val="24"/>
      <w:szCs w:val="24"/>
      <w:lang w:eastAsia="en-US"/>
    </w:rPr>
  </w:style>
  <w:style w:type="paragraph" w:customStyle="1" w:styleId="PODNASLOV">
    <w:name w:val="PODNASLOV"/>
    <w:basedOn w:val="Normal"/>
    <w:link w:val="PODNASLOVChar"/>
    <w:uiPriority w:val="99"/>
    <w:rsid w:val="000C58E2"/>
    <w:pPr>
      <w:spacing w:before="240" w:after="120"/>
    </w:pPr>
    <w:rPr>
      <w:rFonts w:ascii="Times New Roman" w:hAnsi="Times New Roman"/>
      <w:b/>
      <w:i/>
    </w:rPr>
  </w:style>
  <w:style w:type="character" w:customStyle="1" w:styleId="ImeprezimefakultetChar">
    <w:name w:val="Ime_prezime_fakultet Char"/>
    <w:link w:val="Imeprezimefakultet"/>
    <w:uiPriority w:val="99"/>
    <w:locked/>
    <w:rsid w:val="007913DE"/>
    <w:rPr>
      <w:rFonts w:ascii="Times New Roman" w:hAnsi="Times New Roman"/>
      <w:i/>
      <w:sz w:val="22"/>
      <w:szCs w:val="22"/>
      <w:lang w:eastAsia="en-US"/>
    </w:rPr>
  </w:style>
  <w:style w:type="paragraph" w:customStyle="1" w:styleId="TEKST">
    <w:name w:val="TEKST"/>
    <w:basedOn w:val="Normal"/>
    <w:link w:val="TEKSTChar"/>
    <w:uiPriority w:val="99"/>
    <w:qFormat/>
    <w:rsid w:val="00477023"/>
    <w:pPr>
      <w:ind w:firstLine="284"/>
    </w:pPr>
    <w:rPr>
      <w:rFonts w:ascii="Times New Roman" w:hAnsi="Times New Roman"/>
      <w:sz w:val="20"/>
    </w:rPr>
  </w:style>
  <w:style w:type="character" w:customStyle="1" w:styleId="PODNASLOVChar">
    <w:name w:val="PODNASLOV Char"/>
    <w:link w:val="PODNASLOV"/>
    <w:uiPriority w:val="99"/>
    <w:locked/>
    <w:rsid w:val="000C58E2"/>
    <w:rPr>
      <w:rFonts w:ascii="Times New Roman" w:hAnsi="Times New Roman" w:cs="Times New Roman"/>
      <w:b/>
      <w:i/>
    </w:rPr>
  </w:style>
  <w:style w:type="paragraph" w:customStyle="1" w:styleId="LITERATURA">
    <w:name w:val="LITERATURA"/>
    <w:basedOn w:val="TEKST"/>
    <w:link w:val="LITERATURAChar"/>
    <w:uiPriority w:val="99"/>
    <w:rsid w:val="0051122E"/>
    <w:pPr>
      <w:ind w:left="426" w:hanging="426"/>
    </w:pPr>
  </w:style>
  <w:style w:type="character" w:customStyle="1" w:styleId="TEKSTChar">
    <w:name w:val="TEKST Char"/>
    <w:link w:val="TEKST"/>
    <w:uiPriority w:val="99"/>
    <w:locked/>
    <w:rsid w:val="00477023"/>
    <w:rPr>
      <w:rFonts w:ascii="Times New Roman" w:hAnsi="Times New Roman" w:cs="Times New Roman"/>
      <w:sz w:val="20"/>
    </w:rPr>
  </w:style>
  <w:style w:type="paragraph" w:customStyle="1" w:styleId="JEDNADZBE">
    <w:name w:val="JEDNADZBE"/>
    <w:basedOn w:val="TEKST"/>
    <w:link w:val="JEDNADZBEChar"/>
    <w:uiPriority w:val="99"/>
    <w:rsid w:val="00D6616C"/>
    <w:pPr>
      <w:tabs>
        <w:tab w:val="center" w:pos="4820"/>
        <w:tab w:val="right" w:pos="9637"/>
      </w:tabs>
      <w:spacing w:before="40" w:after="40"/>
    </w:pPr>
  </w:style>
  <w:style w:type="character" w:customStyle="1" w:styleId="LITERATURAChar">
    <w:name w:val="LITERATURA Char"/>
    <w:link w:val="LITERATURA"/>
    <w:uiPriority w:val="99"/>
    <w:locked/>
    <w:rsid w:val="0051122E"/>
    <w:rPr>
      <w:rFonts w:ascii="Times New Roman" w:hAnsi="Times New Roman" w:cs="Times New Roman"/>
      <w:sz w:val="20"/>
    </w:rPr>
  </w:style>
  <w:style w:type="paragraph" w:customStyle="1" w:styleId="CRTEZTABLICA">
    <w:name w:val="CRTEZ_TABLICA"/>
    <w:basedOn w:val="TEKST"/>
    <w:link w:val="CRTEZTABLICAChar"/>
    <w:uiPriority w:val="99"/>
    <w:rsid w:val="00395881"/>
    <w:pPr>
      <w:spacing w:before="40" w:after="40"/>
      <w:jc w:val="center"/>
    </w:pPr>
    <w:rPr>
      <w:b/>
      <w:i/>
    </w:rPr>
  </w:style>
  <w:style w:type="character" w:customStyle="1" w:styleId="JEDNADZBEChar">
    <w:name w:val="JEDNADZBE Char"/>
    <w:link w:val="JEDNADZBE"/>
    <w:uiPriority w:val="99"/>
    <w:locked/>
    <w:rsid w:val="00D6616C"/>
    <w:rPr>
      <w:rFonts w:ascii="Times New Roman" w:hAnsi="Times New Roman" w:cs="Times New Roman"/>
      <w:sz w:val="20"/>
    </w:rPr>
  </w:style>
  <w:style w:type="character" w:customStyle="1" w:styleId="CRTEZTABLICAChar">
    <w:name w:val="CRTEZ_TABLICA Char"/>
    <w:link w:val="CRTEZTABLICA"/>
    <w:uiPriority w:val="99"/>
    <w:locked/>
    <w:rsid w:val="00395881"/>
    <w:rPr>
      <w:rFonts w:ascii="Times New Roman" w:hAnsi="Times New Roman" w:cs="Times New Roman"/>
      <w:b/>
      <w:i/>
      <w:sz w:val="20"/>
    </w:rPr>
  </w:style>
  <w:style w:type="table" w:styleId="TableGrid">
    <w:name w:val="Table Grid"/>
    <w:basedOn w:val="TableNormal"/>
    <w:uiPriority w:val="99"/>
    <w:rsid w:val="0039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1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77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775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D73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Trogrlic</dc:creator>
  <cp:keywords/>
  <cp:lastModifiedBy>Maja</cp:lastModifiedBy>
  <cp:revision>12</cp:revision>
  <cp:lastPrinted>2013-06-27T13:37:00Z</cp:lastPrinted>
  <dcterms:created xsi:type="dcterms:W3CDTF">2013-08-30T11:26:00Z</dcterms:created>
  <dcterms:modified xsi:type="dcterms:W3CDTF">2013-08-31T08:02:00Z</dcterms:modified>
</cp:coreProperties>
</file>