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BFB" w:rsidRDefault="007213D8" w:rsidP="007213D8">
      <w:pPr>
        <w:jc w:val="center"/>
        <w:rPr>
          <w:rFonts w:ascii="Times New Roman" w:hAnsi="Times New Roman" w:cs="Times New Roman"/>
          <w:b/>
          <w:sz w:val="24"/>
          <w:szCs w:val="24"/>
        </w:rPr>
      </w:pPr>
      <w:r w:rsidRPr="007213D8">
        <w:rPr>
          <w:rFonts w:ascii="Times New Roman" w:hAnsi="Times New Roman" w:cs="Times New Roman"/>
          <w:b/>
          <w:sz w:val="24"/>
          <w:szCs w:val="24"/>
        </w:rPr>
        <w:t>Izazovi  europsk</w:t>
      </w:r>
      <w:r w:rsidR="00637FD4">
        <w:rPr>
          <w:rFonts w:ascii="Times New Roman" w:hAnsi="Times New Roman" w:cs="Times New Roman"/>
          <w:b/>
          <w:sz w:val="24"/>
          <w:szCs w:val="24"/>
        </w:rPr>
        <w:t>e b</w:t>
      </w:r>
      <w:r w:rsidR="00AA121A">
        <w:rPr>
          <w:rFonts w:ascii="Times New Roman" w:hAnsi="Times New Roman" w:cs="Times New Roman"/>
          <w:b/>
          <w:sz w:val="24"/>
          <w:szCs w:val="24"/>
        </w:rPr>
        <w:t>ankarsko-dužničke krize i  pozicija</w:t>
      </w:r>
      <w:r w:rsidR="00637FD4">
        <w:rPr>
          <w:rFonts w:ascii="Times New Roman" w:hAnsi="Times New Roman" w:cs="Times New Roman"/>
          <w:b/>
          <w:sz w:val="24"/>
          <w:szCs w:val="24"/>
        </w:rPr>
        <w:t xml:space="preserve"> Njemačke</w:t>
      </w:r>
      <w:r w:rsidR="00B33C4E">
        <w:rPr>
          <w:rFonts w:ascii="Times New Roman" w:hAnsi="Times New Roman" w:cs="Times New Roman"/>
          <w:b/>
          <w:sz w:val="24"/>
          <w:szCs w:val="24"/>
        </w:rPr>
        <w:t xml:space="preserve"> u genezi i dinamici krize</w:t>
      </w:r>
    </w:p>
    <w:p w:rsidR="007213D8" w:rsidRDefault="007213D8" w:rsidP="007213D8">
      <w:pPr>
        <w:jc w:val="center"/>
        <w:rPr>
          <w:rFonts w:ascii="Times New Roman" w:hAnsi="Times New Roman" w:cs="Times New Roman"/>
          <w:b/>
          <w:sz w:val="24"/>
          <w:szCs w:val="24"/>
        </w:rPr>
      </w:pPr>
    </w:p>
    <w:p w:rsidR="004F78A4" w:rsidRDefault="004F78A4" w:rsidP="004F78A4">
      <w:pPr>
        <w:spacing w:after="0" w:line="360" w:lineRule="auto"/>
        <w:jc w:val="both"/>
        <w:rPr>
          <w:rFonts w:ascii="Times New Roman" w:hAnsi="Times New Roman" w:cs="Times New Roman"/>
          <w:sz w:val="24"/>
          <w:szCs w:val="24"/>
        </w:rPr>
      </w:pPr>
      <w:r w:rsidRPr="004F78A4">
        <w:rPr>
          <w:rFonts w:ascii="Times New Roman" w:hAnsi="Times New Roman" w:cs="Times New Roman"/>
          <w:i/>
          <w:sz w:val="24"/>
          <w:szCs w:val="24"/>
        </w:rPr>
        <w:t>Ljudi godinama mogu biti savršeno upoznati sa određenim fenomenom  i čak ga često doticati u svojim raspravama bez osvješćivanja njegovog pravog značenja i bez njegovog prihvaćanja u svoju opću shemu promišljanja.</w:t>
      </w:r>
      <w:r>
        <w:rPr>
          <w:rFonts w:ascii="Times New Roman" w:hAnsi="Times New Roman" w:cs="Times New Roman"/>
          <w:sz w:val="24"/>
          <w:szCs w:val="24"/>
        </w:rPr>
        <w:t xml:space="preserve">  Joseph Schumpeter, Povijest ekonomske analize</w:t>
      </w:r>
    </w:p>
    <w:p w:rsidR="004F78A4" w:rsidRDefault="004F78A4" w:rsidP="004F78A4">
      <w:pPr>
        <w:jc w:val="both"/>
        <w:rPr>
          <w:rFonts w:ascii="Times New Roman" w:hAnsi="Times New Roman" w:cs="Times New Roman"/>
          <w:b/>
          <w:sz w:val="24"/>
          <w:szCs w:val="24"/>
        </w:rPr>
      </w:pPr>
    </w:p>
    <w:p w:rsidR="00A30719" w:rsidRDefault="00E608BD" w:rsidP="004F78A4">
      <w:pPr>
        <w:jc w:val="both"/>
        <w:rPr>
          <w:rFonts w:ascii="Times New Roman" w:hAnsi="Times New Roman" w:cs="Times New Roman"/>
          <w:b/>
          <w:sz w:val="24"/>
          <w:szCs w:val="24"/>
        </w:rPr>
      </w:pPr>
      <w:r>
        <w:rPr>
          <w:rFonts w:ascii="Times New Roman" w:hAnsi="Times New Roman" w:cs="Times New Roman"/>
          <w:b/>
          <w:sz w:val="24"/>
          <w:szCs w:val="24"/>
        </w:rPr>
        <w:t>Europska d</w:t>
      </w:r>
      <w:r w:rsidR="00A30719">
        <w:rPr>
          <w:rFonts w:ascii="Times New Roman" w:hAnsi="Times New Roman" w:cs="Times New Roman"/>
          <w:b/>
          <w:sz w:val="24"/>
          <w:szCs w:val="24"/>
        </w:rPr>
        <w:t>užnička ili bankarsko-dužnička kriza?</w:t>
      </w:r>
    </w:p>
    <w:p w:rsidR="00D46820" w:rsidRDefault="00096416" w:rsidP="00D4682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Zadnje tri godine promijenile su način kako građani Europske unije promatraju najuspješniji primjer regionalne ekonomske integracije u svijetu nakon Drugog svjetskog rata, a k tome svakako treba pridodati i percepciju integracijskog projekta u ostatku svijeta. U očima građana EU legitimitet integracije nikada se nije izvodio iz njihovog ubacivanja listića u biračku kutiju, već iz konkretnih ekonomskih koristi proizvedenih kvalitativnim i kvantitativnim obilježjima trgovinske i financijske integracije. </w:t>
      </w:r>
      <w:r w:rsidR="00E65CB6">
        <w:rPr>
          <w:rFonts w:ascii="Times New Roman" w:hAnsi="Times New Roman" w:cs="Times New Roman"/>
          <w:sz w:val="24"/>
          <w:szCs w:val="24"/>
        </w:rPr>
        <w:t xml:space="preserve">Iz ovoga se može zaključiti da je </w:t>
      </w:r>
      <w:r>
        <w:rPr>
          <w:rFonts w:ascii="Times New Roman" w:hAnsi="Times New Roman" w:cs="Times New Roman"/>
          <w:sz w:val="24"/>
          <w:szCs w:val="24"/>
        </w:rPr>
        <w:t>kriza</w:t>
      </w:r>
      <w:r w:rsidR="00E65CB6">
        <w:rPr>
          <w:rFonts w:ascii="Times New Roman" w:hAnsi="Times New Roman" w:cs="Times New Roman"/>
          <w:sz w:val="24"/>
          <w:szCs w:val="24"/>
        </w:rPr>
        <w:t xml:space="preserve"> </w:t>
      </w:r>
      <w:r>
        <w:rPr>
          <w:rFonts w:ascii="Times New Roman" w:hAnsi="Times New Roman" w:cs="Times New Roman"/>
          <w:sz w:val="24"/>
          <w:szCs w:val="24"/>
        </w:rPr>
        <w:t xml:space="preserve"> puno dublja od jednostavnog kolebanja poslovnog ciklusa jer je puno većeg razmjera nego što je to iskustvo recesija nakon Drugog svjetskog rata i zbog toga jer se događa u kontekstu problematične europske institucionalne arhitekture koja nema zalihu difuzne legimitnosti za ovakve situacije, a niti primjenjiva rješenja koja bi zadovoljila sve aktere na horizontalnoj i vertikalnoj razini</w:t>
      </w:r>
      <w:r w:rsidR="00B751FC">
        <w:rPr>
          <w:rFonts w:ascii="Times New Roman" w:hAnsi="Times New Roman" w:cs="Times New Roman"/>
          <w:sz w:val="24"/>
          <w:szCs w:val="24"/>
        </w:rPr>
        <w:t>.</w:t>
      </w:r>
      <w:r>
        <w:rPr>
          <w:rFonts w:ascii="Times New Roman" w:hAnsi="Times New Roman" w:cs="Times New Roman"/>
          <w:sz w:val="24"/>
          <w:szCs w:val="24"/>
        </w:rPr>
        <w:t xml:space="preserve"> </w:t>
      </w:r>
    </w:p>
    <w:p w:rsidR="00B751FC" w:rsidRDefault="00096416" w:rsidP="00D4682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Neminovno je da je dobar dio uzroka krize potrebno tražiti preko Atlantika</w:t>
      </w:r>
      <w:r w:rsidR="00E65CB6">
        <w:rPr>
          <w:rFonts w:ascii="Times New Roman" w:hAnsi="Times New Roman" w:cs="Times New Roman"/>
          <w:sz w:val="24"/>
          <w:szCs w:val="24"/>
        </w:rPr>
        <w:t xml:space="preserve"> i u krahu američkog hipotekarnog tržišta 2008. godine, ali je krajnje problematično prihvatiti narativ da su europske banke koje su izgubile značajan dio ulaganja bile puke žrtve kaprica američkih dereguliranih financijskih tržišta. Martin Hellwig, direktor bonnskog Max-Planck Instituta za javna dobra i ko-autor knjige </w:t>
      </w:r>
      <w:r w:rsidR="00E65CB6" w:rsidRPr="00E65CB6">
        <w:rPr>
          <w:rFonts w:ascii="Times New Roman" w:hAnsi="Times New Roman" w:cs="Times New Roman"/>
          <w:i/>
          <w:sz w:val="24"/>
          <w:szCs w:val="24"/>
        </w:rPr>
        <w:t>Bankarevo novo ruho</w:t>
      </w:r>
      <w:r w:rsidR="00E65CB6">
        <w:rPr>
          <w:rFonts w:ascii="Times New Roman" w:hAnsi="Times New Roman" w:cs="Times New Roman"/>
          <w:sz w:val="24"/>
          <w:szCs w:val="24"/>
        </w:rPr>
        <w:t>, ističe da u Europi postoji problem prevelikog kapaciteta banaka i da ih je njihova želja za povećanjem profita tjerala u sve rizičnija ulaganja pa tako i ona u američke vrijednosnice. Nakon serije državnih spašavanja</w:t>
      </w:r>
      <w:r w:rsidR="00B751FC">
        <w:rPr>
          <w:rFonts w:ascii="Times New Roman" w:hAnsi="Times New Roman" w:cs="Times New Roman"/>
          <w:sz w:val="24"/>
          <w:szCs w:val="24"/>
        </w:rPr>
        <w:t xml:space="preserve"> pojedinih europskih</w:t>
      </w:r>
      <w:r w:rsidR="00E65CB6">
        <w:rPr>
          <w:rFonts w:ascii="Times New Roman" w:hAnsi="Times New Roman" w:cs="Times New Roman"/>
          <w:sz w:val="24"/>
          <w:szCs w:val="24"/>
        </w:rPr>
        <w:t xml:space="preserve"> banaka novcem poreznih obveznika</w:t>
      </w:r>
      <w:r w:rsidR="00B751FC">
        <w:rPr>
          <w:rFonts w:ascii="Times New Roman" w:hAnsi="Times New Roman" w:cs="Times New Roman"/>
          <w:sz w:val="24"/>
          <w:szCs w:val="24"/>
        </w:rPr>
        <w:t xml:space="preserve"> neposredno nakon kraha Lehman Brothersa</w:t>
      </w:r>
      <w:r w:rsidR="00E65CB6">
        <w:rPr>
          <w:rFonts w:ascii="Times New Roman" w:hAnsi="Times New Roman" w:cs="Times New Roman"/>
          <w:sz w:val="24"/>
          <w:szCs w:val="24"/>
        </w:rPr>
        <w:t xml:space="preserve"> izgledalo je</w:t>
      </w:r>
      <w:r w:rsidR="000F29EB">
        <w:rPr>
          <w:rFonts w:ascii="Times New Roman" w:hAnsi="Times New Roman" w:cs="Times New Roman"/>
          <w:sz w:val="24"/>
          <w:szCs w:val="24"/>
        </w:rPr>
        <w:t xml:space="preserve"> kao</w:t>
      </w:r>
      <w:bookmarkStart w:id="0" w:name="_GoBack"/>
      <w:bookmarkEnd w:id="0"/>
      <w:r w:rsidR="00E65CB6">
        <w:rPr>
          <w:rFonts w:ascii="Times New Roman" w:hAnsi="Times New Roman" w:cs="Times New Roman"/>
          <w:sz w:val="24"/>
          <w:szCs w:val="24"/>
        </w:rPr>
        <w:t xml:space="preserve"> da će se situacija stabil</w:t>
      </w:r>
      <w:r w:rsidR="00B33C4E">
        <w:rPr>
          <w:rFonts w:ascii="Times New Roman" w:hAnsi="Times New Roman" w:cs="Times New Roman"/>
          <w:sz w:val="24"/>
          <w:szCs w:val="24"/>
        </w:rPr>
        <w:t>izirati, ali je lančana reakcija</w:t>
      </w:r>
      <w:r w:rsidR="00E65CB6">
        <w:rPr>
          <w:rFonts w:ascii="Times New Roman" w:hAnsi="Times New Roman" w:cs="Times New Roman"/>
          <w:sz w:val="24"/>
          <w:szCs w:val="24"/>
        </w:rPr>
        <w:t xml:space="preserve"> već bila pokrenuta. S obzirom</w:t>
      </w:r>
      <w:r w:rsidR="00C80A42">
        <w:rPr>
          <w:rFonts w:ascii="Times New Roman" w:hAnsi="Times New Roman" w:cs="Times New Roman"/>
          <w:sz w:val="24"/>
          <w:szCs w:val="24"/>
        </w:rPr>
        <w:t xml:space="preserve"> na gubitke u kapitalnoj osnovici</w:t>
      </w:r>
      <w:r w:rsidR="00E65CB6">
        <w:rPr>
          <w:rFonts w:ascii="Times New Roman" w:hAnsi="Times New Roman" w:cs="Times New Roman"/>
          <w:sz w:val="24"/>
          <w:szCs w:val="24"/>
        </w:rPr>
        <w:t xml:space="preserve"> vodećih njemačkih i francuskih banaka u prvom valu krize po</w:t>
      </w:r>
      <w:r w:rsidR="007D7852">
        <w:rPr>
          <w:rFonts w:ascii="Times New Roman" w:hAnsi="Times New Roman" w:cs="Times New Roman"/>
          <w:sz w:val="24"/>
          <w:szCs w:val="24"/>
        </w:rPr>
        <w:t>čela je likvidacija dugova na</w:t>
      </w:r>
      <w:r w:rsidR="00E65CB6">
        <w:rPr>
          <w:rFonts w:ascii="Times New Roman" w:hAnsi="Times New Roman" w:cs="Times New Roman"/>
          <w:sz w:val="24"/>
          <w:szCs w:val="24"/>
        </w:rPr>
        <w:t xml:space="preserve"> periferiji ili jednostavno prestanak odobrenja novih kredita bankama u državama na periferiji eurozone s ciljem stabilizacije kapitalne baze</w:t>
      </w:r>
      <w:r w:rsidR="00B751FC">
        <w:rPr>
          <w:rFonts w:ascii="Times New Roman" w:hAnsi="Times New Roman" w:cs="Times New Roman"/>
          <w:sz w:val="24"/>
          <w:szCs w:val="24"/>
        </w:rPr>
        <w:t xml:space="preserve"> banaka kreditora</w:t>
      </w:r>
      <w:r w:rsidR="00E65CB6">
        <w:rPr>
          <w:rFonts w:ascii="Times New Roman" w:hAnsi="Times New Roman" w:cs="Times New Roman"/>
          <w:sz w:val="24"/>
          <w:szCs w:val="24"/>
        </w:rPr>
        <w:t xml:space="preserve">. </w:t>
      </w:r>
      <w:r w:rsidR="00B751FC">
        <w:rPr>
          <w:rFonts w:ascii="Times New Roman" w:hAnsi="Times New Roman" w:cs="Times New Roman"/>
          <w:sz w:val="24"/>
          <w:szCs w:val="24"/>
        </w:rPr>
        <w:t xml:space="preserve">Prestanak priljeva privatnog kapitala ekonomijama duboko ovisnima o refinanciranju postojećih obaveza i financiranju nove potrošnje označio je početak </w:t>
      </w:r>
      <w:r w:rsidR="00B751FC">
        <w:rPr>
          <w:rFonts w:ascii="Times New Roman" w:hAnsi="Times New Roman" w:cs="Times New Roman"/>
          <w:sz w:val="24"/>
          <w:szCs w:val="24"/>
        </w:rPr>
        <w:lastRenderedPageBreak/>
        <w:t>turbulentnih vremena.</w:t>
      </w:r>
      <w:r w:rsidR="00E65CB6">
        <w:rPr>
          <w:rFonts w:ascii="Times New Roman" w:hAnsi="Times New Roman" w:cs="Times New Roman"/>
          <w:sz w:val="24"/>
          <w:szCs w:val="24"/>
        </w:rPr>
        <w:t xml:space="preserve"> </w:t>
      </w:r>
      <w:r>
        <w:rPr>
          <w:rFonts w:ascii="Times New Roman" w:hAnsi="Times New Roman" w:cs="Times New Roman"/>
          <w:sz w:val="24"/>
          <w:szCs w:val="24"/>
        </w:rPr>
        <w:t xml:space="preserve"> </w:t>
      </w:r>
      <w:r w:rsidR="007213D8">
        <w:rPr>
          <w:rFonts w:ascii="Times New Roman" w:hAnsi="Times New Roman" w:cs="Times New Roman"/>
          <w:sz w:val="24"/>
          <w:szCs w:val="24"/>
        </w:rPr>
        <w:t>Nakon zaoštravanja</w:t>
      </w:r>
      <w:r>
        <w:rPr>
          <w:rFonts w:ascii="Times New Roman" w:hAnsi="Times New Roman" w:cs="Times New Roman"/>
          <w:sz w:val="24"/>
          <w:szCs w:val="24"/>
        </w:rPr>
        <w:t xml:space="preserve"> </w:t>
      </w:r>
      <w:r w:rsidR="007213D8">
        <w:rPr>
          <w:rFonts w:ascii="Times New Roman" w:hAnsi="Times New Roman" w:cs="Times New Roman"/>
          <w:sz w:val="24"/>
          <w:szCs w:val="24"/>
        </w:rPr>
        <w:t xml:space="preserve">krize 2010. sa </w:t>
      </w:r>
      <w:r w:rsidR="00B751FC">
        <w:rPr>
          <w:rFonts w:ascii="Times New Roman" w:hAnsi="Times New Roman" w:cs="Times New Roman"/>
          <w:sz w:val="24"/>
          <w:szCs w:val="24"/>
        </w:rPr>
        <w:t>prvim lošim vijestima iz Grčke uskoro dolazi i do efekta zaraze, krizom su zahvaćenje ostale zemlje periferije i u prvi plan dolazi financiranje njihovog javnog duga.</w:t>
      </w:r>
    </w:p>
    <w:p w:rsidR="00A30719" w:rsidRDefault="00B751FC" w:rsidP="00B751F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 ob</w:t>
      </w:r>
      <w:r w:rsidR="00C80A42">
        <w:rPr>
          <w:rFonts w:ascii="Times New Roman" w:hAnsi="Times New Roman" w:cs="Times New Roman"/>
          <w:sz w:val="24"/>
          <w:szCs w:val="24"/>
        </w:rPr>
        <w:t>zirom na prethodno navedene događaje</w:t>
      </w:r>
      <w:r w:rsidR="00BB3250">
        <w:rPr>
          <w:rFonts w:ascii="Times New Roman" w:hAnsi="Times New Roman" w:cs="Times New Roman"/>
          <w:sz w:val="24"/>
          <w:szCs w:val="24"/>
        </w:rPr>
        <w:t xml:space="preserve"> važno je rasčistiti neke osnovne zablude jer</w:t>
      </w:r>
      <w:r>
        <w:rPr>
          <w:rFonts w:ascii="Times New Roman" w:hAnsi="Times New Roman" w:cs="Times New Roman"/>
          <w:sz w:val="24"/>
          <w:szCs w:val="24"/>
        </w:rPr>
        <w:t xml:space="preserve"> </w:t>
      </w:r>
      <w:r w:rsidR="007D7852">
        <w:rPr>
          <w:rFonts w:ascii="Times New Roman" w:hAnsi="Times New Roman" w:cs="Times New Roman"/>
          <w:sz w:val="24"/>
          <w:szCs w:val="24"/>
        </w:rPr>
        <w:t xml:space="preserve"> se </w:t>
      </w:r>
      <w:r>
        <w:rPr>
          <w:rFonts w:ascii="Times New Roman" w:hAnsi="Times New Roman" w:cs="Times New Roman"/>
          <w:sz w:val="24"/>
          <w:szCs w:val="24"/>
        </w:rPr>
        <w:t>problem bankarsko-dužničke krize na europskoj pe</w:t>
      </w:r>
      <w:r w:rsidR="007D7852">
        <w:rPr>
          <w:rFonts w:ascii="Times New Roman" w:hAnsi="Times New Roman" w:cs="Times New Roman"/>
          <w:sz w:val="24"/>
          <w:szCs w:val="24"/>
        </w:rPr>
        <w:t>riferiji još</w:t>
      </w:r>
      <w:r w:rsidR="00BB3250">
        <w:rPr>
          <w:rFonts w:ascii="Times New Roman" w:hAnsi="Times New Roman" w:cs="Times New Roman"/>
          <w:sz w:val="24"/>
          <w:szCs w:val="24"/>
        </w:rPr>
        <w:t xml:space="preserve"> uvijek u najvećoj</w:t>
      </w:r>
      <w:r w:rsidR="007D7852">
        <w:rPr>
          <w:rFonts w:ascii="Times New Roman" w:hAnsi="Times New Roman" w:cs="Times New Roman"/>
          <w:sz w:val="24"/>
          <w:szCs w:val="24"/>
        </w:rPr>
        <w:t xml:space="preserve"> mjeri prikazuje kao isključiva</w:t>
      </w:r>
      <w:r>
        <w:rPr>
          <w:rFonts w:ascii="Times New Roman" w:hAnsi="Times New Roman" w:cs="Times New Roman"/>
          <w:sz w:val="24"/>
          <w:szCs w:val="24"/>
        </w:rPr>
        <w:t xml:space="preserve"> posljedica fiskalne neodgovornosti </w:t>
      </w:r>
      <w:r w:rsidRPr="00D6715D">
        <w:rPr>
          <w:rFonts w:ascii="Times New Roman" w:hAnsi="Times New Roman" w:cs="Times New Roman"/>
          <w:i/>
          <w:sz w:val="24"/>
          <w:szCs w:val="24"/>
        </w:rPr>
        <w:t>PIIGS zemalja</w:t>
      </w:r>
      <w:r>
        <w:rPr>
          <w:rFonts w:ascii="Times New Roman" w:hAnsi="Times New Roman" w:cs="Times New Roman"/>
          <w:sz w:val="24"/>
          <w:szCs w:val="24"/>
        </w:rPr>
        <w:t>, dakle kao dužnička kriza.</w:t>
      </w:r>
      <w:r w:rsidR="002D00B5" w:rsidRPr="002D00B5">
        <w:rPr>
          <w:rFonts w:ascii="Times New Roman" w:eastAsia="Times New Roman" w:hAnsi="Times New Roman" w:cs="Times New Roman"/>
          <w:sz w:val="24"/>
          <w:szCs w:val="24"/>
          <w:lang w:eastAsia="hr-HR"/>
        </w:rPr>
        <w:t xml:space="preserve"> </w:t>
      </w:r>
      <w:r w:rsidR="002D00B5">
        <w:rPr>
          <w:rFonts w:ascii="Times New Roman" w:eastAsia="Times New Roman" w:hAnsi="Times New Roman" w:cs="Times New Roman"/>
          <w:sz w:val="24"/>
          <w:szCs w:val="24"/>
          <w:lang w:eastAsia="hr-HR"/>
        </w:rPr>
        <w:t>Nadaleko je poznato da su z</w:t>
      </w:r>
      <w:r w:rsidR="007D7852">
        <w:rPr>
          <w:rFonts w:ascii="Times New Roman" w:eastAsia="Times New Roman" w:hAnsi="Times New Roman" w:cs="Times New Roman"/>
          <w:sz w:val="24"/>
          <w:szCs w:val="24"/>
          <w:lang w:eastAsia="hr-HR"/>
        </w:rPr>
        <w:t xml:space="preserve">emlje poput Grčke </w:t>
      </w:r>
      <w:r w:rsidR="00C80A42">
        <w:rPr>
          <w:rFonts w:ascii="Times New Roman" w:eastAsia="Times New Roman" w:hAnsi="Times New Roman" w:cs="Times New Roman"/>
          <w:sz w:val="24"/>
          <w:szCs w:val="24"/>
          <w:lang w:eastAsia="hr-HR"/>
        </w:rPr>
        <w:t xml:space="preserve">pronalazile kreativne </w:t>
      </w:r>
      <w:r w:rsidR="007D7852">
        <w:rPr>
          <w:rFonts w:ascii="Times New Roman" w:eastAsia="Times New Roman" w:hAnsi="Times New Roman" w:cs="Times New Roman"/>
          <w:sz w:val="24"/>
          <w:szCs w:val="24"/>
          <w:lang w:eastAsia="hr-HR"/>
        </w:rPr>
        <w:t>način</w:t>
      </w:r>
      <w:r w:rsidR="00C80A42">
        <w:rPr>
          <w:rFonts w:ascii="Times New Roman" w:eastAsia="Times New Roman" w:hAnsi="Times New Roman" w:cs="Times New Roman"/>
          <w:sz w:val="24"/>
          <w:szCs w:val="24"/>
          <w:lang w:eastAsia="hr-HR"/>
        </w:rPr>
        <w:t>e</w:t>
      </w:r>
      <w:r w:rsidR="002D00B5">
        <w:rPr>
          <w:rFonts w:ascii="Times New Roman" w:eastAsia="Times New Roman" w:hAnsi="Times New Roman" w:cs="Times New Roman"/>
          <w:sz w:val="24"/>
          <w:szCs w:val="24"/>
          <w:lang w:eastAsia="hr-HR"/>
        </w:rPr>
        <w:t xml:space="preserve"> da zaobiđu pravila budžetskog ograničenja</w:t>
      </w:r>
      <w:r w:rsidR="00C80A42">
        <w:rPr>
          <w:rFonts w:ascii="Times New Roman" w:eastAsia="Times New Roman" w:hAnsi="Times New Roman" w:cs="Times New Roman"/>
          <w:sz w:val="24"/>
          <w:szCs w:val="24"/>
          <w:lang w:eastAsia="hr-HR"/>
        </w:rPr>
        <w:t xml:space="preserve"> </w:t>
      </w:r>
      <w:r w:rsidR="00C80A42" w:rsidRPr="00C80A42">
        <w:rPr>
          <w:rFonts w:ascii="Times New Roman" w:eastAsia="Times New Roman" w:hAnsi="Times New Roman" w:cs="Times New Roman"/>
          <w:i/>
          <w:sz w:val="24"/>
          <w:szCs w:val="24"/>
          <w:lang w:eastAsia="hr-HR"/>
        </w:rPr>
        <w:t>Pakta o stabilnosti i rastu</w:t>
      </w:r>
      <w:r w:rsidR="00C80A42">
        <w:rPr>
          <w:rFonts w:ascii="Times New Roman" w:eastAsia="Times New Roman" w:hAnsi="Times New Roman" w:cs="Times New Roman"/>
          <w:sz w:val="24"/>
          <w:szCs w:val="24"/>
          <w:lang w:eastAsia="hr-HR"/>
        </w:rPr>
        <w:t xml:space="preserve"> koji</w:t>
      </w:r>
      <w:r w:rsidR="002D00B5">
        <w:rPr>
          <w:rFonts w:ascii="Times New Roman" w:eastAsia="Times New Roman" w:hAnsi="Times New Roman" w:cs="Times New Roman"/>
          <w:sz w:val="24"/>
          <w:szCs w:val="24"/>
          <w:lang w:eastAsia="hr-HR"/>
        </w:rPr>
        <w:t xml:space="preserve"> je čak u pojedinim godina ignorirala i ekonomski moćna Njemačka.</w:t>
      </w:r>
      <w:r w:rsidR="007D7852">
        <w:rPr>
          <w:rFonts w:ascii="Times New Roman" w:hAnsi="Times New Roman" w:cs="Times New Roman"/>
          <w:sz w:val="24"/>
          <w:szCs w:val="24"/>
        </w:rPr>
        <w:t xml:space="preserve"> Dakle, sigurno</w:t>
      </w:r>
      <w:r>
        <w:rPr>
          <w:rFonts w:ascii="Times New Roman" w:hAnsi="Times New Roman" w:cs="Times New Roman"/>
          <w:sz w:val="24"/>
          <w:szCs w:val="24"/>
        </w:rPr>
        <w:t xml:space="preserve"> da i taj argument zaslužuje dužnu pozornost i ima određenu dozu validnosti</w:t>
      </w:r>
      <w:r w:rsidR="002D00B5">
        <w:rPr>
          <w:rFonts w:ascii="Times New Roman" w:hAnsi="Times New Roman" w:cs="Times New Roman"/>
          <w:sz w:val="24"/>
          <w:szCs w:val="24"/>
        </w:rPr>
        <w:t>, ali je tek dio šire slagalice</w:t>
      </w:r>
      <w:r>
        <w:rPr>
          <w:rFonts w:ascii="Times New Roman" w:hAnsi="Times New Roman" w:cs="Times New Roman"/>
          <w:sz w:val="24"/>
          <w:szCs w:val="24"/>
        </w:rPr>
        <w:t>.</w:t>
      </w:r>
      <w:r w:rsidR="002D00B5">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7D7852">
        <w:rPr>
          <w:rFonts w:ascii="Times New Roman" w:eastAsia="Times New Roman" w:hAnsi="Times New Roman" w:cs="Times New Roman"/>
          <w:sz w:val="24"/>
          <w:szCs w:val="24"/>
          <w:lang w:eastAsia="hr-HR"/>
        </w:rPr>
        <w:t>Nakon što se zaviri</w:t>
      </w:r>
      <w:r w:rsidR="00D46820">
        <w:rPr>
          <w:rFonts w:ascii="Times New Roman" w:eastAsia="Times New Roman" w:hAnsi="Times New Roman" w:cs="Times New Roman"/>
          <w:sz w:val="24"/>
          <w:szCs w:val="24"/>
          <w:lang w:eastAsia="hr-HR"/>
        </w:rPr>
        <w:t xml:space="preserve"> </w:t>
      </w:r>
      <w:r w:rsidR="00BB3250">
        <w:rPr>
          <w:rFonts w:ascii="Times New Roman" w:eastAsia="Times New Roman" w:hAnsi="Times New Roman" w:cs="Times New Roman"/>
          <w:sz w:val="24"/>
          <w:szCs w:val="24"/>
          <w:lang w:eastAsia="hr-HR"/>
        </w:rPr>
        <w:t xml:space="preserve">ispod haube europskog ekonomskog </w:t>
      </w:r>
      <w:r w:rsidR="00D46820">
        <w:rPr>
          <w:rFonts w:ascii="Times New Roman" w:eastAsia="Times New Roman" w:hAnsi="Times New Roman" w:cs="Times New Roman"/>
          <w:sz w:val="24"/>
          <w:szCs w:val="24"/>
          <w:lang w:eastAsia="hr-HR"/>
        </w:rPr>
        <w:t>motora u godinama uoči krize i pokušaju</w:t>
      </w:r>
      <w:r w:rsidR="00BB3250">
        <w:rPr>
          <w:rFonts w:ascii="Times New Roman" w:eastAsia="Times New Roman" w:hAnsi="Times New Roman" w:cs="Times New Roman"/>
          <w:sz w:val="24"/>
          <w:szCs w:val="24"/>
          <w:lang w:eastAsia="hr-HR"/>
        </w:rPr>
        <w:t xml:space="preserve"> zbrojiti</w:t>
      </w:r>
      <w:r w:rsidR="00D46820">
        <w:rPr>
          <w:rFonts w:ascii="Times New Roman" w:eastAsia="Times New Roman" w:hAnsi="Times New Roman" w:cs="Times New Roman"/>
          <w:sz w:val="24"/>
          <w:szCs w:val="24"/>
          <w:lang w:eastAsia="hr-HR"/>
        </w:rPr>
        <w:t xml:space="preserve"> osnovne činjenice vidljivo je sljedeće.</w:t>
      </w:r>
      <w:r w:rsidR="00BB3250">
        <w:rPr>
          <w:rFonts w:ascii="Times New Roman" w:eastAsia="Times New Roman" w:hAnsi="Times New Roman" w:cs="Times New Roman"/>
          <w:sz w:val="24"/>
          <w:szCs w:val="24"/>
          <w:lang w:eastAsia="hr-HR"/>
        </w:rPr>
        <w:t xml:space="preserve"> Od 2000. do 2011. godine kombinirana aktiva vodećih 15 banaka sa sjedištem u EU povećana je sa 7000 na 20000 milijardi eura, a što predstavlja skok sa 43% na 150% BDP-a Europske unije. Osim toga, vrijedno je spomenuti da je kombinirana aktiva 8000 vodećih financijskih institucija u EU 2011. godine iznosila 46000 milijardi eura što je ekvivalentno 370% BDP-a Europske unije. Prema izračunu britanske banke Barclays, </w:t>
      </w:r>
      <w:r w:rsidR="00BB3250">
        <w:rPr>
          <w:rFonts w:ascii="Times New Roman" w:hAnsi="Times New Roman" w:cs="Times New Roman"/>
          <w:sz w:val="24"/>
          <w:szCs w:val="24"/>
        </w:rPr>
        <w:t>15 vodećih banaka u EU imalo je 2011. polugu 28:1 što govori u prilog tezi da se je kreditna ekspanzija previše otela kontroli i da banke pri tome nisu adekvatno ograničene stopom obveznih rezervi i diskontnom kamatnom stopom kako bi to postulirala teorija konvencionalnog monetarnog multiplikatora.</w:t>
      </w:r>
      <w:r w:rsidR="00BB3250">
        <w:rPr>
          <w:rStyle w:val="FootnoteReference"/>
          <w:rFonts w:ascii="Times New Roman" w:hAnsi="Times New Roman" w:cs="Times New Roman"/>
          <w:sz w:val="24"/>
          <w:szCs w:val="24"/>
        </w:rPr>
        <w:footnoteReference w:id="2"/>
      </w:r>
      <w:r w:rsidR="00D46820">
        <w:rPr>
          <w:rFonts w:ascii="Times New Roman" w:hAnsi="Times New Roman" w:cs="Times New Roman"/>
          <w:sz w:val="24"/>
          <w:szCs w:val="24"/>
        </w:rPr>
        <w:t xml:space="preserve"> </w:t>
      </w:r>
    </w:p>
    <w:p w:rsidR="007213D8" w:rsidRDefault="00D46820" w:rsidP="00B751F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Paralelno s porastom aktive banaka rasli su i dugovi s obzirom da u postojećem monet</w:t>
      </w:r>
      <w:r w:rsidR="00C80A42">
        <w:rPr>
          <w:rFonts w:ascii="Times New Roman" w:hAnsi="Times New Roman" w:cs="Times New Roman"/>
          <w:sz w:val="24"/>
          <w:szCs w:val="24"/>
        </w:rPr>
        <w:t>arnom sustavu najveći dio novca</w:t>
      </w:r>
      <w:r>
        <w:rPr>
          <w:rFonts w:ascii="Times New Roman" w:hAnsi="Times New Roman" w:cs="Times New Roman"/>
          <w:sz w:val="24"/>
          <w:szCs w:val="24"/>
        </w:rPr>
        <w:t xml:space="preserve"> nastaje kroz kreditnu ekspanziju od stran</w:t>
      </w:r>
      <w:r w:rsidR="00C80A42">
        <w:rPr>
          <w:rFonts w:ascii="Times New Roman" w:hAnsi="Times New Roman" w:cs="Times New Roman"/>
          <w:sz w:val="24"/>
          <w:szCs w:val="24"/>
        </w:rPr>
        <w:t>e banaka, a tek manji dio novca (papirnati novac i kovanice)</w:t>
      </w:r>
      <w:r>
        <w:rPr>
          <w:rFonts w:ascii="Times New Roman" w:hAnsi="Times New Roman" w:cs="Times New Roman"/>
          <w:sz w:val="24"/>
          <w:szCs w:val="24"/>
        </w:rPr>
        <w:t xml:space="preserve"> rezultat</w:t>
      </w:r>
      <w:r w:rsidR="00C80A42">
        <w:rPr>
          <w:rFonts w:ascii="Times New Roman" w:hAnsi="Times New Roman" w:cs="Times New Roman"/>
          <w:sz w:val="24"/>
          <w:szCs w:val="24"/>
        </w:rPr>
        <w:t xml:space="preserve"> je</w:t>
      </w:r>
      <w:r>
        <w:rPr>
          <w:rFonts w:ascii="Times New Roman" w:hAnsi="Times New Roman" w:cs="Times New Roman"/>
          <w:sz w:val="24"/>
          <w:szCs w:val="24"/>
        </w:rPr>
        <w:t xml:space="preserve"> operacija središnje banke koja u ime suverena stvara no</w:t>
      </w:r>
      <w:r w:rsidR="007D7852">
        <w:rPr>
          <w:rFonts w:ascii="Times New Roman" w:hAnsi="Times New Roman" w:cs="Times New Roman"/>
          <w:sz w:val="24"/>
          <w:szCs w:val="24"/>
        </w:rPr>
        <w:t>vac i razliku u trošku proizvodnje</w:t>
      </w:r>
      <w:r>
        <w:rPr>
          <w:rFonts w:ascii="Times New Roman" w:hAnsi="Times New Roman" w:cs="Times New Roman"/>
          <w:sz w:val="24"/>
          <w:szCs w:val="24"/>
        </w:rPr>
        <w:t xml:space="preserve"> i nominalne vrijednosti emisije bilježi kao 'zaradu' suverena ili </w:t>
      </w:r>
      <w:r w:rsidRPr="00D46820">
        <w:rPr>
          <w:rFonts w:ascii="Times New Roman" w:hAnsi="Times New Roman" w:cs="Times New Roman"/>
          <w:i/>
          <w:sz w:val="24"/>
          <w:szCs w:val="24"/>
        </w:rPr>
        <w:t>seignorage</w:t>
      </w:r>
      <w:r>
        <w:rPr>
          <w:rFonts w:ascii="Times New Roman" w:hAnsi="Times New Roman" w:cs="Times New Roman"/>
          <w:sz w:val="24"/>
          <w:szCs w:val="24"/>
        </w:rPr>
        <w:t>.</w:t>
      </w:r>
      <w:r w:rsidR="007D7852">
        <w:rPr>
          <w:rFonts w:ascii="Times New Roman" w:hAnsi="Times New Roman" w:cs="Times New Roman"/>
          <w:sz w:val="24"/>
          <w:szCs w:val="24"/>
        </w:rPr>
        <w:t xml:space="preserve"> Od početka 1980-ih ukupna zaduženost ne-financijskih poduzeća, država i kućanstava u zapadnim zemljama</w:t>
      </w:r>
      <w:r w:rsidR="00C80A42">
        <w:rPr>
          <w:rFonts w:ascii="Times New Roman" w:hAnsi="Times New Roman" w:cs="Times New Roman"/>
          <w:sz w:val="24"/>
          <w:szCs w:val="24"/>
        </w:rPr>
        <w:t xml:space="preserve"> </w:t>
      </w:r>
      <w:r w:rsidR="007D7852">
        <w:rPr>
          <w:rFonts w:ascii="Times New Roman" w:hAnsi="Times New Roman" w:cs="Times New Roman"/>
          <w:sz w:val="24"/>
          <w:szCs w:val="24"/>
        </w:rPr>
        <w:t xml:space="preserve"> udvostručila</w:t>
      </w:r>
      <w:r w:rsidR="00C80A42">
        <w:rPr>
          <w:rFonts w:ascii="Times New Roman" w:hAnsi="Times New Roman" w:cs="Times New Roman"/>
          <w:sz w:val="24"/>
          <w:szCs w:val="24"/>
        </w:rPr>
        <w:t xml:space="preserve"> se je</w:t>
      </w:r>
      <w:r w:rsidR="007D7852">
        <w:rPr>
          <w:rFonts w:ascii="Times New Roman" w:hAnsi="Times New Roman" w:cs="Times New Roman"/>
          <w:sz w:val="24"/>
          <w:szCs w:val="24"/>
        </w:rPr>
        <w:t xml:space="preserve"> sa 160%  </w:t>
      </w:r>
      <w:r w:rsidR="007D7852">
        <w:rPr>
          <w:rFonts w:ascii="Times New Roman" w:hAnsi="Times New Roman" w:cs="Times New Roman"/>
          <w:sz w:val="24"/>
          <w:szCs w:val="24"/>
        </w:rPr>
        <w:lastRenderedPageBreak/>
        <w:t>na 320% BDP-a.</w:t>
      </w:r>
      <w:r w:rsidR="007D7852">
        <w:rPr>
          <w:rStyle w:val="FootnoteReference"/>
          <w:rFonts w:ascii="Times New Roman" w:hAnsi="Times New Roman" w:cs="Times New Roman"/>
          <w:sz w:val="24"/>
          <w:szCs w:val="24"/>
        </w:rPr>
        <w:footnoteReference w:id="3"/>
      </w:r>
      <w:r w:rsidR="007D7852">
        <w:rPr>
          <w:rFonts w:ascii="Times New Roman" w:hAnsi="Times New Roman" w:cs="Times New Roman"/>
          <w:sz w:val="24"/>
          <w:szCs w:val="24"/>
        </w:rPr>
        <w:t xml:space="preserve"> Nešto širu sliku u koju je uključen i dug financijskog sektora nudi </w:t>
      </w:r>
      <w:r w:rsidR="007D7852" w:rsidRPr="007D7852">
        <w:rPr>
          <w:rFonts w:ascii="Times New Roman" w:hAnsi="Times New Roman" w:cs="Times New Roman"/>
          <w:i/>
          <w:sz w:val="24"/>
          <w:szCs w:val="24"/>
        </w:rPr>
        <w:t>Slika 1</w:t>
      </w:r>
      <w:r w:rsidR="007D7852">
        <w:rPr>
          <w:rFonts w:ascii="Times New Roman" w:hAnsi="Times New Roman" w:cs="Times New Roman"/>
          <w:sz w:val="24"/>
          <w:szCs w:val="24"/>
        </w:rPr>
        <w:t xml:space="preserve"> i podaci se odnose na konac 2011. godine (dio potraživanja se prebija, ali se rapidan porast dugova ne može demantirati). </w:t>
      </w:r>
    </w:p>
    <w:p w:rsidR="004F78A4" w:rsidRDefault="004F78A4" w:rsidP="009229E8">
      <w:pPr>
        <w:spacing w:after="0" w:line="360" w:lineRule="auto"/>
        <w:jc w:val="both"/>
        <w:rPr>
          <w:rFonts w:ascii="Times New Roman" w:hAnsi="Times New Roman" w:cs="Times New Roman"/>
          <w:sz w:val="24"/>
          <w:szCs w:val="24"/>
        </w:rPr>
      </w:pPr>
    </w:p>
    <w:p w:rsidR="00D46820" w:rsidRDefault="002152BB" w:rsidP="009229E8">
      <w:pPr>
        <w:spacing w:after="0" w:line="360" w:lineRule="auto"/>
        <w:jc w:val="both"/>
        <w:rPr>
          <w:rFonts w:ascii="Times New Roman" w:hAnsi="Times New Roman" w:cs="Times New Roman"/>
          <w:sz w:val="24"/>
          <w:szCs w:val="24"/>
        </w:rPr>
      </w:pPr>
      <w:r w:rsidRPr="002152BB">
        <w:rPr>
          <w:rFonts w:ascii="Times New Roman" w:hAnsi="Times New Roman" w:cs="Times New Roman"/>
          <w:noProof/>
          <w:sz w:val="24"/>
          <w:szCs w:val="24"/>
          <w:lang w:eastAsia="hr-HR"/>
        </w:rPr>
        <mc:AlternateContent>
          <mc:Choice Requires="wps">
            <w:drawing>
              <wp:anchor distT="0" distB="0" distL="114300" distR="114300" simplePos="0" relativeHeight="251661312" behindDoc="0" locked="0" layoutInCell="1" allowOverlap="1" wp14:editId="36B11C9B">
                <wp:simplePos x="0" y="0"/>
                <wp:positionH relativeFrom="column">
                  <wp:posOffset>3929380</wp:posOffset>
                </wp:positionH>
                <wp:positionV relativeFrom="paragraph">
                  <wp:posOffset>2740660</wp:posOffset>
                </wp:positionV>
                <wp:extent cx="1828800" cy="2857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solidFill>
                          <a:srgbClr val="FFFFFF"/>
                        </a:solidFill>
                        <a:ln w="9525">
                          <a:solidFill>
                            <a:srgbClr val="000000"/>
                          </a:solidFill>
                          <a:miter lim="800000"/>
                          <a:headEnd/>
                          <a:tailEnd/>
                        </a:ln>
                      </wps:spPr>
                      <wps:txbx>
                        <w:txbxContent>
                          <w:p w:rsidR="002152BB" w:rsidRPr="002152BB" w:rsidRDefault="002152BB">
                            <w:pPr>
                              <w:rPr>
                                <w:rFonts w:ascii="Times New Roman" w:hAnsi="Times New Roman" w:cs="Times New Roman"/>
                                <w:sz w:val="20"/>
                                <w:szCs w:val="20"/>
                              </w:rPr>
                            </w:pPr>
                            <w:r w:rsidRPr="002152BB">
                              <w:rPr>
                                <w:rFonts w:ascii="Times New Roman" w:hAnsi="Times New Roman" w:cs="Times New Roman"/>
                                <w:sz w:val="20"/>
                                <w:szCs w:val="20"/>
                              </w:rPr>
                              <w:t>Izvor: Manager Magazin, 2011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4pt;margin-top:215.8pt;width:2in;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">
                <v:textbox>
                  <w:txbxContent>
                    <w:p w:rsidR="002152BB" w:rsidRPr="002152BB" w:rsidRDefault="002152BB">
                      <w:pPr>
                        <w:rPr>
                          <w:rFonts w:ascii="Times New Roman" w:hAnsi="Times New Roman" w:cs="Times New Roman"/>
                          <w:sz w:val="20"/>
                          <w:szCs w:val="20"/>
                        </w:rPr>
                      </w:pPr>
                      <w:r w:rsidRPr="002152BB">
                        <w:rPr>
                          <w:rFonts w:ascii="Times New Roman" w:hAnsi="Times New Roman" w:cs="Times New Roman"/>
                          <w:sz w:val="20"/>
                          <w:szCs w:val="20"/>
                        </w:rPr>
                        <w:t>Izvor: Manager Magazin, 2011</w:t>
                      </w:r>
                    </w:p>
                  </w:txbxContent>
                </v:textbox>
              </v:shape>
            </w:pict>
          </mc:Fallback>
        </mc:AlternateContent>
      </w:r>
      <w:r>
        <w:rPr>
          <w:noProof/>
          <w:lang w:eastAsia="hr-HR"/>
        </w:rPr>
        <w:drawing>
          <wp:inline distT="0" distB="0" distL="0" distR="0" wp14:anchorId="682E7533" wp14:editId="59532295">
            <wp:extent cx="5760720" cy="3028315"/>
            <wp:effectExtent l="0" t="0" r="11430" b="196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46820" w:rsidRPr="00637FD4" w:rsidRDefault="002152BB" w:rsidP="009229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Postoji nekoliko razloga zbog kojih je došlo do ovakve ekspanzije dugova, ali u centru svega stoji pogodba financijske i političke elite, tj. svojevr</w:t>
      </w:r>
      <w:r w:rsidR="00C80A42">
        <w:rPr>
          <w:rFonts w:ascii="Times New Roman" w:hAnsi="Times New Roman" w:cs="Times New Roman"/>
          <w:sz w:val="24"/>
          <w:szCs w:val="24"/>
        </w:rPr>
        <w:t>s</w:t>
      </w:r>
      <w:r>
        <w:rPr>
          <w:rFonts w:ascii="Times New Roman" w:hAnsi="Times New Roman" w:cs="Times New Roman"/>
          <w:sz w:val="24"/>
          <w:szCs w:val="24"/>
        </w:rPr>
        <w:t>ni 'faustovski pakt'</w:t>
      </w:r>
      <w:r w:rsidR="00A30719">
        <w:rPr>
          <w:rFonts w:ascii="Times New Roman" w:hAnsi="Times New Roman" w:cs="Times New Roman"/>
          <w:sz w:val="24"/>
          <w:szCs w:val="24"/>
        </w:rPr>
        <w:t xml:space="preserve"> prema kojemu banke dobivaju slobodnije</w:t>
      </w:r>
      <w:r>
        <w:rPr>
          <w:rFonts w:ascii="Times New Roman" w:hAnsi="Times New Roman" w:cs="Times New Roman"/>
          <w:sz w:val="24"/>
          <w:szCs w:val="24"/>
        </w:rPr>
        <w:t xml:space="preserve"> ruke po pita</w:t>
      </w:r>
      <w:r w:rsidR="00A30719">
        <w:rPr>
          <w:rFonts w:ascii="Times New Roman" w:hAnsi="Times New Roman" w:cs="Times New Roman"/>
          <w:sz w:val="24"/>
          <w:szCs w:val="24"/>
        </w:rPr>
        <w:t>nju</w:t>
      </w:r>
      <w:r>
        <w:rPr>
          <w:rFonts w:ascii="Times New Roman" w:hAnsi="Times New Roman" w:cs="Times New Roman"/>
          <w:sz w:val="24"/>
          <w:szCs w:val="24"/>
        </w:rPr>
        <w:t xml:space="preserve"> poslovanja</w:t>
      </w:r>
      <w:r w:rsidR="00A30719">
        <w:rPr>
          <w:rFonts w:ascii="Times New Roman" w:hAnsi="Times New Roman" w:cs="Times New Roman"/>
          <w:sz w:val="24"/>
          <w:szCs w:val="24"/>
        </w:rPr>
        <w:t xml:space="preserve"> (re-regulac</w:t>
      </w:r>
      <w:r w:rsidR="007E3D98">
        <w:rPr>
          <w:rFonts w:ascii="Times New Roman" w:hAnsi="Times New Roman" w:cs="Times New Roman"/>
          <w:sz w:val="24"/>
          <w:szCs w:val="24"/>
        </w:rPr>
        <w:t>ija u korist financijskih institucija</w:t>
      </w:r>
      <w:r w:rsidR="00A30719">
        <w:rPr>
          <w:rFonts w:ascii="Times New Roman" w:hAnsi="Times New Roman" w:cs="Times New Roman"/>
          <w:sz w:val="24"/>
          <w:szCs w:val="24"/>
        </w:rPr>
        <w:t>)</w:t>
      </w:r>
      <w:r>
        <w:rPr>
          <w:rFonts w:ascii="Times New Roman" w:hAnsi="Times New Roman" w:cs="Times New Roman"/>
          <w:sz w:val="24"/>
          <w:szCs w:val="24"/>
        </w:rPr>
        <w:t>, a politička elita dobiva kredite potrebne za političke svrhe i financiranje javne potrošnje umjesto oslanjanja na porezne prihode ili primarnu emisiju.</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sidR="00A30719">
        <w:rPr>
          <w:rFonts w:ascii="Times New Roman" w:hAnsi="Times New Roman" w:cs="Times New Roman"/>
          <w:sz w:val="24"/>
          <w:szCs w:val="24"/>
        </w:rPr>
        <w:t>U takvom sust</w:t>
      </w:r>
      <w:r w:rsidR="00637FD4">
        <w:rPr>
          <w:rFonts w:ascii="Times New Roman" w:hAnsi="Times New Roman" w:cs="Times New Roman"/>
          <w:sz w:val="24"/>
          <w:szCs w:val="24"/>
        </w:rPr>
        <w:t xml:space="preserve">avu u kojemu </w:t>
      </w:r>
      <w:r w:rsidR="00637FD4">
        <w:rPr>
          <w:rFonts w:ascii="Times New Roman" w:hAnsi="Times New Roman" w:cs="Times New Roman"/>
          <w:sz w:val="24"/>
          <w:szCs w:val="24"/>
        </w:rPr>
        <w:lastRenderedPageBreak/>
        <w:t>najveći dio novca počiva na dugu i</w:t>
      </w:r>
      <w:r w:rsidR="00A83FC5">
        <w:rPr>
          <w:rFonts w:ascii="Times New Roman" w:hAnsi="Times New Roman" w:cs="Times New Roman"/>
          <w:sz w:val="24"/>
          <w:szCs w:val="24"/>
        </w:rPr>
        <w:t xml:space="preserve"> u</w:t>
      </w:r>
      <w:r w:rsidR="00637FD4">
        <w:rPr>
          <w:rFonts w:ascii="Times New Roman" w:hAnsi="Times New Roman" w:cs="Times New Roman"/>
          <w:sz w:val="24"/>
          <w:szCs w:val="24"/>
        </w:rPr>
        <w:t xml:space="preserve"> kojemu je količina dugova uvijek veća od količine novca (Kydland i Prescott, 1990), promjena sentimenta i prestanak refi</w:t>
      </w:r>
      <w:r w:rsidR="00C80A42">
        <w:rPr>
          <w:rFonts w:ascii="Times New Roman" w:hAnsi="Times New Roman" w:cs="Times New Roman"/>
          <w:sz w:val="24"/>
          <w:szCs w:val="24"/>
        </w:rPr>
        <w:t>nanciranja dugova i/ili izostanak daljnje</w:t>
      </w:r>
      <w:r w:rsidR="00637FD4">
        <w:rPr>
          <w:rFonts w:ascii="Times New Roman" w:hAnsi="Times New Roman" w:cs="Times New Roman"/>
          <w:sz w:val="24"/>
          <w:szCs w:val="24"/>
        </w:rPr>
        <w:t xml:space="preserve"> kreditne ekspanzije okidaju razornu dinamiku bilančane recesije i </w:t>
      </w:r>
      <w:r w:rsidR="00A30719">
        <w:rPr>
          <w:rFonts w:ascii="Times New Roman" w:hAnsi="Times New Roman" w:cs="Times New Roman"/>
          <w:sz w:val="24"/>
          <w:szCs w:val="24"/>
        </w:rPr>
        <w:t xml:space="preserve">to zorno pokazuje </w:t>
      </w:r>
      <w:r w:rsidR="00A30719" w:rsidRPr="00A30719">
        <w:rPr>
          <w:rFonts w:ascii="Times New Roman" w:hAnsi="Times New Roman" w:cs="Times New Roman"/>
          <w:i/>
          <w:sz w:val="24"/>
          <w:szCs w:val="24"/>
        </w:rPr>
        <w:t>Slika 2</w:t>
      </w:r>
      <w:r w:rsidR="00A30719">
        <w:rPr>
          <w:rFonts w:ascii="Times New Roman" w:hAnsi="Times New Roman" w:cs="Times New Roman"/>
          <w:sz w:val="24"/>
          <w:szCs w:val="24"/>
        </w:rPr>
        <w:t xml:space="preserve">. </w:t>
      </w:r>
      <w:r w:rsidR="000C1E57">
        <w:rPr>
          <w:rFonts w:ascii="Times New Roman" w:hAnsi="Times New Roman" w:cs="Times New Roman"/>
          <w:sz w:val="24"/>
          <w:szCs w:val="24"/>
        </w:rPr>
        <w:t>Iz ilustracije je jasno</w:t>
      </w:r>
      <w:r w:rsidR="00637FD4" w:rsidRPr="00637FD4">
        <w:rPr>
          <w:rFonts w:ascii="Times New Roman" w:hAnsi="Times New Roman" w:cs="Times New Roman"/>
          <w:sz w:val="24"/>
          <w:szCs w:val="24"/>
        </w:rPr>
        <w:t xml:space="preserve"> da slaba pozicija banaka nakon prsnuća financijskog  mjehura problematizira fiskalnu poziciju države koja je angažirana u akciji spašavan</w:t>
      </w:r>
      <w:r w:rsidR="007E3D98">
        <w:rPr>
          <w:rFonts w:ascii="Times New Roman" w:hAnsi="Times New Roman" w:cs="Times New Roman"/>
          <w:sz w:val="24"/>
          <w:szCs w:val="24"/>
        </w:rPr>
        <w:t>ja posrnulih financijskih institucija</w:t>
      </w:r>
      <w:r w:rsidR="00637FD4" w:rsidRPr="00637FD4">
        <w:rPr>
          <w:rFonts w:ascii="Times New Roman" w:hAnsi="Times New Roman" w:cs="Times New Roman"/>
          <w:sz w:val="24"/>
          <w:szCs w:val="24"/>
        </w:rPr>
        <w:t>. Viši teret duga implicira podizanje poreza i smanjenje rashodovnih stavki koje smanjuju agregatnu potražnju. Pad agregatne potražnje slabi proizvodnju u realnom sektoru ekonomije, a posljedično dolazi i do razduživanja privatnog  ne-financijskog  sektora pa pada potražnja za novim kreditima što slabi financijski sekor. Uslijed val</w:t>
      </w:r>
      <w:r w:rsidR="007E3D98">
        <w:rPr>
          <w:rFonts w:ascii="Times New Roman" w:hAnsi="Times New Roman" w:cs="Times New Roman"/>
          <w:sz w:val="24"/>
          <w:szCs w:val="24"/>
        </w:rPr>
        <w:t>a bankrota financijske institucije</w:t>
      </w:r>
      <w:r w:rsidR="00637FD4" w:rsidRPr="00637FD4">
        <w:rPr>
          <w:rFonts w:ascii="Times New Roman" w:hAnsi="Times New Roman" w:cs="Times New Roman"/>
          <w:sz w:val="24"/>
          <w:szCs w:val="24"/>
        </w:rPr>
        <w:t xml:space="preserve"> zbog neizvjesnosti smanjuju ponudu kredita i ugrađuju u cijenu kredita višu premiju rizika. Usred toga ne-financijska poduzeća koja nisu pogođena prvim valom bankrota smanjuju potražnju za kreditima i dolazi do usporavanja investicijske aktivnosti. Padaju porezni prihodi države i padaju cijene već izdanih državnih obveznica što povratnom spregom djeluje na sve slabiju poziciju financijskog  sektora sa suve</w:t>
      </w:r>
      <w:r w:rsidR="00C80A42">
        <w:rPr>
          <w:rFonts w:ascii="Times New Roman" w:hAnsi="Times New Roman" w:cs="Times New Roman"/>
          <w:sz w:val="24"/>
          <w:szCs w:val="24"/>
        </w:rPr>
        <w:t>renim dugom na svojim bilancama (podkapitaliziranost).</w:t>
      </w:r>
    </w:p>
    <w:p w:rsidR="00D46820" w:rsidRDefault="00BC06E9" w:rsidP="009229E8">
      <w:pPr>
        <w:spacing w:after="0" w:line="360" w:lineRule="auto"/>
        <w:jc w:val="both"/>
        <w:rPr>
          <w:rFonts w:ascii="Times New Roman" w:hAnsi="Times New Roman" w:cs="Times New Roman"/>
          <w:sz w:val="24"/>
          <w:szCs w:val="24"/>
        </w:rPr>
      </w:pPr>
      <w:r w:rsidRPr="002152BB">
        <w:rPr>
          <w:rFonts w:ascii="Times New Roman" w:hAnsi="Times New Roman" w:cs="Times New Roman"/>
          <w:noProof/>
          <w:sz w:val="24"/>
          <w:szCs w:val="24"/>
          <w:lang w:eastAsia="hr-HR"/>
        </w:rPr>
        <mc:AlternateContent>
          <mc:Choice Requires="wps">
            <w:drawing>
              <wp:anchor distT="0" distB="0" distL="114300" distR="114300" simplePos="0" relativeHeight="251667456" behindDoc="0" locked="0" layoutInCell="1" allowOverlap="1" wp14:anchorId="0B82802E" wp14:editId="287C1CAF">
                <wp:simplePos x="0" y="0"/>
                <wp:positionH relativeFrom="column">
                  <wp:posOffset>3643630</wp:posOffset>
                </wp:positionH>
                <wp:positionV relativeFrom="paragraph">
                  <wp:posOffset>2821305</wp:posOffset>
                </wp:positionV>
                <wp:extent cx="1828800" cy="2857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5750"/>
                        </a:xfrm>
                        <a:prstGeom prst="rect">
                          <a:avLst/>
                        </a:prstGeom>
                        <a:solidFill>
                          <a:srgbClr val="FFFFFF"/>
                        </a:solidFill>
                        <a:ln w="9525">
                          <a:solidFill>
                            <a:srgbClr val="000000"/>
                          </a:solidFill>
                          <a:miter lim="800000"/>
                          <a:headEnd/>
                          <a:tailEnd/>
                        </a:ln>
                      </wps:spPr>
                      <wps:txbx>
                        <w:txbxContent>
                          <w:p w:rsidR="00BC06E9" w:rsidRPr="002152BB" w:rsidRDefault="00BC06E9" w:rsidP="00BC06E9">
                            <w:pPr>
                              <w:rPr>
                                <w:rFonts w:ascii="Times New Roman" w:hAnsi="Times New Roman" w:cs="Times New Roman"/>
                                <w:sz w:val="20"/>
                                <w:szCs w:val="20"/>
                              </w:rPr>
                            </w:pPr>
                            <w:r>
                              <w:rPr>
                                <w:rFonts w:ascii="Times New Roman" w:hAnsi="Times New Roman" w:cs="Times New Roman"/>
                                <w:sz w:val="20"/>
                                <w:szCs w:val="20"/>
                              </w:rPr>
                              <w:t>Izvor: Vlastita ilustracija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286.9pt;margin-top:222.15pt;width:2in;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">
                <v:textbox>
                  <w:txbxContent>
                    <w:p w:rsidR="00BC06E9" w:rsidRPr="002152BB" w:rsidRDefault="00BC06E9" w:rsidP="00BC06E9">
                      <w:pPr>
                        <w:rPr>
                          <w:rFonts w:ascii="Times New Roman" w:hAnsi="Times New Roman" w:cs="Times New Roman"/>
                          <w:sz w:val="20"/>
                          <w:szCs w:val="20"/>
                        </w:rPr>
                      </w:pPr>
                      <w:r>
                        <w:rPr>
                          <w:rFonts w:ascii="Times New Roman" w:hAnsi="Times New Roman" w:cs="Times New Roman"/>
                          <w:sz w:val="20"/>
                          <w:szCs w:val="20"/>
                        </w:rPr>
                        <w:t>Izvor: Vlastita ilustracija</w:t>
                      </w:r>
                    </w:p>
                  </w:txbxContent>
                </v:textbox>
              </v:shape>
            </w:pict>
          </mc:Fallback>
        </mc:AlternateContent>
      </w:r>
      <w:r w:rsidR="00637FD4">
        <w:rPr>
          <w:rFonts w:ascii="Times New Roman" w:hAnsi="Times New Roman" w:cs="Times New Roman"/>
          <w:noProof/>
          <w:sz w:val="24"/>
          <w:szCs w:val="24"/>
          <w:lang w:eastAsia="hr-HR"/>
        </w:rPr>
        <w:drawing>
          <wp:anchor distT="0" distB="0" distL="114300" distR="114300" simplePos="0" relativeHeight="251663360" behindDoc="0" locked="0" layoutInCell="1" allowOverlap="1" wp14:anchorId="129947D5" wp14:editId="1D656E34">
            <wp:simplePos x="0" y="0"/>
            <wp:positionH relativeFrom="column">
              <wp:posOffset>43180</wp:posOffset>
            </wp:positionH>
            <wp:positionV relativeFrom="paragraph">
              <wp:posOffset>66040</wp:posOffset>
            </wp:positionV>
            <wp:extent cx="5524500" cy="3676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3676650"/>
                    </a:xfrm>
                    <a:prstGeom prst="rect">
                      <a:avLst/>
                    </a:prstGeom>
                    <a:noFill/>
                  </pic:spPr>
                </pic:pic>
              </a:graphicData>
            </a:graphic>
            <wp14:sizeRelH relativeFrom="margin">
              <wp14:pctWidth>0</wp14:pctWidth>
            </wp14:sizeRelH>
            <wp14:sizeRelV relativeFrom="margin">
              <wp14:pctHeight>0</wp14:pctHeight>
            </wp14:sizeRelV>
          </wp:anchor>
        </w:drawing>
      </w:r>
      <w:r w:rsidR="000C1E57">
        <w:rPr>
          <w:rFonts w:ascii="Times New Roman" w:hAnsi="Times New Roman" w:cs="Times New Roman"/>
          <w:sz w:val="24"/>
          <w:szCs w:val="24"/>
        </w:rPr>
        <w:t>Iz gore navedenoga vidljivo je da se u slučaju krize u EU/eurozoni nikako ne može govoriti o isključivom problemu javnih financija, već i o problematičnoj isprepletenosti suverena i banaka, ne samo na ekonomskoj razini kao između dvije stranke povezane određenim</w:t>
      </w:r>
      <w:r w:rsidR="007E3D98">
        <w:rPr>
          <w:rFonts w:ascii="Times New Roman" w:hAnsi="Times New Roman" w:cs="Times New Roman"/>
          <w:sz w:val="24"/>
          <w:szCs w:val="24"/>
        </w:rPr>
        <w:t xml:space="preserve"> </w:t>
      </w:r>
      <w:r w:rsidR="007E3D98">
        <w:rPr>
          <w:rFonts w:ascii="Times New Roman" w:hAnsi="Times New Roman" w:cs="Times New Roman"/>
          <w:sz w:val="24"/>
          <w:szCs w:val="24"/>
        </w:rPr>
        <w:lastRenderedPageBreak/>
        <w:t>oblikom dužničkog ugovora</w:t>
      </w:r>
      <w:r w:rsidR="000C1E57">
        <w:rPr>
          <w:rFonts w:ascii="Times New Roman" w:hAnsi="Times New Roman" w:cs="Times New Roman"/>
          <w:sz w:val="24"/>
          <w:szCs w:val="24"/>
        </w:rPr>
        <w:t>, već i na političkoj razini na kojoj j</w:t>
      </w:r>
      <w:r w:rsidR="00B458BE">
        <w:rPr>
          <w:rFonts w:ascii="Times New Roman" w:hAnsi="Times New Roman" w:cs="Times New Roman"/>
          <w:sz w:val="24"/>
          <w:szCs w:val="24"/>
        </w:rPr>
        <w:t>e ta povezanost daleko opasnija jer su ključna regulatorna pravila podešena n</w:t>
      </w:r>
      <w:r w:rsidR="00C80A42">
        <w:rPr>
          <w:rFonts w:ascii="Times New Roman" w:hAnsi="Times New Roman" w:cs="Times New Roman"/>
          <w:sz w:val="24"/>
          <w:szCs w:val="24"/>
        </w:rPr>
        <w:t>a način da državama omogućavaju</w:t>
      </w:r>
      <w:r w:rsidR="00FF2C69">
        <w:rPr>
          <w:rFonts w:ascii="Times New Roman" w:hAnsi="Times New Roman" w:cs="Times New Roman"/>
          <w:sz w:val="24"/>
          <w:szCs w:val="24"/>
        </w:rPr>
        <w:t xml:space="preserve"> nesmetan </w:t>
      </w:r>
      <w:r w:rsidR="00B458BE">
        <w:rPr>
          <w:rFonts w:ascii="Times New Roman" w:hAnsi="Times New Roman" w:cs="Times New Roman"/>
          <w:sz w:val="24"/>
          <w:szCs w:val="24"/>
        </w:rPr>
        <w:t>pristup novcu</w:t>
      </w:r>
      <w:r w:rsidR="00C80A42">
        <w:rPr>
          <w:rFonts w:ascii="Times New Roman" w:hAnsi="Times New Roman" w:cs="Times New Roman"/>
          <w:sz w:val="24"/>
          <w:szCs w:val="24"/>
        </w:rPr>
        <w:t xml:space="preserve"> u fazi ekspanzije</w:t>
      </w:r>
      <w:r w:rsidR="00B458BE">
        <w:rPr>
          <w:rFonts w:ascii="Times New Roman" w:hAnsi="Times New Roman" w:cs="Times New Roman"/>
          <w:sz w:val="24"/>
          <w:szCs w:val="24"/>
        </w:rPr>
        <w:t xml:space="preserve"> dok financijske institucije</w:t>
      </w:r>
      <w:r w:rsidR="007E3D98">
        <w:rPr>
          <w:rFonts w:ascii="Times New Roman" w:hAnsi="Times New Roman" w:cs="Times New Roman"/>
          <w:sz w:val="24"/>
          <w:szCs w:val="24"/>
        </w:rPr>
        <w:t xml:space="preserve"> dobivaju pristup velikoj količini likvidnih i lukrativnih državnih obveznica.</w:t>
      </w:r>
      <w:r w:rsidR="007E3D98">
        <w:rPr>
          <w:rStyle w:val="FootnoteReference"/>
          <w:rFonts w:ascii="Times New Roman" w:hAnsi="Times New Roman" w:cs="Times New Roman"/>
          <w:sz w:val="24"/>
          <w:szCs w:val="24"/>
        </w:rPr>
        <w:footnoteReference w:id="5"/>
      </w:r>
    </w:p>
    <w:p w:rsidR="00F340B0" w:rsidRDefault="00F340B0" w:rsidP="009229E8">
      <w:pPr>
        <w:spacing w:after="0" w:line="360" w:lineRule="auto"/>
        <w:jc w:val="both"/>
        <w:rPr>
          <w:rFonts w:ascii="Times New Roman" w:hAnsi="Times New Roman" w:cs="Times New Roman"/>
          <w:sz w:val="24"/>
          <w:szCs w:val="24"/>
        </w:rPr>
      </w:pPr>
    </w:p>
    <w:p w:rsidR="005D674E" w:rsidRDefault="007F630A" w:rsidP="009229E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Njemačka pozicija u kontekstu krize</w:t>
      </w:r>
    </w:p>
    <w:p w:rsidR="007F630A" w:rsidRDefault="007F630A" w:rsidP="009229E8">
      <w:pPr>
        <w:spacing w:after="0" w:line="360" w:lineRule="auto"/>
        <w:jc w:val="both"/>
        <w:rPr>
          <w:rFonts w:ascii="Times New Roman" w:hAnsi="Times New Roman" w:cs="Times New Roman"/>
          <w:b/>
          <w:sz w:val="24"/>
          <w:szCs w:val="24"/>
        </w:rPr>
      </w:pPr>
    </w:p>
    <w:p w:rsidR="00E55DEE" w:rsidRDefault="005D674E" w:rsidP="006B51D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Nakon pucanja </w:t>
      </w:r>
      <w:r w:rsidR="0071725E">
        <w:rPr>
          <w:rFonts w:ascii="Times New Roman" w:hAnsi="Times New Roman" w:cs="Times New Roman"/>
          <w:i/>
          <w:sz w:val="24"/>
          <w:szCs w:val="24"/>
        </w:rPr>
        <w:t>dotcom</w:t>
      </w:r>
      <w:r>
        <w:rPr>
          <w:rFonts w:ascii="Times New Roman" w:hAnsi="Times New Roman" w:cs="Times New Roman"/>
          <w:sz w:val="24"/>
          <w:szCs w:val="24"/>
        </w:rPr>
        <w:t xml:space="preserve"> mjehura 2000. </w:t>
      </w:r>
      <w:r w:rsidR="00C80A42">
        <w:rPr>
          <w:rFonts w:ascii="Times New Roman" w:hAnsi="Times New Roman" w:cs="Times New Roman"/>
          <w:sz w:val="24"/>
          <w:szCs w:val="24"/>
        </w:rPr>
        <w:t>g</w:t>
      </w:r>
      <w:r>
        <w:rPr>
          <w:rFonts w:ascii="Times New Roman" w:hAnsi="Times New Roman" w:cs="Times New Roman"/>
          <w:sz w:val="24"/>
          <w:szCs w:val="24"/>
        </w:rPr>
        <w:t>odine u SAD-u došlo je do prenošenja efekta prsnuća mjehura na Njemačku kao stožer buduće eurozone. U odsustvu mogućnosti primjene ekspanzivne fiskalne politike</w:t>
      </w:r>
      <w:r w:rsidR="00C80A42">
        <w:rPr>
          <w:rFonts w:ascii="Times New Roman" w:hAnsi="Times New Roman" w:cs="Times New Roman"/>
          <w:sz w:val="24"/>
          <w:szCs w:val="24"/>
        </w:rPr>
        <w:t xml:space="preserve"> (</w:t>
      </w:r>
      <w:r w:rsidR="00C80A42" w:rsidRPr="00F86013">
        <w:rPr>
          <w:rFonts w:ascii="Times New Roman" w:hAnsi="Times New Roman" w:cs="Times New Roman"/>
          <w:i/>
          <w:sz w:val="24"/>
          <w:szCs w:val="24"/>
        </w:rPr>
        <w:t>Pakt o stabilnosti i rastu</w:t>
      </w:r>
      <w:r w:rsidR="00C80A42">
        <w:rPr>
          <w:rFonts w:ascii="Times New Roman" w:hAnsi="Times New Roman" w:cs="Times New Roman"/>
          <w:sz w:val="24"/>
          <w:szCs w:val="24"/>
        </w:rPr>
        <w:t>)</w:t>
      </w:r>
      <w:r>
        <w:rPr>
          <w:rFonts w:ascii="Times New Roman" w:hAnsi="Times New Roman" w:cs="Times New Roman"/>
          <w:sz w:val="24"/>
          <w:szCs w:val="24"/>
        </w:rPr>
        <w:t xml:space="preserve"> i slabljenja njemačke ekonomije</w:t>
      </w:r>
      <w:r w:rsidR="006B51DC">
        <w:rPr>
          <w:rFonts w:ascii="Times New Roman" w:hAnsi="Times New Roman" w:cs="Times New Roman"/>
          <w:sz w:val="24"/>
          <w:szCs w:val="24"/>
        </w:rPr>
        <w:t>,</w:t>
      </w:r>
      <w:r>
        <w:rPr>
          <w:rFonts w:ascii="Times New Roman" w:hAnsi="Times New Roman" w:cs="Times New Roman"/>
          <w:sz w:val="24"/>
          <w:szCs w:val="24"/>
        </w:rPr>
        <w:t xml:space="preserve"> ECB 2003. godine spušta kamatnu stopu na 2%. Takav potez nije polučio ciljani učinak, ali imao je iz današnje perspektive kobnu ulogu za genezu aktualne krize zbog  masovnog priljeva jeftinog kapitala u periferne zemlje eurozone</w:t>
      </w:r>
      <w:r w:rsidR="006B51DC">
        <w:rPr>
          <w:rFonts w:ascii="Times New Roman" w:hAnsi="Times New Roman" w:cs="Times New Roman"/>
          <w:sz w:val="24"/>
          <w:szCs w:val="24"/>
        </w:rPr>
        <w:t>, u najvećoj mjeri kapitala iz Njemačke i Francuske</w:t>
      </w:r>
      <w:r>
        <w:rPr>
          <w:rFonts w:ascii="Times New Roman" w:hAnsi="Times New Roman" w:cs="Times New Roman"/>
          <w:sz w:val="24"/>
          <w:szCs w:val="24"/>
        </w:rPr>
        <w:t>.</w:t>
      </w:r>
      <w:r w:rsidR="006B51DC">
        <w:rPr>
          <w:rFonts w:ascii="Times New Roman" w:hAnsi="Times New Roman" w:cs="Times New Roman"/>
          <w:sz w:val="24"/>
          <w:szCs w:val="24"/>
        </w:rPr>
        <w:t xml:space="preserve"> Nakon toga</w:t>
      </w:r>
      <w:r>
        <w:rPr>
          <w:rFonts w:ascii="Times New Roman" w:hAnsi="Times New Roman" w:cs="Times New Roman"/>
          <w:sz w:val="24"/>
          <w:szCs w:val="24"/>
        </w:rPr>
        <w:t xml:space="preserve"> kreće priča uspješnog njemačkog izvoznog modela koja</w:t>
      </w:r>
      <w:r w:rsidR="00831C4B">
        <w:rPr>
          <w:rFonts w:ascii="Times New Roman" w:hAnsi="Times New Roman" w:cs="Times New Roman"/>
          <w:sz w:val="24"/>
          <w:szCs w:val="24"/>
        </w:rPr>
        <w:t xml:space="preserve"> još traje u</w:t>
      </w:r>
      <w:r>
        <w:rPr>
          <w:rFonts w:ascii="Times New Roman" w:hAnsi="Times New Roman" w:cs="Times New Roman"/>
          <w:sz w:val="24"/>
          <w:szCs w:val="24"/>
        </w:rPr>
        <w:t xml:space="preserve"> godina</w:t>
      </w:r>
      <w:r w:rsidR="00831C4B">
        <w:rPr>
          <w:rFonts w:ascii="Times New Roman" w:hAnsi="Times New Roman" w:cs="Times New Roman"/>
          <w:sz w:val="24"/>
          <w:szCs w:val="24"/>
        </w:rPr>
        <w:t>ma</w:t>
      </w:r>
      <w:r>
        <w:rPr>
          <w:rFonts w:ascii="Times New Roman" w:hAnsi="Times New Roman" w:cs="Times New Roman"/>
          <w:sz w:val="24"/>
          <w:szCs w:val="24"/>
        </w:rPr>
        <w:t xml:space="preserve"> nakon izbijanja krize. </w:t>
      </w:r>
      <w:r w:rsidR="00E55DEE">
        <w:rPr>
          <w:rFonts w:ascii="Times New Roman" w:hAnsi="Times New Roman" w:cs="Times New Roman"/>
          <w:sz w:val="24"/>
          <w:szCs w:val="24"/>
        </w:rPr>
        <w:t>Od</w:t>
      </w:r>
      <w:r>
        <w:rPr>
          <w:rFonts w:ascii="Times New Roman" w:hAnsi="Times New Roman" w:cs="Times New Roman"/>
          <w:sz w:val="24"/>
          <w:szCs w:val="24"/>
        </w:rPr>
        <w:t xml:space="preserve"> samog</w:t>
      </w:r>
      <w:r w:rsidR="00E55DEE">
        <w:rPr>
          <w:rFonts w:ascii="Times New Roman" w:hAnsi="Times New Roman" w:cs="Times New Roman"/>
          <w:sz w:val="24"/>
          <w:szCs w:val="24"/>
        </w:rPr>
        <w:t xml:space="preserve"> početka krize Njemačka još više djeluje kao istinski europski ekonomski hegemon, a svoju ekonomsku poziciju polagano komplementira sve jačim političkim nastupom i vidljivijim političkim profilom. </w:t>
      </w:r>
      <w:r w:rsidR="00F86013">
        <w:rPr>
          <w:rFonts w:ascii="Times New Roman" w:hAnsi="Times New Roman" w:cs="Times New Roman"/>
          <w:sz w:val="24"/>
          <w:szCs w:val="24"/>
        </w:rPr>
        <w:t>No, m</w:t>
      </w:r>
      <w:r w:rsidR="00E55DEE">
        <w:rPr>
          <w:rFonts w:ascii="Times New Roman" w:hAnsi="Times New Roman" w:cs="Times New Roman"/>
          <w:sz w:val="24"/>
          <w:szCs w:val="24"/>
        </w:rPr>
        <w:t>nogi površni promatrači zavedeni selektivnim odabirom određenih ekonomskih indikatora poput</w:t>
      </w:r>
      <w:r w:rsidR="00850B56">
        <w:rPr>
          <w:rFonts w:ascii="Times New Roman" w:hAnsi="Times New Roman" w:cs="Times New Roman"/>
          <w:sz w:val="24"/>
          <w:szCs w:val="24"/>
        </w:rPr>
        <w:t xml:space="preserve"> stope</w:t>
      </w:r>
      <w:r w:rsidR="00E55DEE">
        <w:rPr>
          <w:rFonts w:ascii="Times New Roman" w:hAnsi="Times New Roman" w:cs="Times New Roman"/>
          <w:sz w:val="24"/>
          <w:szCs w:val="24"/>
        </w:rPr>
        <w:t xml:space="preserve"> nezaposlenosti i izvoza prognosticiraju nastavak visoke njemačke konjukture, političku hegemoniju Njemačke u</w:t>
      </w:r>
      <w:r w:rsidR="00850B56">
        <w:rPr>
          <w:rFonts w:ascii="Times New Roman" w:hAnsi="Times New Roman" w:cs="Times New Roman"/>
          <w:sz w:val="24"/>
          <w:szCs w:val="24"/>
        </w:rPr>
        <w:t>nutar</w:t>
      </w:r>
      <w:r w:rsidR="00E55DEE">
        <w:rPr>
          <w:rFonts w:ascii="Times New Roman" w:hAnsi="Times New Roman" w:cs="Times New Roman"/>
          <w:sz w:val="24"/>
          <w:szCs w:val="24"/>
        </w:rPr>
        <w:t xml:space="preserve"> EU i poželjnost oponašanja njemačkog ekonomskog modela čija bi dinamičnost trebala razbiti arhaične ekonomske strukture na periferiji EU. Pad stope nezaposlenosti sa 11,2% (2004.) na 5,3% (svibanj 2013.) u tandemu s</w:t>
      </w:r>
      <w:r w:rsidR="00335940">
        <w:rPr>
          <w:rFonts w:ascii="Times New Roman" w:hAnsi="Times New Roman" w:cs="Times New Roman"/>
          <w:sz w:val="24"/>
          <w:szCs w:val="24"/>
        </w:rPr>
        <w:t>a prosječnom stopom suficita tekućeg računa bilance plaćanja od 4,7% u periodu između 2000. – 2012. djeluje stvarno impresivno</w:t>
      </w:r>
      <w:r w:rsidR="0079447D">
        <w:rPr>
          <w:rFonts w:ascii="Times New Roman" w:hAnsi="Times New Roman" w:cs="Times New Roman"/>
          <w:sz w:val="24"/>
          <w:szCs w:val="24"/>
        </w:rPr>
        <w:t xml:space="preserve"> (</w:t>
      </w:r>
      <w:r w:rsidR="0079447D" w:rsidRPr="0079447D">
        <w:rPr>
          <w:rFonts w:ascii="Times New Roman" w:hAnsi="Times New Roman" w:cs="Times New Roman"/>
          <w:i/>
          <w:sz w:val="24"/>
          <w:szCs w:val="24"/>
        </w:rPr>
        <w:t>Slika 3</w:t>
      </w:r>
      <w:r w:rsidR="0079447D">
        <w:rPr>
          <w:rFonts w:ascii="Times New Roman" w:hAnsi="Times New Roman" w:cs="Times New Roman"/>
          <w:sz w:val="24"/>
          <w:szCs w:val="24"/>
        </w:rPr>
        <w:t>)</w:t>
      </w:r>
      <w:r w:rsidR="006B51DC">
        <w:rPr>
          <w:rFonts w:ascii="Times New Roman" w:hAnsi="Times New Roman" w:cs="Times New Roman"/>
          <w:sz w:val="24"/>
          <w:szCs w:val="24"/>
        </w:rPr>
        <w:t xml:space="preserve"> i</w:t>
      </w:r>
      <w:r w:rsidR="00850B56">
        <w:rPr>
          <w:rFonts w:ascii="Times New Roman" w:hAnsi="Times New Roman" w:cs="Times New Roman"/>
          <w:sz w:val="24"/>
          <w:szCs w:val="24"/>
        </w:rPr>
        <w:t xml:space="preserve"> zajedno</w:t>
      </w:r>
      <w:r w:rsidR="006B51DC">
        <w:rPr>
          <w:rFonts w:ascii="Times New Roman" w:hAnsi="Times New Roman" w:cs="Times New Roman"/>
          <w:sz w:val="24"/>
          <w:szCs w:val="24"/>
        </w:rPr>
        <w:t xml:space="preserve"> navode na takav zaključak</w:t>
      </w:r>
      <w:r w:rsidR="00335940">
        <w:rPr>
          <w:rFonts w:ascii="Times New Roman" w:hAnsi="Times New Roman" w:cs="Times New Roman"/>
          <w:sz w:val="24"/>
          <w:szCs w:val="24"/>
        </w:rPr>
        <w:t xml:space="preserve">. No, ispod površine uspjeha kriju se mnoge ranjivost njemačkog ekonomskog modela i postoje mnogi podaci koji ukazuju na suprotno od gore navedenoga. </w:t>
      </w:r>
    </w:p>
    <w:p w:rsidR="0079447D" w:rsidRDefault="0079447D" w:rsidP="009229E8">
      <w:pPr>
        <w:spacing w:after="0" w:line="360" w:lineRule="auto"/>
        <w:jc w:val="both"/>
        <w:rPr>
          <w:rFonts w:ascii="Times New Roman" w:hAnsi="Times New Roman" w:cs="Times New Roman"/>
          <w:sz w:val="24"/>
          <w:szCs w:val="24"/>
        </w:rPr>
      </w:pPr>
    </w:p>
    <w:p w:rsidR="0079447D" w:rsidRPr="00E55DEE" w:rsidRDefault="0079447D" w:rsidP="009229E8">
      <w:pPr>
        <w:spacing w:after="0" w:line="360" w:lineRule="auto"/>
        <w:jc w:val="both"/>
        <w:rPr>
          <w:rFonts w:ascii="Times New Roman" w:hAnsi="Times New Roman" w:cs="Times New Roman"/>
          <w:sz w:val="24"/>
          <w:szCs w:val="24"/>
        </w:rPr>
      </w:pPr>
      <w:r>
        <w:rPr>
          <w:noProof/>
          <w:lang w:eastAsia="hr-HR"/>
        </w:rPr>
        <w:lastRenderedPageBreak/>
        <w:drawing>
          <wp:inline distT="0" distB="0" distL="0" distR="0" wp14:anchorId="6FB62CDD" wp14:editId="1D65431A">
            <wp:extent cx="5760720" cy="2289344"/>
            <wp:effectExtent l="0" t="0" r="11430" b="158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81089" w:rsidRDefault="0079447D" w:rsidP="006B51D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Prvi uzrok ranjivosti odnosi se na pretpostavku da je konstantno moguće održavati trgovinski suficit na ovakvoj razini i da je to čak</w:t>
      </w:r>
      <w:r w:rsidR="00FF2C69">
        <w:rPr>
          <w:rFonts w:ascii="Times New Roman" w:hAnsi="Times New Roman" w:cs="Times New Roman"/>
          <w:sz w:val="24"/>
          <w:szCs w:val="24"/>
        </w:rPr>
        <w:t xml:space="preserve"> iznimno</w:t>
      </w:r>
      <w:r>
        <w:rPr>
          <w:rFonts w:ascii="Times New Roman" w:hAnsi="Times New Roman" w:cs="Times New Roman"/>
          <w:sz w:val="24"/>
          <w:szCs w:val="24"/>
        </w:rPr>
        <w:t xml:space="preserve"> poželjno. </w:t>
      </w:r>
      <w:r w:rsidR="00FF2C69">
        <w:rPr>
          <w:rFonts w:ascii="Times New Roman" w:hAnsi="Times New Roman" w:cs="Times New Roman"/>
          <w:sz w:val="24"/>
          <w:szCs w:val="24"/>
        </w:rPr>
        <w:t>Dok to može vrijediti za male i otvorene ekonomije sa nekoliko milijuna stanovnika, teško je isto zamisliti za zemlju veličine Njemačke</w:t>
      </w:r>
      <w:r w:rsidR="00621007">
        <w:rPr>
          <w:rFonts w:ascii="Times New Roman" w:hAnsi="Times New Roman" w:cs="Times New Roman"/>
          <w:sz w:val="24"/>
          <w:szCs w:val="24"/>
        </w:rPr>
        <w:t xml:space="preserve"> jer svaki suficit ima svoju zrcalnu sliku u nečijem deficitu</w:t>
      </w:r>
      <w:r w:rsidR="00FF2C69">
        <w:rPr>
          <w:rFonts w:ascii="Times New Roman" w:hAnsi="Times New Roman" w:cs="Times New Roman"/>
          <w:sz w:val="24"/>
          <w:szCs w:val="24"/>
        </w:rPr>
        <w:t>.</w:t>
      </w:r>
      <w:r w:rsidR="00621007">
        <w:rPr>
          <w:rStyle w:val="FootnoteReference"/>
          <w:rFonts w:ascii="Times New Roman" w:hAnsi="Times New Roman" w:cs="Times New Roman"/>
          <w:sz w:val="24"/>
          <w:szCs w:val="24"/>
        </w:rPr>
        <w:footnoteReference w:id="6"/>
      </w:r>
      <w:r w:rsidR="00FF2C69">
        <w:rPr>
          <w:rFonts w:ascii="Times New Roman" w:hAnsi="Times New Roman" w:cs="Times New Roman"/>
          <w:sz w:val="24"/>
          <w:szCs w:val="24"/>
        </w:rPr>
        <w:t xml:space="preserve"> Mogućnost održavanja visokih izvoznih performansi teško je zadržati u kontekstu problematičnog eksternog okruženja kao što je sve veći broj zemalja suočen sa usporavanjem</w:t>
      </w:r>
      <w:r w:rsidR="00621007">
        <w:rPr>
          <w:rFonts w:ascii="Times New Roman" w:hAnsi="Times New Roman" w:cs="Times New Roman"/>
          <w:sz w:val="24"/>
          <w:szCs w:val="24"/>
        </w:rPr>
        <w:t xml:space="preserve"> rasta,</w:t>
      </w:r>
      <w:r w:rsidR="00FF2C69">
        <w:rPr>
          <w:rFonts w:ascii="Times New Roman" w:hAnsi="Times New Roman" w:cs="Times New Roman"/>
          <w:sz w:val="24"/>
          <w:szCs w:val="24"/>
        </w:rPr>
        <w:t xml:space="preserve"> uključujući</w:t>
      </w:r>
      <w:r w:rsidR="006B51DC">
        <w:rPr>
          <w:rFonts w:ascii="Times New Roman" w:hAnsi="Times New Roman" w:cs="Times New Roman"/>
          <w:sz w:val="24"/>
          <w:szCs w:val="24"/>
        </w:rPr>
        <w:t xml:space="preserve"> i</w:t>
      </w:r>
      <w:r w:rsidR="00FF2C69">
        <w:rPr>
          <w:rFonts w:ascii="Times New Roman" w:hAnsi="Times New Roman" w:cs="Times New Roman"/>
          <w:sz w:val="24"/>
          <w:szCs w:val="24"/>
        </w:rPr>
        <w:t xml:space="preserve"> tržišta u nastajanju (BRICSM). S druge strane, oportunitetni trošak usvajanja takvog modela je zanemarivanje agregatne potražnje na domaćem tržištu kroz potiskivanje jediničnih troškova rada ispod stope produktivnosti u svrhu oštrenja konkurentnosti prema glavnim trgovinskim partnerima. Takav model generira porast dohodovne nejednakosti i slabi investicij</w:t>
      </w:r>
      <w:r w:rsidR="003115DD">
        <w:rPr>
          <w:rFonts w:ascii="Times New Roman" w:hAnsi="Times New Roman" w:cs="Times New Roman"/>
          <w:sz w:val="24"/>
          <w:szCs w:val="24"/>
        </w:rPr>
        <w:t>ski kapacitet domaće ekonomije (</w:t>
      </w:r>
      <w:r w:rsidR="003115DD" w:rsidRPr="003115DD">
        <w:rPr>
          <w:rFonts w:ascii="Times New Roman" w:hAnsi="Times New Roman" w:cs="Times New Roman"/>
          <w:i/>
          <w:sz w:val="24"/>
          <w:szCs w:val="24"/>
        </w:rPr>
        <w:t>Slika 4</w:t>
      </w:r>
      <w:r w:rsidR="003115DD">
        <w:rPr>
          <w:rFonts w:ascii="Times New Roman" w:hAnsi="Times New Roman" w:cs="Times New Roman"/>
          <w:sz w:val="24"/>
          <w:szCs w:val="24"/>
        </w:rPr>
        <w:t>). Govoreći o slabljenj</w:t>
      </w:r>
      <w:r w:rsidR="006B51DC">
        <w:rPr>
          <w:rFonts w:ascii="Times New Roman" w:hAnsi="Times New Roman" w:cs="Times New Roman"/>
          <w:sz w:val="24"/>
          <w:szCs w:val="24"/>
        </w:rPr>
        <w:t>u investicijskog kapaciteta</w:t>
      </w:r>
      <w:r w:rsidR="003115DD">
        <w:rPr>
          <w:rFonts w:ascii="Times New Roman" w:hAnsi="Times New Roman" w:cs="Times New Roman"/>
          <w:sz w:val="24"/>
          <w:szCs w:val="24"/>
        </w:rPr>
        <w:t xml:space="preserve"> potrebno</w:t>
      </w:r>
      <w:r w:rsidR="006B51DC">
        <w:rPr>
          <w:rFonts w:ascii="Times New Roman" w:hAnsi="Times New Roman" w:cs="Times New Roman"/>
          <w:sz w:val="24"/>
          <w:szCs w:val="24"/>
        </w:rPr>
        <w:t xml:space="preserve"> je</w:t>
      </w:r>
      <w:r w:rsidR="003115DD">
        <w:rPr>
          <w:rFonts w:ascii="Times New Roman" w:hAnsi="Times New Roman" w:cs="Times New Roman"/>
          <w:sz w:val="24"/>
          <w:szCs w:val="24"/>
        </w:rPr>
        <w:t xml:space="preserve"> napomenuti da neto-izvoz zemlje predstavlja njezinu stopu </w:t>
      </w:r>
      <w:r w:rsidR="00621007">
        <w:rPr>
          <w:rFonts w:ascii="Times New Roman" w:hAnsi="Times New Roman" w:cs="Times New Roman"/>
          <w:sz w:val="24"/>
          <w:szCs w:val="24"/>
        </w:rPr>
        <w:t>štednje koja umjesto investiranja u domaću infrastrukturu i popratne sadržaje odlazi</w:t>
      </w:r>
      <w:r w:rsidR="00983172">
        <w:rPr>
          <w:rFonts w:ascii="Times New Roman" w:hAnsi="Times New Roman" w:cs="Times New Roman"/>
          <w:sz w:val="24"/>
          <w:szCs w:val="24"/>
        </w:rPr>
        <w:t xml:space="preserve"> na financiranje kupaca</w:t>
      </w:r>
      <w:r w:rsidR="00621007">
        <w:rPr>
          <w:rFonts w:ascii="Times New Roman" w:hAnsi="Times New Roman" w:cs="Times New Roman"/>
          <w:sz w:val="24"/>
          <w:szCs w:val="24"/>
        </w:rPr>
        <w:t xml:space="preserve"> kupaca dobara i usluga koji ih kupuju na kredit. Podaci Bundesbanke i Banke za međunarodna poravnanja pokazuju da njemačka potraživanja i dugovanja prema inozemstvu u odnosu na njemački BDP stoje u omjeru 5:1, dok je to u slučaju drugog velikog izvoznika Kine samo 1:1. Renate Ohr sa Sveučilišta Göttingen u takvome pristupu vidi razlog slabljen</w:t>
      </w:r>
      <w:r w:rsidR="00F86013">
        <w:rPr>
          <w:rFonts w:ascii="Times New Roman" w:hAnsi="Times New Roman" w:cs="Times New Roman"/>
          <w:sz w:val="24"/>
          <w:szCs w:val="24"/>
        </w:rPr>
        <w:t>j</w:t>
      </w:r>
      <w:r w:rsidR="00621007">
        <w:rPr>
          <w:rFonts w:ascii="Times New Roman" w:hAnsi="Times New Roman" w:cs="Times New Roman"/>
          <w:sz w:val="24"/>
          <w:szCs w:val="24"/>
        </w:rPr>
        <w:t>a infrastrukture (prometnice, željeznice, obrazovanje, istraživanj</w:t>
      </w:r>
      <w:r w:rsidR="00F86013">
        <w:rPr>
          <w:rFonts w:ascii="Times New Roman" w:hAnsi="Times New Roman" w:cs="Times New Roman"/>
          <w:sz w:val="24"/>
          <w:szCs w:val="24"/>
        </w:rPr>
        <w:t>e i razvoj) koja dugoročno smanjuje</w:t>
      </w:r>
      <w:r w:rsidR="00621007">
        <w:rPr>
          <w:rFonts w:ascii="Times New Roman" w:hAnsi="Times New Roman" w:cs="Times New Roman"/>
          <w:sz w:val="24"/>
          <w:szCs w:val="24"/>
        </w:rPr>
        <w:t xml:space="preserve"> potencijalni rast. </w:t>
      </w:r>
      <w:r w:rsidR="00F5389D">
        <w:rPr>
          <w:rFonts w:ascii="Times New Roman" w:hAnsi="Times New Roman" w:cs="Times New Roman"/>
          <w:sz w:val="24"/>
          <w:szCs w:val="24"/>
        </w:rPr>
        <w:t xml:space="preserve">Još veća zamka krije se u nemogućnosti naplate  potraživanja prema dužniku ili naplati na teret treće stranke. </w:t>
      </w:r>
    </w:p>
    <w:p w:rsidR="00F340B0" w:rsidRDefault="00F5389D" w:rsidP="006B51D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Promatrajući kumulativ njemačkih suficita u periodu 2000. – 2012. i potraživanja prema inozemstvu vidljivo je da su ta potraživanja za 600 milijardi eura manja od spomenutog </w:t>
      </w:r>
      <w:r>
        <w:rPr>
          <w:rFonts w:ascii="Times New Roman" w:hAnsi="Times New Roman" w:cs="Times New Roman"/>
          <w:sz w:val="24"/>
          <w:szCs w:val="24"/>
        </w:rPr>
        <w:lastRenderedPageBreak/>
        <w:t>kumulativa što se vodi kao evidentan gubitak (Deutsches Institut für Wirtschaftsforschung). Drugi dio problematičnosti modela odnosi se na porast dohodovne nejednakosti. U periodu od 2000. – 2012. Ginijev koeficijent porastao je sa 0,2</w:t>
      </w:r>
      <w:r w:rsidR="00850B56">
        <w:rPr>
          <w:rFonts w:ascii="Times New Roman" w:hAnsi="Times New Roman" w:cs="Times New Roman"/>
          <w:sz w:val="24"/>
          <w:szCs w:val="24"/>
        </w:rPr>
        <w:t>6 na 0,29. Premda njegov apsolutni</w:t>
      </w:r>
      <w:r>
        <w:rPr>
          <w:rFonts w:ascii="Times New Roman" w:hAnsi="Times New Roman" w:cs="Times New Roman"/>
          <w:sz w:val="24"/>
          <w:szCs w:val="24"/>
        </w:rPr>
        <w:t xml:space="preserve"> iznos nije alarmantan</w:t>
      </w:r>
      <w:r w:rsidR="00850B56">
        <w:rPr>
          <w:rFonts w:ascii="Times New Roman" w:hAnsi="Times New Roman" w:cs="Times New Roman"/>
          <w:sz w:val="24"/>
          <w:szCs w:val="24"/>
        </w:rPr>
        <w:t xml:space="preserve"> u usporedbi sa SAD-om i Velikom Britanijom</w:t>
      </w:r>
      <w:r>
        <w:rPr>
          <w:rFonts w:ascii="Times New Roman" w:hAnsi="Times New Roman" w:cs="Times New Roman"/>
          <w:sz w:val="24"/>
          <w:szCs w:val="24"/>
        </w:rPr>
        <w:t xml:space="preserve"> ipak govori o trendu koji bi u budućnosti mogao biti </w:t>
      </w:r>
      <w:r w:rsidR="007236C9">
        <w:rPr>
          <w:noProof/>
          <w:lang w:eastAsia="hr-HR"/>
        </w:rPr>
        <w:drawing>
          <wp:anchor distT="0" distB="0" distL="114300" distR="114300" simplePos="0" relativeHeight="251665408" behindDoc="0" locked="0" layoutInCell="1" allowOverlap="1" wp14:anchorId="05C5A655" wp14:editId="0A8AD151">
            <wp:simplePos x="0" y="0"/>
            <wp:positionH relativeFrom="column">
              <wp:posOffset>147955</wp:posOffset>
            </wp:positionH>
            <wp:positionV relativeFrom="paragraph">
              <wp:posOffset>1616710</wp:posOffset>
            </wp:positionV>
            <wp:extent cx="5629275" cy="2709545"/>
            <wp:effectExtent l="0" t="0" r="28575" b="14605"/>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još izraženiji. Postoje dva faktora važna u objašnjenju fenomena. </w:t>
      </w:r>
      <w:r w:rsidR="007D2E1E">
        <w:rPr>
          <w:rFonts w:ascii="Times New Roman" w:hAnsi="Times New Roman" w:cs="Times New Roman"/>
          <w:sz w:val="24"/>
          <w:szCs w:val="24"/>
        </w:rPr>
        <w:t>Prema podacima Njemačkog fe</w:t>
      </w:r>
      <w:r w:rsidR="006B51DC">
        <w:rPr>
          <w:rFonts w:ascii="Times New Roman" w:hAnsi="Times New Roman" w:cs="Times New Roman"/>
          <w:sz w:val="24"/>
          <w:szCs w:val="24"/>
        </w:rPr>
        <w:t>deralnog zavoda za statistiku u periodu</w:t>
      </w:r>
      <w:r w:rsidR="007D2E1E">
        <w:rPr>
          <w:rFonts w:ascii="Times New Roman" w:hAnsi="Times New Roman" w:cs="Times New Roman"/>
          <w:sz w:val="24"/>
          <w:szCs w:val="24"/>
        </w:rPr>
        <w:t xml:space="preserve"> 2000. – 2011. dohodak koji se izvodi iz nadnica porastao je za 19% dok je dohodak od kapitala porastao za 50%. Očito je da je držanje nadnica ispod stope produktivnosti doprinijelo porastu dohodovne nejednakosti</w:t>
      </w:r>
      <w:r w:rsidR="00F86013">
        <w:rPr>
          <w:rFonts w:ascii="Times New Roman" w:hAnsi="Times New Roman" w:cs="Times New Roman"/>
          <w:sz w:val="24"/>
          <w:szCs w:val="24"/>
        </w:rPr>
        <w:t xml:space="preserve"> (tome treba pribrojiti i smanjenje progresivnosti poreznog sustava)</w:t>
      </w:r>
      <w:r w:rsidR="007D2E1E">
        <w:rPr>
          <w:rFonts w:ascii="Times New Roman" w:hAnsi="Times New Roman" w:cs="Times New Roman"/>
          <w:sz w:val="24"/>
          <w:szCs w:val="24"/>
        </w:rPr>
        <w:t>. Drugi razlog je svakako anti-krizna politika od 2010. čije posljedice bi se tek mogle vidjeti u budućnosti. Izvozni model financiran njemačkim kapitalom kroz kreditiranje kupaca implicira ranjivost vjerovnika. No, suština anti-krizne politike sastojala se je u tome da su se</w:t>
      </w:r>
      <w:r w:rsidR="00850B56">
        <w:rPr>
          <w:rFonts w:ascii="Times New Roman" w:hAnsi="Times New Roman" w:cs="Times New Roman"/>
          <w:sz w:val="24"/>
          <w:szCs w:val="24"/>
        </w:rPr>
        <w:t xml:space="preserve"> gotovo</w:t>
      </w:r>
      <w:r w:rsidR="007D2E1E">
        <w:rPr>
          <w:rFonts w:ascii="Times New Roman" w:hAnsi="Times New Roman" w:cs="Times New Roman"/>
          <w:sz w:val="24"/>
          <w:szCs w:val="24"/>
        </w:rPr>
        <w:t xml:space="preserve"> sva potraživanja privatnog financijskog sektora</w:t>
      </w:r>
      <w:r w:rsidR="00F86013">
        <w:rPr>
          <w:rFonts w:ascii="Times New Roman" w:hAnsi="Times New Roman" w:cs="Times New Roman"/>
          <w:sz w:val="24"/>
          <w:szCs w:val="24"/>
        </w:rPr>
        <w:t xml:space="preserve"> prema periferiji</w:t>
      </w:r>
      <w:r w:rsidR="007D2E1E">
        <w:rPr>
          <w:rFonts w:ascii="Times New Roman" w:hAnsi="Times New Roman" w:cs="Times New Roman"/>
          <w:sz w:val="24"/>
          <w:szCs w:val="24"/>
        </w:rPr>
        <w:t xml:space="preserve"> pretvorila u javna potraživanja za koje jamče njemački i europski porezni obveznici.</w:t>
      </w:r>
      <w:r w:rsidR="007236C9">
        <w:rPr>
          <w:rStyle w:val="FootnoteReference"/>
          <w:rFonts w:ascii="Times New Roman" w:hAnsi="Times New Roman" w:cs="Times New Roman"/>
          <w:sz w:val="24"/>
          <w:szCs w:val="24"/>
        </w:rPr>
        <w:footnoteReference w:id="7"/>
      </w:r>
      <w:r w:rsidR="007D2E1E">
        <w:rPr>
          <w:rFonts w:ascii="Times New Roman" w:hAnsi="Times New Roman" w:cs="Times New Roman"/>
          <w:sz w:val="24"/>
          <w:szCs w:val="24"/>
        </w:rPr>
        <w:t xml:space="preserve"> Pojednostavljeno govoreći, najveći izvoznici i privatni finan</w:t>
      </w:r>
      <w:r w:rsidR="006B51DC">
        <w:rPr>
          <w:rFonts w:ascii="Times New Roman" w:hAnsi="Times New Roman" w:cs="Times New Roman"/>
          <w:sz w:val="24"/>
          <w:szCs w:val="24"/>
        </w:rPr>
        <w:t>cijski sektor naplatili su najveći dio svojih</w:t>
      </w:r>
      <w:r w:rsidR="007D2E1E">
        <w:rPr>
          <w:rFonts w:ascii="Times New Roman" w:hAnsi="Times New Roman" w:cs="Times New Roman"/>
          <w:sz w:val="24"/>
          <w:szCs w:val="24"/>
        </w:rPr>
        <w:t xml:space="preserve"> potraživanja, dok porezni obveznici</w:t>
      </w:r>
      <w:r w:rsidR="0038689B">
        <w:rPr>
          <w:rFonts w:ascii="Times New Roman" w:hAnsi="Times New Roman" w:cs="Times New Roman"/>
          <w:sz w:val="24"/>
          <w:szCs w:val="24"/>
        </w:rPr>
        <w:t xml:space="preserve"> vrlo vjerojatno</w:t>
      </w:r>
      <w:r w:rsidR="007D2E1E">
        <w:rPr>
          <w:rFonts w:ascii="Times New Roman" w:hAnsi="Times New Roman" w:cs="Times New Roman"/>
          <w:sz w:val="24"/>
          <w:szCs w:val="24"/>
        </w:rPr>
        <w:t xml:space="preserve"> neće naplatiti svoja potraživanja i ostat će dužni prema financijerima raznih 'spasilačkih kišobrana'</w:t>
      </w:r>
      <w:r w:rsidR="001974B7">
        <w:rPr>
          <w:rFonts w:ascii="Times New Roman" w:hAnsi="Times New Roman" w:cs="Times New Roman"/>
          <w:sz w:val="24"/>
          <w:szCs w:val="24"/>
        </w:rPr>
        <w:t xml:space="preserve"> kao što su</w:t>
      </w:r>
      <w:r w:rsidR="006B51DC">
        <w:rPr>
          <w:rFonts w:ascii="Times New Roman" w:hAnsi="Times New Roman" w:cs="Times New Roman"/>
          <w:sz w:val="24"/>
          <w:szCs w:val="24"/>
        </w:rPr>
        <w:t xml:space="preserve"> EFSF-a i ESM-a</w:t>
      </w:r>
      <w:r w:rsidR="007D2E1E">
        <w:rPr>
          <w:rFonts w:ascii="Times New Roman" w:hAnsi="Times New Roman" w:cs="Times New Roman"/>
          <w:sz w:val="24"/>
          <w:szCs w:val="24"/>
        </w:rPr>
        <w:t>.</w:t>
      </w:r>
      <w:r w:rsidR="0038689B">
        <w:rPr>
          <w:rStyle w:val="FootnoteReference"/>
          <w:rFonts w:ascii="Times New Roman" w:hAnsi="Times New Roman" w:cs="Times New Roman"/>
          <w:sz w:val="24"/>
          <w:szCs w:val="24"/>
        </w:rPr>
        <w:footnoteReference w:id="8"/>
      </w:r>
      <w:r w:rsidR="007D2E1E">
        <w:rPr>
          <w:rFonts w:ascii="Times New Roman" w:hAnsi="Times New Roman" w:cs="Times New Roman"/>
          <w:sz w:val="24"/>
          <w:szCs w:val="24"/>
        </w:rPr>
        <w:t xml:space="preserve"> Ukoliko porezna </w:t>
      </w:r>
      <w:r w:rsidR="007D2E1E">
        <w:rPr>
          <w:rFonts w:ascii="Times New Roman" w:hAnsi="Times New Roman" w:cs="Times New Roman"/>
          <w:sz w:val="24"/>
          <w:szCs w:val="24"/>
        </w:rPr>
        <w:lastRenderedPageBreak/>
        <w:t xml:space="preserve">presija u narednim godinama nadmaši porast nadnica u </w:t>
      </w:r>
      <w:r w:rsidR="0080489C">
        <w:rPr>
          <w:rFonts w:ascii="Times New Roman" w:hAnsi="Times New Roman" w:cs="Times New Roman"/>
          <w:sz w:val="24"/>
          <w:szCs w:val="24"/>
        </w:rPr>
        <w:t>godinama obilježenima izvoznim boomom onda je to dodatan element koji pogoršava raspod</w:t>
      </w:r>
      <w:r w:rsidR="006B51DC">
        <w:rPr>
          <w:rFonts w:ascii="Times New Roman" w:hAnsi="Times New Roman" w:cs="Times New Roman"/>
          <w:sz w:val="24"/>
          <w:szCs w:val="24"/>
        </w:rPr>
        <w:t>jelu dohotka jer su koristi</w:t>
      </w:r>
      <w:r w:rsidR="003F23D3">
        <w:rPr>
          <w:rFonts w:ascii="Times New Roman" w:hAnsi="Times New Roman" w:cs="Times New Roman"/>
          <w:sz w:val="24"/>
          <w:szCs w:val="24"/>
        </w:rPr>
        <w:t xml:space="preserve"> razdoblja rasta usko</w:t>
      </w:r>
      <w:r w:rsidR="0080489C">
        <w:rPr>
          <w:rFonts w:ascii="Times New Roman" w:hAnsi="Times New Roman" w:cs="Times New Roman"/>
          <w:sz w:val="24"/>
          <w:szCs w:val="24"/>
        </w:rPr>
        <w:t xml:space="preserve"> koncentrirane, a troškovi široko raspodijeljeni</w:t>
      </w:r>
      <w:r w:rsidR="003F23D3">
        <w:rPr>
          <w:rFonts w:ascii="Times New Roman" w:hAnsi="Times New Roman" w:cs="Times New Roman"/>
          <w:sz w:val="24"/>
          <w:szCs w:val="24"/>
        </w:rPr>
        <w:t xml:space="preserve"> kroz prostor i vrijeme</w:t>
      </w:r>
      <w:r w:rsidR="0080489C">
        <w:rPr>
          <w:rFonts w:ascii="Times New Roman" w:hAnsi="Times New Roman" w:cs="Times New Roman"/>
          <w:sz w:val="24"/>
          <w:szCs w:val="24"/>
        </w:rPr>
        <w:t>.</w:t>
      </w:r>
      <w:r w:rsidR="00536976">
        <w:rPr>
          <w:rFonts w:ascii="Times New Roman" w:hAnsi="Times New Roman" w:cs="Times New Roman"/>
          <w:sz w:val="24"/>
          <w:szCs w:val="24"/>
        </w:rPr>
        <w:t xml:space="preserve"> Dakle, suprotno javnom diskursu o transferu sredstava njemačkih poreznih obveznika 'lijenim Grcima' radilo se</w:t>
      </w:r>
      <w:r w:rsidR="00B81089">
        <w:rPr>
          <w:rFonts w:ascii="Times New Roman" w:hAnsi="Times New Roman" w:cs="Times New Roman"/>
          <w:sz w:val="24"/>
          <w:szCs w:val="24"/>
        </w:rPr>
        <w:t xml:space="preserve"> je</w:t>
      </w:r>
      <w:r w:rsidR="00536976">
        <w:rPr>
          <w:rFonts w:ascii="Times New Roman" w:hAnsi="Times New Roman" w:cs="Times New Roman"/>
          <w:sz w:val="24"/>
          <w:szCs w:val="24"/>
        </w:rPr>
        <w:t xml:space="preserve"> o značajnom transferu prema njemačkim i francuskim financijskim institucijama koje su kreditirale poslove sa Grčkom</w:t>
      </w:r>
      <w:r w:rsidR="00B81089">
        <w:rPr>
          <w:rFonts w:ascii="Times New Roman" w:hAnsi="Times New Roman" w:cs="Times New Roman"/>
          <w:sz w:val="24"/>
          <w:szCs w:val="24"/>
        </w:rPr>
        <w:t xml:space="preserve"> i ostalim perifernim zemljama</w:t>
      </w:r>
      <w:r w:rsidR="00536976">
        <w:rPr>
          <w:rFonts w:ascii="Times New Roman" w:hAnsi="Times New Roman" w:cs="Times New Roman"/>
          <w:sz w:val="24"/>
          <w:szCs w:val="24"/>
        </w:rPr>
        <w:t>.</w:t>
      </w:r>
      <w:r w:rsidR="0080489C">
        <w:rPr>
          <w:rFonts w:ascii="Times New Roman" w:hAnsi="Times New Roman" w:cs="Times New Roman"/>
          <w:sz w:val="24"/>
          <w:szCs w:val="24"/>
        </w:rPr>
        <w:t xml:space="preserve"> </w:t>
      </w:r>
      <w:r w:rsidR="00536976">
        <w:rPr>
          <w:rFonts w:ascii="Times New Roman" w:hAnsi="Times New Roman" w:cs="Times New Roman"/>
          <w:sz w:val="24"/>
          <w:szCs w:val="24"/>
        </w:rPr>
        <w:t>Druga strana medalje je ekstremno nejednaka raspodjela bogatstva i po tome Njemačka zauzima prvo mjesto u Europi s obzirom da gornja decila stanovništva raspolaže sa 59,2% bogatstva.</w:t>
      </w:r>
      <w:r w:rsidR="006B51DC">
        <w:rPr>
          <w:rFonts w:ascii="Times New Roman" w:hAnsi="Times New Roman" w:cs="Times New Roman"/>
          <w:sz w:val="24"/>
          <w:szCs w:val="24"/>
        </w:rPr>
        <w:t xml:space="preserve"> Bogatstvo</w:t>
      </w:r>
      <w:r w:rsidR="009C0FD1">
        <w:rPr>
          <w:rFonts w:ascii="Times New Roman" w:hAnsi="Times New Roman" w:cs="Times New Roman"/>
          <w:sz w:val="24"/>
          <w:szCs w:val="24"/>
        </w:rPr>
        <w:t xml:space="preserve"> izraženo</w:t>
      </w:r>
      <w:r w:rsidR="00536976">
        <w:rPr>
          <w:rFonts w:ascii="Times New Roman" w:hAnsi="Times New Roman" w:cs="Times New Roman"/>
          <w:sz w:val="24"/>
          <w:szCs w:val="24"/>
        </w:rPr>
        <w:t xml:space="preserve"> u novcu i ostalim likvidnim sredstvima od 1991. – 2013.</w:t>
      </w:r>
      <w:r w:rsidR="009C0FD1">
        <w:rPr>
          <w:rFonts w:ascii="Times New Roman" w:hAnsi="Times New Roman" w:cs="Times New Roman"/>
          <w:sz w:val="24"/>
          <w:szCs w:val="24"/>
        </w:rPr>
        <w:t xml:space="preserve"> bilježi </w:t>
      </w:r>
      <w:r w:rsidR="005D674E">
        <w:rPr>
          <w:rFonts w:ascii="Times New Roman" w:hAnsi="Times New Roman" w:cs="Times New Roman"/>
          <w:sz w:val="24"/>
          <w:szCs w:val="24"/>
        </w:rPr>
        <w:t>rast</w:t>
      </w:r>
      <w:r w:rsidR="009C0FD1">
        <w:rPr>
          <w:rFonts w:ascii="Times New Roman" w:hAnsi="Times New Roman" w:cs="Times New Roman"/>
          <w:sz w:val="24"/>
          <w:szCs w:val="24"/>
        </w:rPr>
        <w:t xml:space="preserve"> sa 1751 na 4992 milijarde eura.</w:t>
      </w:r>
      <w:r w:rsidR="00536976">
        <w:rPr>
          <w:rFonts w:ascii="Times New Roman" w:hAnsi="Times New Roman" w:cs="Times New Roman"/>
          <w:sz w:val="24"/>
          <w:szCs w:val="24"/>
        </w:rPr>
        <w:t xml:space="preserve"> Usprkos tome što je prema studiji ECB-a veličina bogatstva njemačkih kućanstva mjerena medijanom malena u usporedbi sa zemljama poput Italije i Španjolske </w:t>
      </w:r>
      <w:r w:rsidR="009C0FD1">
        <w:rPr>
          <w:rFonts w:ascii="Times New Roman" w:hAnsi="Times New Roman" w:cs="Times New Roman"/>
          <w:sz w:val="24"/>
          <w:szCs w:val="24"/>
        </w:rPr>
        <w:t>to proizlazi iz kućanstva kao jedinice analize (broja članova je manji u Njemačkoj) i sugerira u kontekstu gore navedenih podataka da di</w:t>
      </w:r>
      <w:r w:rsidR="007F61A5">
        <w:rPr>
          <w:rFonts w:ascii="Times New Roman" w:hAnsi="Times New Roman" w:cs="Times New Roman"/>
          <w:sz w:val="24"/>
          <w:szCs w:val="24"/>
        </w:rPr>
        <w:t>vergencija medijana i aritmetičke sredine</w:t>
      </w:r>
      <w:r w:rsidR="009C0FD1">
        <w:rPr>
          <w:rFonts w:ascii="Times New Roman" w:hAnsi="Times New Roman" w:cs="Times New Roman"/>
          <w:sz w:val="24"/>
          <w:szCs w:val="24"/>
        </w:rPr>
        <w:t xml:space="preserve"> bogatstva ukazuje na značajnu nejednakost. </w:t>
      </w:r>
    </w:p>
    <w:p w:rsidR="001974B7" w:rsidRDefault="001974B7" w:rsidP="006B51DC">
      <w:pPr>
        <w:spacing w:after="0" w:line="360" w:lineRule="auto"/>
        <w:ind w:firstLine="567"/>
        <w:jc w:val="both"/>
        <w:rPr>
          <w:rFonts w:ascii="Times New Roman" w:eastAsiaTheme="minorEastAsia" w:hAnsi="Times New Roman" w:cs="Times New Roman"/>
          <w:color w:val="000000" w:themeColor="text1"/>
          <w:kern w:val="24"/>
          <w:sz w:val="24"/>
          <w:szCs w:val="24"/>
          <w:lang w:val="pl-PL" w:eastAsia="hr-HR"/>
        </w:rPr>
      </w:pPr>
      <w:r>
        <w:rPr>
          <w:rFonts w:ascii="Times New Roman" w:hAnsi="Times New Roman" w:cs="Times New Roman"/>
          <w:sz w:val="24"/>
          <w:szCs w:val="24"/>
        </w:rPr>
        <w:t>Osim problematičnosti samog izvoznog modela Njemačka je u zadnjih 10 godina značajno povećala i svoj javni dug što odudara od standardne predodžbe da je primjer fiskalne prudencijalnosti prije i za vrijeme krize. 2004.</w:t>
      </w:r>
      <w:r w:rsidR="005D00FD">
        <w:rPr>
          <w:rFonts w:ascii="Times New Roman" w:hAnsi="Times New Roman" w:cs="Times New Roman"/>
          <w:sz w:val="24"/>
          <w:szCs w:val="24"/>
        </w:rPr>
        <w:t xml:space="preserve"> godine</w:t>
      </w:r>
      <w:r>
        <w:rPr>
          <w:rFonts w:ascii="Times New Roman" w:hAnsi="Times New Roman" w:cs="Times New Roman"/>
          <w:sz w:val="24"/>
          <w:szCs w:val="24"/>
        </w:rPr>
        <w:t xml:space="preserve"> javni dug iznosio je 65,8% dok je 2012% iznosio 80,5%</w:t>
      </w:r>
      <w:r w:rsidR="00850B56">
        <w:rPr>
          <w:rFonts w:ascii="Times New Roman" w:hAnsi="Times New Roman" w:cs="Times New Roman"/>
          <w:sz w:val="24"/>
          <w:szCs w:val="24"/>
        </w:rPr>
        <w:t xml:space="preserve"> BDP-a</w:t>
      </w:r>
      <w:r>
        <w:rPr>
          <w:rFonts w:ascii="Times New Roman" w:hAnsi="Times New Roman" w:cs="Times New Roman"/>
          <w:sz w:val="24"/>
          <w:szCs w:val="24"/>
        </w:rPr>
        <w:t xml:space="preserve"> i bio bi još veći da investitori nisu tražili sigurnost u njemački</w:t>
      </w:r>
      <w:r w:rsidR="00B81089">
        <w:rPr>
          <w:rFonts w:ascii="Times New Roman" w:hAnsi="Times New Roman" w:cs="Times New Roman"/>
          <w:sz w:val="24"/>
          <w:szCs w:val="24"/>
        </w:rPr>
        <w:t>m</w:t>
      </w:r>
      <w:r>
        <w:rPr>
          <w:rFonts w:ascii="Times New Roman" w:hAnsi="Times New Roman" w:cs="Times New Roman"/>
          <w:sz w:val="24"/>
          <w:szCs w:val="24"/>
        </w:rPr>
        <w:t xml:space="preserve"> državnim obveznicama koje su poznate po niskim prinosima ili čak negativnom prinosu. Još</w:t>
      </w:r>
      <w:r w:rsidR="00850B56">
        <w:rPr>
          <w:rFonts w:ascii="Times New Roman" w:hAnsi="Times New Roman" w:cs="Times New Roman"/>
          <w:sz w:val="24"/>
          <w:szCs w:val="24"/>
        </w:rPr>
        <w:t xml:space="preserve"> je šokantniji</w:t>
      </w:r>
      <w:r w:rsidR="005D00FD">
        <w:rPr>
          <w:rFonts w:ascii="Times New Roman" w:hAnsi="Times New Roman" w:cs="Times New Roman"/>
          <w:sz w:val="24"/>
          <w:szCs w:val="24"/>
        </w:rPr>
        <w:t xml:space="preserve"> podatak iz studije Bundesbanke</w:t>
      </w:r>
      <w:r w:rsidR="00B81089">
        <w:rPr>
          <w:rFonts w:ascii="Times New Roman" w:hAnsi="Times New Roman" w:cs="Times New Roman"/>
          <w:sz w:val="24"/>
          <w:szCs w:val="24"/>
        </w:rPr>
        <w:t xml:space="preserve"> govori</w:t>
      </w:r>
      <w:r w:rsidR="005D00FD">
        <w:rPr>
          <w:rFonts w:ascii="Times New Roman" w:hAnsi="Times New Roman" w:cs="Times New Roman"/>
          <w:sz w:val="24"/>
          <w:szCs w:val="24"/>
        </w:rPr>
        <w:t xml:space="preserve"> da je </w:t>
      </w:r>
      <w:r w:rsidRPr="001974B7">
        <w:rPr>
          <w:rFonts w:ascii="Times New Roman" w:hAnsi="Times New Roman" w:cs="Times New Roman"/>
          <w:sz w:val="24"/>
          <w:szCs w:val="24"/>
        </w:rPr>
        <w:t>neto imovina</w:t>
      </w:r>
      <w:r w:rsidR="005D00FD">
        <w:rPr>
          <w:rFonts w:ascii="Times New Roman" w:hAnsi="Times New Roman" w:cs="Times New Roman"/>
          <w:sz w:val="24"/>
          <w:szCs w:val="24"/>
        </w:rPr>
        <w:t xml:space="preserve"> Savezne Republike Njemačke</w:t>
      </w:r>
      <w:r w:rsidRPr="001974B7">
        <w:rPr>
          <w:rFonts w:ascii="Times New Roman" w:hAnsi="Times New Roman" w:cs="Times New Roman"/>
          <w:sz w:val="24"/>
          <w:szCs w:val="24"/>
        </w:rPr>
        <w:t xml:space="preserve"> 1991</w:t>
      </w:r>
      <w:r w:rsidR="005D00FD">
        <w:rPr>
          <w:rFonts w:ascii="Times New Roman" w:hAnsi="Times New Roman" w:cs="Times New Roman"/>
          <w:sz w:val="24"/>
          <w:szCs w:val="24"/>
        </w:rPr>
        <w:t>.</w:t>
      </w:r>
      <w:r w:rsidRPr="001974B7">
        <w:rPr>
          <w:rFonts w:ascii="Times New Roman" w:hAnsi="Times New Roman" w:cs="Times New Roman"/>
          <w:sz w:val="24"/>
          <w:szCs w:val="24"/>
        </w:rPr>
        <w:t xml:space="preserve"> iznosi</w:t>
      </w:r>
      <w:r w:rsidR="005D00FD">
        <w:rPr>
          <w:rFonts w:ascii="Times New Roman" w:hAnsi="Times New Roman" w:cs="Times New Roman"/>
          <w:sz w:val="24"/>
          <w:szCs w:val="24"/>
        </w:rPr>
        <w:t>la 52% BDP-a dok</w:t>
      </w:r>
      <w:r w:rsidRPr="001974B7">
        <w:rPr>
          <w:rFonts w:ascii="Times New Roman" w:hAnsi="Times New Roman" w:cs="Times New Roman"/>
          <w:sz w:val="24"/>
          <w:szCs w:val="24"/>
        </w:rPr>
        <w:t xml:space="preserve"> danas iznosi samo 1,6% BDP. </w:t>
      </w:r>
      <w:r w:rsidR="00850B56">
        <w:rPr>
          <w:rFonts w:ascii="Times New Roman" w:hAnsi="Times New Roman" w:cs="Times New Roman"/>
          <w:sz w:val="24"/>
          <w:szCs w:val="24"/>
        </w:rPr>
        <w:t>Vrijednost imovine</w:t>
      </w:r>
      <w:r w:rsidR="005D00FD">
        <w:rPr>
          <w:rFonts w:ascii="Times New Roman" w:hAnsi="Times New Roman" w:cs="Times New Roman"/>
          <w:sz w:val="24"/>
          <w:szCs w:val="24"/>
        </w:rPr>
        <w:t xml:space="preserve"> njemačke države čak bi bila na negativnom terenu </w:t>
      </w:r>
      <w:r w:rsidRPr="001974B7">
        <w:rPr>
          <w:rFonts w:ascii="Times New Roman" w:hAnsi="Times New Roman" w:cs="Times New Roman"/>
          <w:sz w:val="24"/>
          <w:szCs w:val="24"/>
        </w:rPr>
        <w:t>da</w:t>
      </w:r>
      <w:r w:rsidR="005D00FD">
        <w:rPr>
          <w:rFonts w:ascii="Times New Roman" w:hAnsi="Times New Roman" w:cs="Times New Roman"/>
          <w:sz w:val="24"/>
          <w:szCs w:val="24"/>
        </w:rPr>
        <w:t xml:space="preserve"> se kao imovina ne vode krediti izdani posrnulim članicama eurozone kroz stabilizacijske mehanizme</w:t>
      </w:r>
      <w:r w:rsidRPr="001974B7">
        <w:rPr>
          <w:rFonts w:ascii="Times New Roman" w:hAnsi="Times New Roman" w:cs="Times New Roman"/>
          <w:sz w:val="24"/>
          <w:szCs w:val="24"/>
        </w:rPr>
        <w:t xml:space="preserve"> </w:t>
      </w:r>
      <w:r w:rsidR="005D00FD">
        <w:rPr>
          <w:rFonts w:ascii="Times New Roman" w:hAnsi="Times New Roman" w:cs="Times New Roman"/>
          <w:sz w:val="24"/>
          <w:szCs w:val="24"/>
        </w:rPr>
        <w:t>od čega je status povratka mnogih od njih krajnje upitan. Samo povećanje duga vezano je i uz njemački bankarski sektor čemu je najbolji primjer ikona njemačkog bankarstva, Deutsche Bank. 2010. godine kada je počela kriza u eurozoni bilanca Deutsche Bank</w:t>
      </w:r>
      <w:r w:rsidR="00526DB1">
        <w:rPr>
          <w:rFonts w:ascii="Times New Roman" w:hAnsi="Times New Roman" w:cs="Times New Roman"/>
          <w:sz w:val="24"/>
          <w:szCs w:val="24"/>
        </w:rPr>
        <w:t xml:space="preserve"> (DB)</w:t>
      </w:r>
      <w:r w:rsidR="005D00FD">
        <w:rPr>
          <w:rFonts w:ascii="Times New Roman" w:hAnsi="Times New Roman" w:cs="Times New Roman"/>
          <w:sz w:val="24"/>
          <w:szCs w:val="24"/>
        </w:rPr>
        <w:t xml:space="preserve"> zauzimala je veći udio njemačkog BDP-a nego što </w:t>
      </w:r>
      <w:r w:rsidR="00526DB1">
        <w:rPr>
          <w:rFonts w:ascii="Times New Roman" w:hAnsi="Times New Roman" w:cs="Times New Roman"/>
          <w:sz w:val="24"/>
          <w:szCs w:val="24"/>
        </w:rPr>
        <w:t>što je kumulativ bilanci pet vodećih američkih banaka u odnosu na BDP Sjedinjenih Američkih Država. Podkapitaliziranost DB-a je notorna jer</w:t>
      </w:r>
      <w:r w:rsidR="00850B56">
        <w:rPr>
          <w:rFonts w:ascii="Times New Roman" w:hAnsi="Times New Roman" w:cs="Times New Roman"/>
          <w:sz w:val="24"/>
          <w:szCs w:val="24"/>
        </w:rPr>
        <w:t xml:space="preserve"> je koncem 2012. u</w:t>
      </w:r>
      <w:r w:rsidR="00526DB1">
        <w:rPr>
          <w:rFonts w:ascii="Times New Roman" w:hAnsi="Times New Roman" w:cs="Times New Roman"/>
          <w:sz w:val="24"/>
          <w:szCs w:val="24"/>
        </w:rPr>
        <w:t>dio vlastitog kapitala iznosio svega 2,68% tako da  bilo koji gubitak u aktivi veći od tog post</w:t>
      </w:r>
      <w:r w:rsidR="00B81089">
        <w:rPr>
          <w:rFonts w:ascii="Times New Roman" w:hAnsi="Times New Roman" w:cs="Times New Roman"/>
          <w:sz w:val="24"/>
          <w:szCs w:val="24"/>
        </w:rPr>
        <w:t>otaka znači nesolventnost</w:t>
      </w:r>
      <w:r w:rsidR="00850B56">
        <w:rPr>
          <w:rFonts w:ascii="Times New Roman" w:hAnsi="Times New Roman" w:cs="Times New Roman"/>
          <w:sz w:val="24"/>
          <w:szCs w:val="24"/>
        </w:rPr>
        <w:t xml:space="preserve"> i porezni obveznici su taoci </w:t>
      </w:r>
      <w:r w:rsidR="00E9738C">
        <w:rPr>
          <w:rFonts w:ascii="Times New Roman" w:hAnsi="Times New Roman" w:cs="Times New Roman"/>
          <w:i/>
          <w:sz w:val="24"/>
          <w:szCs w:val="24"/>
        </w:rPr>
        <w:t>too-big-to</w:t>
      </w:r>
      <w:r w:rsidR="00850B56" w:rsidRPr="00850B56">
        <w:rPr>
          <w:rFonts w:ascii="Times New Roman" w:hAnsi="Times New Roman" w:cs="Times New Roman"/>
          <w:i/>
          <w:sz w:val="24"/>
          <w:szCs w:val="24"/>
        </w:rPr>
        <w:t>-fail</w:t>
      </w:r>
      <w:r w:rsidR="00850B56">
        <w:rPr>
          <w:rFonts w:ascii="Times New Roman" w:hAnsi="Times New Roman" w:cs="Times New Roman"/>
          <w:sz w:val="24"/>
          <w:szCs w:val="24"/>
        </w:rPr>
        <w:t xml:space="preserve"> statusa banke</w:t>
      </w:r>
      <w:r w:rsidR="00526DB1">
        <w:rPr>
          <w:rFonts w:ascii="Times New Roman" w:hAnsi="Times New Roman" w:cs="Times New Roman"/>
          <w:sz w:val="24"/>
          <w:szCs w:val="24"/>
        </w:rPr>
        <w:t>. U tome treba tražiti razlog zbog čega je 2010. odgođen grčki bankro</w:t>
      </w:r>
      <w:r w:rsidR="0070274A">
        <w:rPr>
          <w:rFonts w:ascii="Times New Roman" w:hAnsi="Times New Roman" w:cs="Times New Roman"/>
          <w:sz w:val="24"/>
          <w:szCs w:val="24"/>
        </w:rPr>
        <w:t>t</w:t>
      </w:r>
      <w:r w:rsidR="00526DB1">
        <w:rPr>
          <w:rFonts w:ascii="Times New Roman" w:hAnsi="Times New Roman" w:cs="Times New Roman"/>
          <w:sz w:val="24"/>
          <w:szCs w:val="24"/>
        </w:rPr>
        <w:t xml:space="preserve">. </w:t>
      </w:r>
      <w:r w:rsidR="00526DB1">
        <w:rPr>
          <w:rFonts w:ascii="Times New Roman" w:eastAsiaTheme="minorEastAsia" w:hAnsi="Times New Roman" w:cs="Times New Roman"/>
          <w:color w:val="000000" w:themeColor="text1"/>
          <w:kern w:val="24"/>
          <w:sz w:val="24"/>
          <w:szCs w:val="24"/>
          <w:lang w:val="pl-PL" w:eastAsia="hr-HR"/>
        </w:rPr>
        <w:t xml:space="preserve">U takvom kontekstu lako je uočiti </w:t>
      </w:r>
      <w:r w:rsidR="00526DB1">
        <w:rPr>
          <w:rFonts w:ascii="Times New Roman" w:eastAsiaTheme="minorEastAsia" w:hAnsi="Times New Roman" w:cs="Times New Roman"/>
          <w:color w:val="000000" w:themeColor="text1"/>
          <w:kern w:val="24"/>
          <w:sz w:val="24"/>
          <w:szCs w:val="24"/>
          <w:lang w:val="pl-PL" w:eastAsia="hr-HR"/>
        </w:rPr>
        <w:lastRenderedPageBreak/>
        <w:t>logiku koletivne akcije Mancura Olsona pri čemu je homogenoj skupini aktera koji bi snosili koncentrirane gubitke relativno lako uz male transakcijske troškove orkestrirati mobilizacijsku kampanju kao što to svjedoči</w:t>
      </w:r>
      <w:r w:rsidR="00B81089">
        <w:rPr>
          <w:rFonts w:ascii="Times New Roman" w:eastAsiaTheme="minorEastAsia" w:hAnsi="Times New Roman" w:cs="Times New Roman"/>
          <w:color w:val="000000" w:themeColor="text1"/>
          <w:kern w:val="24"/>
          <w:sz w:val="24"/>
          <w:szCs w:val="24"/>
          <w:lang w:val="pl-PL" w:eastAsia="hr-HR"/>
        </w:rPr>
        <w:t xml:space="preserve"> akcija</w:t>
      </w:r>
      <w:r w:rsidR="00526DB1">
        <w:rPr>
          <w:rFonts w:ascii="Times New Roman" w:eastAsiaTheme="minorEastAsia" w:hAnsi="Times New Roman" w:cs="Times New Roman"/>
          <w:color w:val="000000" w:themeColor="text1"/>
          <w:kern w:val="24"/>
          <w:sz w:val="24"/>
          <w:szCs w:val="24"/>
          <w:lang w:val="pl-PL" w:eastAsia="hr-HR"/>
        </w:rPr>
        <w:t xml:space="preserve"> Institut</w:t>
      </w:r>
      <w:r w:rsidR="00B81089">
        <w:rPr>
          <w:rFonts w:ascii="Times New Roman" w:eastAsiaTheme="minorEastAsia" w:hAnsi="Times New Roman" w:cs="Times New Roman"/>
          <w:color w:val="000000" w:themeColor="text1"/>
          <w:kern w:val="24"/>
          <w:sz w:val="24"/>
          <w:szCs w:val="24"/>
          <w:lang w:val="pl-PL" w:eastAsia="hr-HR"/>
        </w:rPr>
        <w:t>a</w:t>
      </w:r>
      <w:r w:rsidR="00526DB1">
        <w:rPr>
          <w:rFonts w:ascii="Times New Roman" w:eastAsiaTheme="minorEastAsia" w:hAnsi="Times New Roman" w:cs="Times New Roman"/>
          <w:color w:val="000000" w:themeColor="text1"/>
          <w:kern w:val="24"/>
          <w:sz w:val="24"/>
          <w:szCs w:val="24"/>
          <w:lang w:val="pl-PL" w:eastAsia="hr-HR"/>
        </w:rPr>
        <w:t xml:space="preserve"> za međunarodne financije na čelu kojega je upravo u vrijeme značajnog pokušaja otpisivanja duga Grčkoj bio Josef Ackermann, </w:t>
      </w:r>
      <w:r w:rsidR="00E86000">
        <w:rPr>
          <w:rFonts w:ascii="Times New Roman" w:eastAsiaTheme="minorEastAsia" w:hAnsi="Times New Roman" w:cs="Times New Roman"/>
          <w:color w:val="000000" w:themeColor="text1"/>
          <w:kern w:val="24"/>
          <w:sz w:val="24"/>
          <w:szCs w:val="24"/>
          <w:lang w:val="pl-PL" w:eastAsia="hr-HR"/>
        </w:rPr>
        <w:t xml:space="preserve">bivši </w:t>
      </w:r>
      <w:r w:rsidR="00526DB1">
        <w:rPr>
          <w:rFonts w:ascii="Times New Roman" w:eastAsiaTheme="minorEastAsia" w:hAnsi="Times New Roman" w:cs="Times New Roman"/>
          <w:color w:val="000000" w:themeColor="text1"/>
          <w:kern w:val="24"/>
          <w:sz w:val="24"/>
          <w:szCs w:val="24"/>
          <w:lang w:val="pl-PL" w:eastAsia="hr-HR"/>
        </w:rPr>
        <w:t>CEO Deutsche Bank.</w:t>
      </w:r>
    </w:p>
    <w:p w:rsidR="00DD220E" w:rsidRDefault="00DD220E" w:rsidP="006B51DC">
      <w:pPr>
        <w:spacing w:after="0" w:line="360" w:lineRule="auto"/>
        <w:ind w:firstLine="567"/>
        <w:jc w:val="both"/>
        <w:rPr>
          <w:rFonts w:ascii="Times New Roman" w:eastAsiaTheme="minorEastAsia" w:hAnsi="Times New Roman" w:cs="Times New Roman"/>
          <w:color w:val="000000" w:themeColor="text1"/>
          <w:kern w:val="24"/>
          <w:sz w:val="24"/>
          <w:szCs w:val="24"/>
          <w:lang w:val="pl-PL" w:eastAsia="hr-HR"/>
        </w:rPr>
      </w:pPr>
    </w:p>
    <w:p w:rsidR="00DD220E" w:rsidRPr="00DD220E" w:rsidRDefault="00DD220E" w:rsidP="00DD220E">
      <w:pPr>
        <w:spacing w:after="0" w:line="360" w:lineRule="auto"/>
        <w:jc w:val="both"/>
        <w:rPr>
          <w:rFonts w:ascii="Times New Roman" w:eastAsiaTheme="minorEastAsia" w:hAnsi="Times New Roman" w:cs="Times New Roman"/>
          <w:b/>
          <w:color w:val="000000" w:themeColor="text1"/>
          <w:kern w:val="24"/>
          <w:sz w:val="24"/>
          <w:szCs w:val="24"/>
          <w:lang w:val="pl-PL" w:eastAsia="hr-HR"/>
        </w:rPr>
      </w:pPr>
      <w:r w:rsidRPr="00DD220E">
        <w:rPr>
          <w:rFonts w:ascii="Times New Roman" w:eastAsiaTheme="minorEastAsia" w:hAnsi="Times New Roman" w:cs="Times New Roman"/>
          <w:b/>
          <w:color w:val="000000" w:themeColor="text1"/>
          <w:kern w:val="24"/>
          <w:sz w:val="24"/>
          <w:szCs w:val="24"/>
          <w:lang w:val="pl-PL" w:eastAsia="hr-HR"/>
        </w:rPr>
        <w:t>Politička ekonomija njemačkih parlamentarnih izbora</w:t>
      </w:r>
    </w:p>
    <w:p w:rsidR="00DD220E" w:rsidRPr="0079447D" w:rsidRDefault="00DD220E" w:rsidP="006B51DC">
      <w:pPr>
        <w:spacing w:after="0" w:line="360" w:lineRule="auto"/>
        <w:ind w:firstLine="567"/>
        <w:jc w:val="both"/>
        <w:rPr>
          <w:rFonts w:ascii="Times New Roman" w:hAnsi="Times New Roman" w:cs="Times New Roman"/>
          <w:sz w:val="24"/>
          <w:szCs w:val="24"/>
        </w:rPr>
      </w:pPr>
    </w:p>
    <w:p w:rsidR="003115DD" w:rsidRDefault="00526DB1" w:rsidP="00526DB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Prenapregnutost njemačk</w:t>
      </w:r>
      <w:r w:rsidR="00B81089">
        <w:rPr>
          <w:rFonts w:ascii="Times New Roman" w:hAnsi="Times New Roman" w:cs="Times New Roman"/>
          <w:sz w:val="24"/>
          <w:szCs w:val="24"/>
        </w:rPr>
        <w:t>og bankarskog sektora u krizi</w:t>
      </w:r>
      <w:r>
        <w:rPr>
          <w:rFonts w:ascii="Times New Roman" w:hAnsi="Times New Roman" w:cs="Times New Roman"/>
          <w:sz w:val="24"/>
          <w:szCs w:val="24"/>
        </w:rPr>
        <w:t xml:space="preserve"> došla</w:t>
      </w:r>
      <w:r w:rsidR="00B81089">
        <w:rPr>
          <w:rFonts w:ascii="Times New Roman" w:hAnsi="Times New Roman" w:cs="Times New Roman"/>
          <w:sz w:val="24"/>
          <w:szCs w:val="24"/>
        </w:rPr>
        <w:t xml:space="preserve"> je</w:t>
      </w:r>
      <w:r>
        <w:rPr>
          <w:rFonts w:ascii="Times New Roman" w:hAnsi="Times New Roman" w:cs="Times New Roman"/>
          <w:sz w:val="24"/>
          <w:szCs w:val="24"/>
        </w:rPr>
        <w:t xml:space="preserve"> na naplatu u vidu 12 mlrd.</w:t>
      </w:r>
      <w:r w:rsidR="00051E52">
        <w:rPr>
          <w:rFonts w:ascii="Times New Roman" w:hAnsi="Times New Roman" w:cs="Times New Roman"/>
          <w:sz w:val="24"/>
          <w:szCs w:val="24"/>
        </w:rPr>
        <w:t xml:space="preserve"> eura</w:t>
      </w:r>
      <w:r>
        <w:rPr>
          <w:rFonts w:ascii="Times New Roman" w:hAnsi="Times New Roman" w:cs="Times New Roman"/>
          <w:sz w:val="24"/>
          <w:szCs w:val="24"/>
        </w:rPr>
        <w:t xml:space="preserve"> </w:t>
      </w:r>
      <w:r w:rsidR="006A613D">
        <w:rPr>
          <w:rFonts w:ascii="Times New Roman" w:hAnsi="Times New Roman" w:cs="Times New Roman"/>
          <w:sz w:val="24"/>
          <w:szCs w:val="24"/>
        </w:rPr>
        <w:t>g</w:t>
      </w:r>
      <w:r>
        <w:rPr>
          <w:rFonts w:ascii="Times New Roman" w:hAnsi="Times New Roman" w:cs="Times New Roman"/>
          <w:sz w:val="24"/>
          <w:szCs w:val="24"/>
        </w:rPr>
        <w:t>ubitka HRE</w:t>
      </w:r>
      <w:r w:rsidR="006A613D">
        <w:rPr>
          <w:rFonts w:ascii="Times New Roman" w:hAnsi="Times New Roman" w:cs="Times New Roman"/>
          <w:sz w:val="24"/>
          <w:szCs w:val="24"/>
        </w:rPr>
        <w:t>-a</w:t>
      </w:r>
      <w:r>
        <w:rPr>
          <w:rFonts w:ascii="Times New Roman" w:hAnsi="Times New Roman" w:cs="Times New Roman"/>
          <w:sz w:val="24"/>
          <w:szCs w:val="24"/>
        </w:rPr>
        <w:t>, 9 mlrd. IKB</w:t>
      </w:r>
      <w:r w:rsidR="006A613D">
        <w:rPr>
          <w:rFonts w:ascii="Times New Roman" w:hAnsi="Times New Roman" w:cs="Times New Roman"/>
          <w:sz w:val="24"/>
          <w:szCs w:val="24"/>
        </w:rPr>
        <w:t xml:space="preserve">-a, 10 mlrd. LBBW-a, 8 mlrd. Bayern LB-a, 4 mlrd. HSH Nordbank i </w:t>
      </w:r>
      <w:r w:rsidR="00B81089">
        <w:rPr>
          <w:rFonts w:ascii="Times New Roman" w:hAnsi="Times New Roman" w:cs="Times New Roman"/>
          <w:sz w:val="24"/>
          <w:szCs w:val="24"/>
        </w:rPr>
        <w:t>3-6 mlrd. Commerzbank i još će s</w:t>
      </w:r>
      <w:r w:rsidR="006A613D">
        <w:rPr>
          <w:rFonts w:ascii="Times New Roman" w:hAnsi="Times New Roman" w:cs="Times New Roman"/>
          <w:sz w:val="24"/>
          <w:szCs w:val="24"/>
        </w:rPr>
        <w:t>a zaoštravanjem</w:t>
      </w:r>
      <w:r w:rsidR="00B81089">
        <w:rPr>
          <w:rFonts w:ascii="Times New Roman" w:hAnsi="Times New Roman" w:cs="Times New Roman"/>
          <w:sz w:val="24"/>
          <w:szCs w:val="24"/>
        </w:rPr>
        <w:t xml:space="preserve"> krize</w:t>
      </w:r>
      <w:r w:rsidR="006A613D">
        <w:rPr>
          <w:rFonts w:ascii="Times New Roman" w:hAnsi="Times New Roman" w:cs="Times New Roman"/>
          <w:sz w:val="24"/>
          <w:szCs w:val="24"/>
        </w:rPr>
        <w:t xml:space="preserve"> na površinu</w:t>
      </w:r>
      <w:r w:rsidR="00B81089">
        <w:rPr>
          <w:rFonts w:ascii="Times New Roman" w:hAnsi="Times New Roman" w:cs="Times New Roman"/>
          <w:sz w:val="24"/>
          <w:szCs w:val="24"/>
        </w:rPr>
        <w:t xml:space="preserve"> isplivati</w:t>
      </w:r>
      <w:r w:rsidR="006A613D">
        <w:rPr>
          <w:rFonts w:ascii="Times New Roman" w:hAnsi="Times New Roman" w:cs="Times New Roman"/>
          <w:sz w:val="24"/>
          <w:szCs w:val="24"/>
        </w:rPr>
        <w:t xml:space="preserve"> mnoge dubioze. Razlog prenapregnutosti treba tražiti u korporativnom komplotu financijskih institucija i svijeta politike u kojemu su političari ponavljali mantru o potrebi izgradnje moćnih nacionalnih šampiona i čak aktivno poticali banke da izađu na međunarodno tržište i povećavaju financijsku polugu (dobar primjer je angažman njemačkih 'zemaljskih banaka' na američkom tržištu). U dobrim godinama, svima je odgovarala takva konstelacija s</w:t>
      </w:r>
      <w:r w:rsidR="002B2ABC">
        <w:rPr>
          <w:rFonts w:ascii="Times New Roman" w:hAnsi="Times New Roman" w:cs="Times New Roman"/>
          <w:sz w:val="24"/>
          <w:szCs w:val="24"/>
        </w:rPr>
        <w:t xml:space="preserve">ve dok u 'igri </w:t>
      </w:r>
      <w:r w:rsidR="0070274A">
        <w:rPr>
          <w:rFonts w:ascii="Times New Roman" w:hAnsi="Times New Roman" w:cs="Times New Roman"/>
          <w:sz w:val="24"/>
          <w:szCs w:val="24"/>
        </w:rPr>
        <w:t>muzičkih stolica glazba nije prestala</w:t>
      </w:r>
      <w:r w:rsidR="006A613D">
        <w:rPr>
          <w:rFonts w:ascii="Times New Roman" w:hAnsi="Times New Roman" w:cs="Times New Roman"/>
          <w:sz w:val="24"/>
          <w:szCs w:val="24"/>
        </w:rPr>
        <w:t>'. Danas, nakon što se je kriza stišala, njezini uzroci su</w:t>
      </w:r>
      <w:r w:rsidR="000F29EB">
        <w:rPr>
          <w:rFonts w:ascii="Times New Roman" w:hAnsi="Times New Roman" w:cs="Times New Roman"/>
          <w:sz w:val="24"/>
          <w:szCs w:val="24"/>
        </w:rPr>
        <w:t xml:space="preserve"> i dalje</w:t>
      </w:r>
      <w:r w:rsidR="006A613D">
        <w:rPr>
          <w:rFonts w:ascii="Times New Roman" w:hAnsi="Times New Roman" w:cs="Times New Roman"/>
          <w:sz w:val="24"/>
          <w:szCs w:val="24"/>
        </w:rPr>
        <w:t xml:space="preserve"> latentno prisutni i prema Martinu Hellwigu i Anat Admati kao vrsnim poznavaocima bankarskog sustava pitanj</w:t>
      </w:r>
      <w:r w:rsidR="000F29EB">
        <w:rPr>
          <w:rFonts w:ascii="Times New Roman" w:hAnsi="Times New Roman" w:cs="Times New Roman"/>
          <w:sz w:val="24"/>
          <w:szCs w:val="24"/>
        </w:rPr>
        <w:t>e nije pitanje da li će doći do još razornije krize</w:t>
      </w:r>
      <w:r w:rsidR="006A613D">
        <w:rPr>
          <w:rFonts w:ascii="Times New Roman" w:hAnsi="Times New Roman" w:cs="Times New Roman"/>
          <w:sz w:val="24"/>
          <w:szCs w:val="24"/>
        </w:rPr>
        <w:t xml:space="preserve"> ukoliko se nešto značajno ne promijeni, nego isključivo kada. Usprkos imidžu regulatora</w:t>
      </w:r>
      <w:r w:rsidR="0070274A">
        <w:rPr>
          <w:rFonts w:ascii="Times New Roman" w:hAnsi="Times New Roman" w:cs="Times New Roman"/>
          <w:sz w:val="24"/>
          <w:szCs w:val="24"/>
        </w:rPr>
        <w:t>,</w:t>
      </w:r>
      <w:r w:rsidR="006A613D">
        <w:rPr>
          <w:rFonts w:ascii="Times New Roman" w:hAnsi="Times New Roman" w:cs="Times New Roman"/>
          <w:sz w:val="24"/>
          <w:szCs w:val="24"/>
        </w:rPr>
        <w:t xml:space="preserve"> Njemačka i Francuska najviše opstruiraju postroženje bankarskih standarda kroz Basel III zbog podkapitaliziranosti Credit Agricole, BNP Paribas, DB i Commerzbank, a najviše se usmjeravaju na jeftina populistička rješenja tipa stroža regulacija hedge-fondova i zabrana </w:t>
      </w:r>
      <w:r w:rsidR="006A613D" w:rsidRPr="00A166FD">
        <w:rPr>
          <w:rFonts w:ascii="Times New Roman" w:hAnsi="Times New Roman" w:cs="Times New Roman"/>
          <w:i/>
          <w:sz w:val="24"/>
          <w:szCs w:val="24"/>
        </w:rPr>
        <w:t>short-sellinga</w:t>
      </w:r>
      <w:r w:rsidR="006A613D">
        <w:rPr>
          <w:rFonts w:ascii="Times New Roman" w:hAnsi="Times New Roman" w:cs="Times New Roman"/>
          <w:sz w:val="24"/>
          <w:szCs w:val="24"/>
        </w:rPr>
        <w:t xml:space="preserve"> instrumenata za osi</w:t>
      </w:r>
      <w:r w:rsidR="006503D2">
        <w:rPr>
          <w:rFonts w:ascii="Times New Roman" w:hAnsi="Times New Roman" w:cs="Times New Roman"/>
          <w:sz w:val="24"/>
          <w:szCs w:val="24"/>
        </w:rPr>
        <w:t>guranje duga (CDS) bez posjedovanja dotičnog financijskog proizvoda.</w:t>
      </w:r>
      <w:r w:rsidR="00A37671">
        <w:rPr>
          <w:rFonts w:ascii="Times New Roman" w:hAnsi="Times New Roman" w:cs="Times New Roman"/>
          <w:sz w:val="24"/>
          <w:szCs w:val="24"/>
        </w:rPr>
        <w:t xml:space="preserve"> Naime, povećanje vlastitog kapitala zahtjeva preraspodjelu između dioničara i poreznih obveznika jer se do veće stope vlastitog kapitala može doći isključivo kroz izdavanje novih dionica ili zadržavanje dobiti, a što financijski ne odgovora postojećim dioničarima. Stoga je kod podkapitaliziranosti banke u slučaju krize</w:t>
      </w:r>
      <w:r w:rsidR="00942842">
        <w:rPr>
          <w:rFonts w:ascii="Times New Roman" w:hAnsi="Times New Roman" w:cs="Times New Roman"/>
          <w:sz w:val="24"/>
          <w:szCs w:val="24"/>
        </w:rPr>
        <w:t xml:space="preserve"> iz perspektive financijskih </w:t>
      </w:r>
      <w:r w:rsidR="00942842" w:rsidRPr="00942842">
        <w:rPr>
          <w:rFonts w:ascii="Times New Roman" w:hAnsi="Times New Roman" w:cs="Times New Roman"/>
          <w:i/>
          <w:sz w:val="24"/>
          <w:szCs w:val="24"/>
        </w:rPr>
        <w:t>insidera</w:t>
      </w:r>
      <w:r w:rsidR="00A37671">
        <w:rPr>
          <w:rFonts w:ascii="Times New Roman" w:hAnsi="Times New Roman" w:cs="Times New Roman"/>
          <w:sz w:val="24"/>
          <w:szCs w:val="24"/>
        </w:rPr>
        <w:t xml:space="preserve"> očito oportunije računati na izdašnu pomoć poreznih obveznika.</w:t>
      </w:r>
    </w:p>
    <w:p w:rsidR="006503D2" w:rsidRDefault="006503D2" w:rsidP="00526DB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Iz svega ovoga vidljivo je da niti jedna njemačka stranka na nedavnim parlamentarnim izborima nije inzistirala na raspravi o ovim pitanjima, što zbog bezidejnosti i fokusiranosti na jeftina populistička </w:t>
      </w:r>
      <w:r w:rsidRPr="006503D2">
        <w:rPr>
          <w:rFonts w:ascii="Times New Roman" w:hAnsi="Times New Roman" w:cs="Times New Roman"/>
          <w:i/>
          <w:sz w:val="24"/>
          <w:szCs w:val="24"/>
        </w:rPr>
        <w:t>cop-out</w:t>
      </w:r>
      <w:r>
        <w:rPr>
          <w:rFonts w:ascii="Times New Roman" w:hAnsi="Times New Roman" w:cs="Times New Roman"/>
          <w:sz w:val="24"/>
          <w:szCs w:val="24"/>
        </w:rPr>
        <w:t xml:space="preserve"> rješenja, što zbog isprepletenosti sa strukturama moći. Nezadovoljstvo će u narednim godinama rasti premda je i sada bilo vidljivo jer je udio propalih glasova za stranke koje nisu prešle izborni prag od 5% skoro 16%</w:t>
      </w:r>
      <w:r w:rsidR="00AF2582">
        <w:rPr>
          <w:rFonts w:ascii="Times New Roman" w:hAnsi="Times New Roman" w:cs="Times New Roman"/>
          <w:sz w:val="24"/>
          <w:szCs w:val="24"/>
        </w:rPr>
        <w:t>, najviši do sada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Osim toga, udio glasova za  CDU/CSU-a i SPD-a kao dvije vodeće stranke pao je sa </w:t>
      </w:r>
      <w:r w:rsidR="00A37671">
        <w:rPr>
          <w:rFonts w:ascii="Times New Roman" w:hAnsi="Times New Roman" w:cs="Times New Roman"/>
          <w:sz w:val="24"/>
          <w:szCs w:val="24"/>
        </w:rPr>
        <w:t xml:space="preserve"> cca. 75% početko</w:t>
      </w:r>
      <w:r w:rsidR="00AF2582">
        <w:rPr>
          <w:rFonts w:ascii="Times New Roman" w:hAnsi="Times New Roman" w:cs="Times New Roman"/>
          <w:sz w:val="24"/>
          <w:szCs w:val="24"/>
        </w:rPr>
        <w:t>m</w:t>
      </w:r>
      <w:r w:rsidR="00A37671">
        <w:rPr>
          <w:rFonts w:ascii="Times New Roman" w:hAnsi="Times New Roman" w:cs="Times New Roman"/>
          <w:sz w:val="24"/>
          <w:szCs w:val="24"/>
        </w:rPr>
        <w:t xml:space="preserve"> desetljeća na 56%</w:t>
      </w:r>
      <w:r w:rsidR="006D751E">
        <w:rPr>
          <w:rFonts w:ascii="Times New Roman" w:hAnsi="Times New Roman" w:cs="Times New Roman"/>
          <w:sz w:val="24"/>
          <w:szCs w:val="24"/>
        </w:rPr>
        <w:t>. S druge strane,</w:t>
      </w:r>
      <w:r w:rsidR="0070274A">
        <w:rPr>
          <w:rFonts w:ascii="Times New Roman" w:hAnsi="Times New Roman" w:cs="Times New Roman"/>
          <w:sz w:val="24"/>
          <w:szCs w:val="24"/>
        </w:rPr>
        <w:t xml:space="preserve"> FDP nije uspio dobiti mjesto u Bundestagu s obzirom da se</w:t>
      </w:r>
      <w:r w:rsidR="009C023F">
        <w:rPr>
          <w:rFonts w:ascii="Times New Roman" w:hAnsi="Times New Roman" w:cs="Times New Roman"/>
          <w:sz w:val="24"/>
          <w:szCs w:val="24"/>
        </w:rPr>
        <w:t xml:space="preserve"> u velikoj mjeri</w:t>
      </w:r>
      <w:r w:rsidR="0070274A">
        <w:rPr>
          <w:rFonts w:ascii="Times New Roman" w:hAnsi="Times New Roman" w:cs="Times New Roman"/>
          <w:sz w:val="24"/>
          <w:szCs w:val="24"/>
        </w:rPr>
        <w:t xml:space="preserve"> percipira kao stranka krupnoga kapitala</w:t>
      </w:r>
      <w:r w:rsidR="00942842">
        <w:rPr>
          <w:rFonts w:ascii="Times New Roman" w:hAnsi="Times New Roman" w:cs="Times New Roman"/>
          <w:sz w:val="24"/>
          <w:szCs w:val="24"/>
        </w:rPr>
        <w:t xml:space="preserve"> koja je</w:t>
      </w:r>
      <w:r w:rsidR="005359F5">
        <w:rPr>
          <w:rFonts w:ascii="Times New Roman" w:hAnsi="Times New Roman" w:cs="Times New Roman"/>
          <w:sz w:val="24"/>
          <w:szCs w:val="24"/>
        </w:rPr>
        <w:t xml:space="preserve"> izgubila kredibilitet budući</w:t>
      </w:r>
      <w:r w:rsidR="00942842">
        <w:rPr>
          <w:rFonts w:ascii="Times New Roman" w:hAnsi="Times New Roman" w:cs="Times New Roman"/>
          <w:sz w:val="24"/>
          <w:szCs w:val="24"/>
        </w:rPr>
        <w:t xml:space="preserve"> da nije ispunila glavno izborno obećanje iz prethodne kampanje, porezno rasterećenje</w:t>
      </w:r>
      <w:r w:rsidR="00A37671">
        <w:rPr>
          <w:rFonts w:ascii="Times New Roman" w:hAnsi="Times New Roman" w:cs="Times New Roman"/>
          <w:sz w:val="24"/>
          <w:szCs w:val="24"/>
        </w:rPr>
        <w:t>. Nažalost,</w:t>
      </w:r>
      <w:r w:rsidR="00942842">
        <w:rPr>
          <w:rFonts w:ascii="Times New Roman" w:hAnsi="Times New Roman" w:cs="Times New Roman"/>
          <w:sz w:val="24"/>
          <w:szCs w:val="24"/>
        </w:rPr>
        <w:t xml:space="preserve"> u ovim primjerima</w:t>
      </w:r>
      <w:r w:rsidR="00A37671">
        <w:rPr>
          <w:rFonts w:ascii="Times New Roman" w:hAnsi="Times New Roman" w:cs="Times New Roman"/>
          <w:sz w:val="24"/>
          <w:szCs w:val="24"/>
        </w:rPr>
        <w:t xml:space="preserve"> vidljiva je sve slabija funkcija političkih stranaka kao aktera koji imaju zadatak agregirati i artikulirati društvene preferencije.</w:t>
      </w:r>
      <w:r w:rsidR="0070274A">
        <w:rPr>
          <w:rFonts w:ascii="Times New Roman" w:hAnsi="Times New Roman" w:cs="Times New Roman"/>
          <w:sz w:val="24"/>
          <w:szCs w:val="24"/>
        </w:rPr>
        <w:t xml:space="preserve"> Ključan primjer</w:t>
      </w:r>
      <w:r w:rsidR="00AF2582">
        <w:rPr>
          <w:rFonts w:ascii="Times New Roman" w:hAnsi="Times New Roman" w:cs="Times New Roman"/>
          <w:sz w:val="24"/>
          <w:szCs w:val="24"/>
        </w:rPr>
        <w:t xml:space="preserve"> za to nudi gore</w:t>
      </w:r>
      <w:r w:rsidR="0070274A">
        <w:rPr>
          <w:rFonts w:ascii="Times New Roman" w:hAnsi="Times New Roman" w:cs="Times New Roman"/>
          <w:sz w:val="24"/>
          <w:szCs w:val="24"/>
        </w:rPr>
        <w:t xml:space="preserve"> navedo pitanje</w:t>
      </w:r>
      <w:r w:rsidR="00A37671">
        <w:rPr>
          <w:rFonts w:ascii="Times New Roman" w:hAnsi="Times New Roman" w:cs="Times New Roman"/>
          <w:sz w:val="24"/>
          <w:szCs w:val="24"/>
        </w:rPr>
        <w:t xml:space="preserve"> odnos</w:t>
      </w:r>
      <w:r w:rsidR="0070274A">
        <w:rPr>
          <w:rFonts w:ascii="Times New Roman" w:hAnsi="Times New Roman" w:cs="Times New Roman"/>
          <w:sz w:val="24"/>
          <w:szCs w:val="24"/>
        </w:rPr>
        <w:t>a</w:t>
      </w:r>
      <w:r w:rsidR="00A37671">
        <w:rPr>
          <w:rFonts w:ascii="Times New Roman" w:hAnsi="Times New Roman" w:cs="Times New Roman"/>
          <w:sz w:val="24"/>
          <w:szCs w:val="24"/>
        </w:rPr>
        <w:t xml:space="preserve"> dioničari/menadžeri – porezni </w:t>
      </w:r>
      <w:r w:rsidR="00AF2582">
        <w:rPr>
          <w:rFonts w:ascii="Times New Roman" w:hAnsi="Times New Roman" w:cs="Times New Roman"/>
          <w:sz w:val="24"/>
          <w:szCs w:val="24"/>
        </w:rPr>
        <w:t xml:space="preserve">obveznik jer usprkos padu povjerenja </w:t>
      </w:r>
      <w:r w:rsidR="00B52BC2">
        <w:rPr>
          <w:rFonts w:ascii="Times New Roman" w:hAnsi="Times New Roman" w:cs="Times New Roman"/>
          <w:sz w:val="24"/>
          <w:szCs w:val="24"/>
        </w:rPr>
        <w:t xml:space="preserve">građana </w:t>
      </w:r>
      <w:r w:rsidR="00AF2582">
        <w:rPr>
          <w:rFonts w:ascii="Times New Roman" w:hAnsi="Times New Roman" w:cs="Times New Roman"/>
          <w:sz w:val="24"/>
          <w:szCs w:val="24"/>
        </w:rPr>
        <w:t>u banke sa 36% na 29% u odnosu na 2012. niti jedna stranka nije pokušala povesti debatu kako ukloniti stukturne probleme</w:t>
      </w:r>
      <w:r w:rsidR="0070274A">
        <w:rPr>
          <w:rFonts w:ascii="Times New Roman" w:hAnsi="Times New Roman" w:cs="Times New Roman"/>
          <w:sz w:val="24"/>
          <w:szCs w:val="24"/>
        </w:rPr>
        <w:t xml:space="preserve"> u bankarskom sektoru</w:t>
      </w:r>
      <w:r w:rsidR="00AF2582">
        <w:rPr>
          <w:rFonts w:ascii="Times New Roman" w:hAnsi="Times New Roman" w:cs="Times New Roman"/>
          <w:sz w:val="24"/>
          <w:szCs w:val="24"/>
        </w:rPr>
        <w:t xml:space="preserve"> i vratiti povjerenje na mjesto prije krize. Drugi</w:t>
      </w:r>
      <w:r w:rsidR="00A37671">
        <w:rPr>
          <w:rFonts w:ascii="Times New Roman" w:hAnsi="Times New Roman" w:cs="Times New Roman"/>
          <w:sz w:val="24"/>
          <w:szCs w:val="24"/>
        </w:rPr>
        <w:t xml:space="preserve"> </w:t>
      </w:r>
      <w:r w:rsidR="00AF2582">
        <w:rPr>
          <w:rFonts w:ascii="Times New Roman" w:hAnsi="Times New Roman" w:cs="Times New Roman"/>
          <w:sz w:val="24"/>
          <w:szCs w:val="24"/>
        </w:rPr>
        <w:t>ilustrativan primjer</w:t>
      </w:r>
      <w:r w:rsidR="00A37671">
        <w:rPr>
          <w:rFonts w:ascii="Times New Roman" w:hAnsi="Times New Roman" w:cs="Times New Roman"/>
          <w:sz w:val="24"/>
          <w:szCs w:val="24"/>
        </w:rPr>
        <w:t xml:space="preserve"> svakako je </w:t>
      </w:r>
      <w:r w:rsidR="00AF2582">
        <w:rPr>
          <w:rFonts w:ascii="Times New Roman" w:hAnsi="Times New Roman" w:cs="Times New Roman"/>
          <w:sz w:val="24"/>
          <w:szCs w:val="24"/>
        </w:rPr>
        <w:t>pitanje porast</w:t>
      </w:r>
      <w:r w:rsidR="00B81089">
        <w:rPr>
          <w:rFonts w:ascii="Times New Roman" w:hAnsi="Times New Roman" w:cs="Times New Roman"/>
          <w:sz w:val="24"/>
          <w:szCs w:val="24"/>
        </w:rPr>
        <w:t xml:space="preserve">a nejednake raspodjele dohotka </w:t>
      </w:r>
      <w:r w:rsidR="00AF2582">
        <w:rPr>
          <w:rFonts w:ascii="Times New Roman" w:hAnsi="Times New Roman" w:cs="Times New Roman"/>
          <w:sz w:val="24"/>
          <w:szCs w:val="24"/>
        </w:rPr>
        <w:t xml:space="preserve"> u zemlji sa tradicijom države blagostanja. U odnosu na 2000. samo je pola Nijemaca eksplicitno podržavalo redistributivne mjere</w:t>
      </w:r>
      <w:r w:rsidR="000A701B">
        <w:rPr>
          <w:rFonts w:ascii="Times New Roman" w:hAnsi="Times New Roman" w:cs="Times New Roman"/>
          <w:sz w:val="24"/>
          <w:szCs w:val="24"/>
        </w:rPr>
        <w:t xml:space="preserve"> za smanjenje nejednakosti dok je 25% bilo protiv, da bi prošle godine omjer iznosio 66% - 15%.</w:t>
      </w:r>
      <w:r w:rsidR="00D42DEE">
        <w:rPr>
          <w:rFonts w:ascii="Times New Roman" w:hAnsi="Times New Roman" w:cs="Times New Roman"/>
          <w:sz w:val="24"/>
          <w:szCs w:val="24"/>
        </w:rPr>
        <w:t xml:space="preserve"> Udio SPD-a i Die Linke</w:t>
      </w:r>
      <w:r w:rsidR="006D751E">
        <w:rPr>
          <w:rFonts w:ascii="Times New Roman" w:hAnsi="Times New Roman" w:cs="Times New Roman"/>
          <w:sz w:val="24"/>
          <w:szCs w:val="24"/>
        </w:rPr>
        <w:t xml:space="preserve"> u glasov</w:t>
      </w:r>
      <w:r w:rsidR="00F47B17">
        <w:rPr>
          <w:rFonts w:ascii="Times New Roman" w:hAnsi="Times New Roman" w:cs="Times New Roman"/>
          <w:sz w:val="24"/>
          <w:szCs w:val="24"/>
        </w:rPr>
        <w:t>ima</w:t>
      </w:r>
      <w:r w:rsidR="00D42DEE">
        <w:rPr>
          <w:rFonts w:ascii="Times New Roman" w:hAnsi="Times New Roman" w:cs="Times New Roman"/>
          <w:sz w:val="24"/>
          <w:szCs w:val="24"/>
        </w:rPr>
        <w:t xml:space="preserve"> od 34,3% u usporedbi sa prethodno navednim postotkom pokazuje</w:t>
      </w:r>
      <w:r w:rsidR="001A5E25">
        <w:rPr>
          <w:rFonts w:ascii="Times New Roman" w:hAnsi="Times New Roman" w:cs="Times New Roman"/>
          <w:sz w:val="24"/>
          <w:szCs w:val="24"/>
        </w:rPr>
        <w:t xml:space="preserve"> da</w:t>
      </w:r>
      <w:r w:rsidR="00D42DEE">
        <w:rPr>
          <w:rFonts w:ascii="Times New Roman" w:hAnsi="Times New Roman" w:cs="Times New Roman"/>
          <w:sz w:val="24"/>
          <w:szCs w:val="24"/>
        </w:rPr>
        <w:t xml:space="preserve"> osim nerazumijevanja ili ignoriranja osnovnih načela političke ekonomije i financija</w:t>
      </w:r>
      <w:r w:rsidR="001A5E25">
        <w:rPr>
          <w:rFonts w:ascii="Times New Roman" w:hAnsi="Times New Roman" w:cs="Times New Roman"/>
          <w:sz w:val="24"/>
          <w:szCs w:val="24"/>
        </w:rPr>
        <w:t xml:space="preserve"> ove dvije stranke ne uspijevaju</w:t>
      </w:r>
      <w:r w:rsidR="00D42DEE">
        <w:rPr>
          <w:rFonts w:ascii="Times New Roman" w:hAnsi="Times New Roman" w:cs="Times New Roman"/>
          <w:sz w:val="24"/>
          <w:szCs w:val="24"/>
        </w:rPr>
        <w:t xml:space="preserve"> pretvoriti potražnju za određenim setom programa u konkretan</w:t>
      </w:r>
      <w:r w:rsidR="00F47B17">
        <w:rPr>
          <w:rFonts w:ascii="Times New Roman" w:hAnsi="Times New Roman" w:cs="Times New Roman"/>
          <w:sz w:val="24"/>
          <w:szCs w:val="24"/>
        </w:rPr>
        <w:t xml:space="preserve"> politički</w:t>
      </w:r>
      <w:r w:rsidR="00D42DEE">
        <w:rPr>
          <w:rFonts w:ascii="Times New Roman" w:hAnsi="Times New Roman" w:cs="Times New Roman"/>
          <w:sz w:val="24"/>
          <w:szCs w:val="24"/>
        </w:rPr>
        <w:t xml:space="preserve"> proizvod.</w:t>
      </w:r>
    </w:p>
    <w:p w:rsidR="001A5E25" w:rsidRDefault="003A090A" w:rsidP="00526DB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Pozicija njemačkih političkih stranaka prema koncipiranju rješenja za krizu u eurozoni uglavnom je determinirana potpunom predanošću očuvanja eurozone s obzirom na činjenicu da je usprkos padu udjela zemalja eurozone u njemačkom izvozu sa 44% na 36% ovisnost B</w:t>
      </w:r>
      <w:r w:rsidR="00517F5D">
        <w:rPr>
          <w:rFonts w:ascii="Times New Roman" w:hAnsi="Times New Roman" w:cs="Times New Roman"/>
          <w:sz w:val="24"/>
          <w:szCs w:val="24"/>
        </w:rPr>
        <w:t>DP-a o toj komponenti</w:t>
      </w:r>
      <w:r>
        <w:rPr>
          <w:rFonts w:ascii="Times New Roman" w:hAnsi="Times New Roman" w:cs="Times New Roman"/>
          <w:sz w:val="24"/>
          <w:szCs w:val="24"/>
        </w:rPr>
        <w:t xml:space="preserve"> bez reflacijskih mjera na unutarnjem tržištu vrlo značajna.</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Pozicija CDU/CSU-a razlikuje se od pozicije SPD u smislu da je potonji predan rješenju uvođenja euroobveznica kao oblika mutualizacije duga dok CDU/CSU odbija takvo rješenje inzistiranjem na fiskalnoj konsolidaciji u zemljama na periferiji</w:t>
      </w:r>
      <w:r w:rsidR="005E53BA">
        <w:rPr>
          <w:rFonts w:ascii="Times New Roman" w:hAnsi="Times New Roman" w:cs="Times New Roman"/>
          <w:sz w:val="24"/>
          <w:szCs w:val="24"/>
        </w:rPr>
        <w:t>. Usprkos ovoj razlici koja će vrlo vjerojatnu većinsku koaliciju CDU/CSU-SPD povrem</w:t>
      </w:r>
      <w:r w:rsidR="00517F5D">
        <w:rPr>
          <w:rFonts w:ascii="Times New Roman" w:hAnsi="Times New Roman" w:cs="Times New Roman"/>
          <w:sz w:val="24"/>
          <w:szCs w:val="24"/>
        </w:rPr>
        <w:t>eno dijeliti i otežavati</w:t>
      </w:r>
      <w:r w:rsidR="001A5E25">
        <w:rPr>
          <w:rFonts w:ascii="Times New Roman" w:hAnsi="Times New Roman" w:cs="Times New Roman"/>
          <w:sz w:val="24"/>
          <w:szCs w:val="24"/>
        </w:rPr>
        <w:t xml:space="preserve"> im</w:t>
      </w:r>
      <w:r w:rsidR="00517F5D">
        <w:rPr>
          <w:rFonts w:ascii="Times New Roman" w:hAnsi="Times New Roman" w:cs="Times New Roman"/>
          <w:sz w:val="24"/>
          <w:szCs w:val="24"/>
        </w:rPr>
        <w:t xml:space="preserve"> krizni menadžement</w:t>
      </w:r>
      <w:r w:rsidR="001A5E25">
        <w:rPr>
          <w:rFonts w:ascii="Times New Roman" w:hAnsi="Times New Roman" w:cs="Times New Roman"/>
          <w:sz w:val="24"/>
          <w:szCs w:val="24"/>
        </w:rPr>
        <w:t>,</w:t>
      </w:r>
      <w:r w:rsidR="005E53BA">
        <w:rPr>
          <w:rFonts w:ascii="Times New Roman" w:hAnsi="Times New Roman" w:cs="Times New Roman"/>
          <w:sz w:val="24"/>
          <w:szCs w:val="24"/>
        </w:rPr>
        <w:t xml:space="preserve"> uopće nije upitno da će CDU/CSU s obzirom na gore navedeni primarni cilj pristati na određen oblik socijalizacije dugova koji će biračkom tijelu bit</w:t>
      </w:r>
      <w:r w:rsidR="0061267B">
        <w:rPr>
          <w:rFonts w:ascii="Times New Roman" w:hAnsi="Times New Roman" w:cs="Times New Roman"/>
          <w:sz w:val="24"/>
          <w:szCs w:val="24"/>
        </w:rPr>
        <w:t>i probavljiviji i istovremeno stranci</w:t>
      </w:r>
      <w:r w:rsidR="005E53BA">
        <w:rPr>
          <w:rFonts w:ascii="Times New Roman" w:hAnsi="Times New Roman" w:cs="Times New Roman"/>
          <w:sz w:val="24"/>
          <w:szCs w:val="24"/>
        </w:rPr>
        <w:t xml:space="preserve"> omogućiti da </w:t>
      </w:r>
      <w:r w:rsidR="009D6971">
        <w:rPr>
          <w:rFonts w:ascii="Times New Roman" w:hAnsi="Times New Roman" w:cs="Times New Roman"/>
          <w:sz w:val="24"/>
          <w:szCs w:val="24"/>
        </w:rPr>
        <w:t>'</w:t>
      </w:r>
      <w:r w:rsidR="005E53BA">
        <w:rPr>
          <w:rFonts w:ascii="Times New Roman" w:hAnsi="Times New Roman" w:cs="Times New Roman"/>
          <w:sz w:val="24"/>
          <w:szCs w:val="24"/>
        </w:rPr>
        <w:t>sačuva lice</w:t>
      </w:r>
      <w:r w:rsidR="009D6971">
        <w:rPr>
          <w:rFonts w:ascii="Times New Roman" w:hAnsi="Times New Roman" w:cs="Times New Roman"/>
          <w:sz w:val="24"/>
          <w:szCs w:val="24"/>
        </w:rPr>
        <w:t>'</w:t>
      </w:r>
      <w:r w:rsidR="00517F5D">
        <w:rPr>
          <w:rFonts w:ascii="Times New Roman" w:hAnsi="Times New Roman" w:cs="Times New Roman"/>
          <w:sz w:val="24"/>
          <w:szCs w:val="24"/>
        </w:rPr>
        <w:t>. 'Konzekventno ne' Angele Merkel u koncipiranju dosadašnjih 'paketa za spašavanje' uvijek se je pretvaralo u konzektveno 'da'</w:t>
      </w:r>
      <w:r w:rsidR="005E53BA">
        <w:rPr>
          <w:rFonts w:ascii="Times New Roman" w:hAnsi="Times New Roman" w:cs="Times New Roman"/>
          <w:sz w:val="24"/>
          <w:szCs w:val="24"/>
        </w:rPr>
        <w:t xml:space="preserve">. Umjesto direktnog otpisa duga vrlo izgledno preferirano rješenje je prolongiranje roka otplate </w:t>
      </w:r>
      <w:r w:rsidR="005E53BA">
        <w:rPr>
          <w:rFonts w:ascii="Times New Roman" w:hAnsi="Times New Roman" w:cs="Times New Roman"/>
          <w:sz w:val="24"/>
          <w:szCs w:val="24"/>
        </w:rPr>
        <w:lastRenderedPageBreak/>
        <w:t>i smanjenje kamata dopuštajući inflaciji da proguta dio duga (primjer otplate enormnog duga Velike Britanije nakon Drugog svjetskog rata).</w:t>
      </w:r>
    </w:p>
    <w:p w:rsidR="004F77E6" w:rsidRDefault="005E53BA" w:rsidP="00526DB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U debati</w:t>
      </w:r>
      <w:r w:rsidR="00517F5D">
        <w:rPr>
          <w:rFonts w:ascii="Times New Roman" w:hAnsi="Times New Roman" w:cs="Times New Roman"/>
          <w:sz w:val="24"/>
          <w:szCs w:val="24"/>
        </w:rPr>
        <w:t xml:space="preserve"> oko rješenja krize u eurozoni figuriraju koncepti</w:t>
      </w:r>
      <w:r>
        <w:rPr>
          <w:rFonts w:ascii="Times New Roman" w:hAnsi="Times New Roman" w:cs="Times New Roman"/>
          <w:sz w:val="24"/>
          <w:szCs w:val="24"/>
        </w:rPr>
        <w:t xml:space="preserve"> bankovne i fiskalne unije kao panaceja</w:t>
      </w:r>
      <w:r w:rsidR="00517F5D">
        <w:rPr>
          <w:rFonts w:ascii="Times New Roman" w:hAnsi="Times New Roman" w:cs="Times New Roman"/>
          <w:sz w:val="24"/>
          <w:szCs w:val="24"/>
        </w:rPr>
        <w:t xml:space="preserve"> koje</w:t>
      </w:r>
      <w:r>
        <w:rPr>
          <w:rFonts w:ascii="Times New Roman" w:hAnsi="Times New Roman" w:cs="Times New Roman"/>
          <w:sz w:val="24"/>
          <w:szCs w:val="24"/>
        </w:rPr>
        <w:t xml:space="preserve"> će ukloniti</w:t>
      </w:r>
      <w:r w:rsidR="00517F5D">
        <w:rPr>
          <w:rFonts w:ascii="Times New Roman" w:hAnsi="Times New Roman" w:cs="Times New Roman"/>
          <w:sz w:val="24"/>
          <w:szCs w:val="24"/>
        </w:rPr>
        <w:t xml:space="preserve"> postojeće</w:t>
      </w:r>
      <w:r>
        <w:rPr>
          <w:rFonts w:ascii="Times New Roman" w:hAnsi="Times New Roman" w:cs="Times New Roman"/>
          <w:sz w:val="24"/>
          <w:szCs w:val="24"/>
        </w:rPr>
        <w:t xml:space="preserve"> divergencije  s obzirom na narativ da je kriza rezultat nedovoljne integracije unutar EU. No,</w:t>
      </w:r>
      <w:r w:rsidR="00517F5D">
        <w:rPr>
          <w:rFonts w:ascii="Times New Roman" w:hAnsi="Times New Roman" w:cs="Times New Roman"/>
          <w:sz w:val="24"/>
          <w:szCs w:val="24"/>
        </w:rPr>
        <w:t xml:space="preserve"> ovi koncepti</w:t>
      </w:r>
      <w:r>
        <w:rPr>
          <w:rFonts w:ascii="Times New Roman" w:hAnsi="Times New Roman" w:cs="Times New Roman"/>
          <w:sz w:val="24"/>
          <w:szCs w:val="24"/>
        </w:rPr>
        <w:t xml:space="preserve"> zanemaruju europsku političku i ekonomsku realnost i parcijalna su</w:t>
      </w:r>
      <w:r w:rsidR="00254F5F">
        <w:rPr>
          <w:rFonts w:ascii="Times New Roman" w:hAnsi="Times New Roman" w:cs="Times New Roman"/>
          <w:sz w:val="24"/>
          <w:szCs w:val="24"/>
        </w:rPr>
        <w:t xml:space="preserve"> u</w:t>
      </w:r>
      <w:r>
        <w:rPr>
          <w:rFonts w:ascii="Times New Roman" w:hAnsi="Times New Roman" w:cs="Times New Roman"/>
          <w:sz w:val="24"/>
          <w:szCs w:val="24"/>
        </w:rPr>
        <w:t xml:space="preserve"> nedostatku istinske reforme financijskog sektora i njegove problematične veze sa političkom elitom. Takva rješenja ne mijenjaju fundamentalnu logiku igre s nultim ishodom u kojem vjerovnici naplaćuju puni iznos svojih potraživanja neovisno o kanalima kojima se ostvaruje taj cilj i cijeni takvog postupanja</w:t>
      </w:r>
      <w:r w:rsidR="00254F5F">
        <w:rPr>
          <w:rFonts w:ascii="Times New Roman" w:hAnsi="Times New Roman" w:cs="Times New Roman"/>
          <w:sz w:val="24"/>
          <w:szCs w:val="24"/>
        </w:rPr>
        <w:t xml:space="preserve"> ('zamor spašavanja' u zemljama centra i umor od mjera štednje i kronične nezaposlenosti na periferiji</w:t>
      </w:r>
      <w:r w:rsidR="00517F5D">
        <w:rPr>
          <w:rFonts w:ascii="Times New Roman" w:hAnsi="Times New Roman" w:cs="Times New Roman"/>
          <w:sz w:val="24"/>
          <w:szCs w:val="24"/>
        </w:rPr>
        <w:t>, te porast potpore ekstremističkim strankama</w:t>
      </w:r>
      <w:r w:rsidR="00254F5F">
        <w:rPr>
          <w:rFonts w:ascii="Times New Roman" w:hAnsi="Times New Roman" w:cs="Times New Roman"/>
          <w:sz w:val="24"/>
          <w:szCs w:val="24"/>
        </w:rPr>
        <w:t>)</w:t>
      </w:r>
      <w:r>
        <w:rPr>
          <w:rFonts w:ascii="Times New Roman" w:hAnsi="Times New Roman" w:cs="Times New Roman"/>
          <w:sz w:val="24"/>
          <w:szCs w:val="24"/>
        </w:rPr>
        <w:t>.</w:t>
      </w:r>
      <w:r w:rsidR="00254F5F">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004F77E6">
        <w:rPr>
          <w:rFonts w:ascii="Times New Roman" w:hAnsi="Times New Roman" w:cs="Times New Roman"/>
          <w:sz w:val="24"/>
          <w:szCs w:val="24"/>
        </w:rPr>
        <w:t>Osim toga, bankovna unija bez imperativa drastičnog povećanja temeljn</w:t>
      </w:r>
      <w:r w:rsidR="00517F5D">
        <w:rPr>
          <w:rFonts w:ascii="Times New Roman" w:hAnsi="Times New Roman" w:cs="Times New Roman"/>
          <w:sz w:val="24"/>
          <w:szCs w:val="24"/>
        </w:rPr>
        <w:t>o</w:t>
      </w:r>
      <w:r w:rsidR="004F77E6">
        <w:rPr>
          <w:rFonts w:ascii="Times New Roman" w:hAnsi="Times New Roman" w:cs="Times New Roman"/>
          <w:sz w:val="24"/>
          <w:szCs w:val="24"/>
        </w:rPr>
        <w:t>g kapitala banaka i restrikcije po mogućnost nekontrolirane ekspanzije (zajednička financijska regulacija na razini EU) ne eliminiraju problem moralnog hazarda i mogućnost još žešće krize u budućnosti.</w:t>
      </w:r>
      <w:r w:rsidR="004F77E6">
        <w:rPr>
          <w:rStyle w:val="FootnoteReference"/>
          <w:rFonts w:ascii="Times New Roman" w:hAnsi="Times New Roman" w:cs="Times New Roman"/>
          <w:sz w:val="24"/>
          <w:szCs w:val="24"/>
        </w:rPr>
        <w:footnoteReference w:id="11"/>
      </w:r>
      <w:r w:rsidR="004F77E6">
        <w:rPr>
          <w:rFonts w:ascii="Times New Roman" w:hAnsi="Times New Roman" w:cs="Times New Roman"/>
          <w:sz w:val="24"/>
          <w:szCs w:val="24"/>
        </w:rPr>
        <w:t xml:space="preserve"> Debatu o koncipiranju rješenja nažalost kontroliraju financijski </w:t>
      </w:r>
      <w:r w:rsidR="004F77E6" w:rsidRPr="00B52BC2">
        <w:rPr>
          <w:rFonts w:ascii="Times New Roman" w:hAnsi="Times New Roman" w:cs="Times New Roman"/>
          <w:i/>
          <w:sz w:val="24"/>
          <w:szCs w:val="24"/>
        </w:rPr>
        <w:t>insideri</w:t>
      </w:r>
      <w:r w:rsidR="004F77E6">
        <w:rPr>
          <w:rFonts w:ascii="Times New Roman" w:hAnsi="Times New Roman" w:cs="Times New Roman"/>
          <w:sz w:val="24"/>
          <w:szCs w:val="24"/>
        </w:rPr>
        <w:t xml:space="preserve"> pa Mario Draghi kao guverner ECB-a smatra da bi veće inzistiranje na rekapitalizaciji banaka kroz zadržavanje dobiti vodil</w:t>
      </w:r>
      <w:r w:rsidR="001A5E25">
        <w:rPr>
          <w:rFonts w:ascii="Times New Roman" w:hAnsi="Times New Roman" w:cs="Times New Roman"/>
          <w:sz w:val="24"/>
          <w:szCs w:val="24"/>
        </w:rPr>
        <w:t>o egzodusu stranih investitora iz europskog financijskog</w:t>
      </w:r>
      <w:r w:rsidR="004F77E6">
        <w:rPr>
          <w:rFonts w:ascii="Times New Roman" w:hAnsi="Times New Roman" w:cs="Times New Roman"/>
          <w:sz w:val="24"/>
          <w:szCs w:val="24"/>
        </w:rPr>
        <w:t xml:space="preserve"> sektor</w:t>
      </w:r>
      <w:r w:rsidR="001A5E25">
        <w:rPr>
          <w:rFonts w:ascii="Times New Roman" w:hAnsi="Times New Roman" w:cs="Times New Roman"/>
          <w:sz w:val="24"/>
          <w:szCs w:val="24"/>
        </w:rPr>
        <w:t>a</w:t>
      </w:r>
      <w:r w:rsidR="004F77E6">
        <w:rPr>
          <w:rFonts w:ascii="Times New Roman" w:hAnsi="Times New Roman" w:cs="Times New Roman"/>
          <w:sz w:val="24"/>
          <w:szCs w:val="24"/>
        </w:rPr>
        <w:t xml:space="preserve">. </w:t>
      </w:r>
    </w:p>
    <w:p w:rsidR="003A090A" w:rsidRDefault="002221D9" w:rsidP="00526DB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 obzirom na sve navedeno,</w:t>
      </w:r>
      <w:r w:rsidR="004F77E6">
        <w:rPr>
          <w:rFonts w:ascii="Times New Roman" w:hAnsi="Times New Roman" w:cs="Times New Roman"/>
          <w:sz w:val="24"/>
          <w:szCs w:val="24"/>
        </w:rPr>
        <w:t xml:space="preserve"> s</w:t>
      </w:r>
      <w:r w:rsidR="00254F5F">
        <w:rPr>
          <w:rFonts w:ascii="Times New Roman" w:hAnsi="Times New Roman" w:cs="Times New Roman"/>
          <w:sz w:val="24"/>
          <w:szCs w:val="24"/>
        </w:rPr>
        <w:t>asvim je surealno očekivati da zemlja poput Španjolske sa stopom nezaposlenosti od 26% ima kapacitet da otplati kumulativ dugova koji premašuju 400% BDP-a. Dakle, nitko od ključnih njemačkih političkih aktera nije ukazao na problem monetarnog sustava u kojemu financijske institucije imaju mogućnost kreditne ekspanzije ograničene samo njihovom procjenom utjecaja poslovnog ciklusa na njihov temeljni kapital.</w:t>
      </w:r>
      <w:r w:rsidR="00254F5F">
        <w:rPr>
          <w:rStyle w:val="FootnoteReference"/>
          <w:rFonts w:ascii="Times New Roman" w:hAnsi="Times New Roman" w:cs="Times New Roman"/>
          <w:sz w:val="24"/>
          <w:szCs w:val="24"/>
        </w:rPr>
        <w:footnoteReference w:id="12"/>
      </w:r>
      <w:r w:rsidR="00254F5F">
        <w:rPr>
          <w:rFonts w:ascii="Times New Roman" w:hAnsi="Times New Roman" w:cs="Times New Roman"/>
          <w:sz w:val="24"/>
          <w:szCs w:val="24"/>
        </w:rPr>
        <w:t xml:space="preserve"> Naime, u fazi recesije količina dugova visi poput Damoklovog mača</w:t>
      </w:r>
      <w:r w:rsidR="00ED06A8">
        <w:rPr>
          <w:rFonts w:ascii="Times New Roman" w:hAnsi="Times New Roman" w:cs="Times New Roman"/>
          <w:sz w:val="24"/>
          <w:szCs w:val="24"/>
        </w:rPr>
        <w:t xml:space="preserve"> nad glavom ekonomije jer mnoge investicije (što u špekulativnu imovinu, što u realan sektor) ne generiraju </w:t>
      </w:r>
      <w:r w:rsidR="00ED06A8" w:rsidRPr="00ED06A8">
        <w:rPr>
          <w:rFonts w:ascii="Times New Roman" w:hAnsi="Times New Roman" w:cs="Times New Roman"/>
          <w:i/>
          <w:sz w:val="24"/>
          <w:szCs w:val="24"/>
        </w:rPr>
        <w:t>cash flow</w:t>
      </w:r>
      <w:r w:rsidR="00ED06A8">
        <w:rPr>
          <w:rFonts w:ascii="Times New Roman" w:hAnsi="Times New Roman" w:cs="Times New Roman"/>
          <w:sz w:val="24"/>
          <w:szCs w:val="24"/>
        </w:rPr>
        <w:t xml:space="preserve"> dovoljan da se otpla</w:t>
      </w:r>
      <w:r w:rsidR="004F77E6">
        <w:rPr>
          <w:rFonts w:ascii="Times New Roman" w:hAnsi="Times New Roman" w:cs="Times New Roman"/>
          <w:sz w:val="24"/>
          <w:szCs w:val="24"/>
        </w:rPr>
        <w:t>ćuju dugovi</w:t>
      </w:r>
      <w:r>
        <w:rPr>
          <w:rFonts w:ascii="Times New Roman" w:hAnsi="Times New Roman" w:cs="Times New Roman"/>
          <w:sz w:val="24"/>
          <w:szCs w:val="24"/>
        </w:rPr>
        <w:t>, efektivno</w:t>
      </w:r>
      <w:r w:rsidR="004F77E6">
        <w:rPr>
          <w:rFonts w:ascii="Times New Roman" w:hAnsi="Times New Roman" w:cs="Times New Roman"/>
          <w:sz w:val="24"/>
          <w:szCs w:val="24"/>
        </w:rPr>
        <w:t xml:space="preserve"> vodeći u deflacijski</w:t>
      </w:r>
      <w:r w:rsidR="00ED06A8">
        <w:rPr>
          <w:rFonts w:ascii="Times New Roman" w:hAnsi="Times New Roman" w:cs="Times New Roman"/>
          <w:sz w:val="24"/>
          <w:szCs w:val="24"/>
        </w:rPr>
        <w:t xml:space="preserve"> val od kojega nisu imune ni same financijske institucije s obzirom na tanku kapitalnu bazu.</w:t>
      </w:r>
      <w:r w:rsidR="004F77E6">
        <w:rPr>
          <w:rFonts w:ascii="Times New Roman" w:hAnsi="Times New Roman" w:cs="Times New Roman"/>
          <w:sz w:val="24"/>
          <w:szCs w:val="24"/>
        </w:rPr>
        <w:t xml:space="preserve"> Nažalost, čak niti AfD kao </w:t>
      </w:r>
      <w:r w:rsidR="004F77E6">
        <w:rPr>
          <w:rFonts w:ascii="Times New Roman" w:hAnsi="Times New Roman" w:cs="Times New Roman"/>
          <w:sz w:val="24"/>
          <w:szCs w:val="24"/>
        </w:rPr>
        <w:lastRenderedPageBreak/>
        <w:t>nova politička snaga koja svoju snagu crpi iz protivljenja euru i predvođena nekolicinom profesora ekonomije sa Sveučilišta Hamburg nije uspjela iskoristit</w:t>
      </w:r>
      <w:r w:rsidR="001A5E25">
        <w:rPr>
          <w:rFonts w:ascii="Times New Roman" w:hAnsi="Times New Roman" w:cs="Times New Roman"/>
          <w:sz w:val="24"/>
          <w:szCs w:val="24"/>
        </w:rPr>
        <w:t>i</w:t>
      </w:r>
      <w:r w:rsidR="004F77E6">
        <w:rPr>
          <w:rFonts w:ascii="Times New Roman" w:hAnsi="Times New Roman" w:cs="Times New Roman"/>
          <w:sz w:val="24"/>
          <w:szCs w:val="24"/>
        </w:rPr>
        <w:t xml:space="preserve"> priliku i razumno intonirati debatu. </w:t>
      </w:r>
    </w:p>
    <w:p w:rsidR="003A090A" w:rsidRDefault="003A090A" w:rsidP="003A090A">
      <w:pPr>
        <w:spacing w:after="0" w:line="360" w:lineRule="auto"/>
        <w:ind w:firstLine="567"/>
        <w:jc w:val="both"/>
        <w:rPr>
          <w:rFonts w:ascii="Times New Roman" w:hAnsi="Times New Roman" w:cs="Times New Roman"/>
          <w:sz w:val="24"/>
          <w:szCs w:val="24"/>
        </w:rPr>
      </w:pPr>
    </w:p>
    <w:p w:rsidR="001A5E25" w:rsidRPr="003A090A" w:rsidRDefault="001A5E25" w:rsidP="003A090A">
      <w:pPr>
        <w:spacing w:after="0" w:line="360" w:lineRule="auto"/>
        <w:ind w:firstLine="567"/>
        <w:jc w:val="both"/>
        <w:rPr>
          <w:rFonts w:ascii="Times New Roman" w:hAnsi="Times New Roman" w:cs="Times New Roman"/>
          <w:sz w:val="24"/>
          <w:szCs w:val="24"/>
        </w:rPr>
      </w:pPr>
    </w:p>
    <w:p w:rsidR="00F340B0" w:rsidRDefault="006A19CC" w:rsidP="009229E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Rješenja za prevladavanje</w:t>
      </w:r>
      <w:r w:rsidR="00F340B0">
        <w:rPr>
          <w:rFonts w:ascii="Times New Roman" w:hAnsi="Times New Roman" w:cs="Times New Roman"/>
          <w:b/>
          <w:sz w:val="24"/>
          <w:szCs w:val="24"/>
        </w:rPr>
        <w:t xml:space="preserve"> enormne količine duga</w:t>
      </w:r>
      <w:r w:rsidR="00DD220E">
        <w:rPr>
          <w:rFonts w:ascii="Times New Roman" w:hAnsi="Times New Roman" w:cs="Times New Roman"/>
          <w:b/>
          <w:sz w:val="24"/>
          <w:szCs w:val="24"/>
        </w:rPr>
        <w:t xml:space="preserve"> u eurozoni</w:t>
      </w:r>
      <w:r w:rsidR="00F340B0">
        <w:rPr>
          <w:rFonts w:ascii="Times New Roman" w:hAnsi="Times New Roman" w:cs="Times New Roman"/>
          <w:b/>
          <w:sz w:val="24"/>
          <w:szCs w:val="24"/>
        </w:rPr>
        <w:t>?</w:t>
      </w:r>
    </w:p>
    <w:p w:rsidR="004F77E6" w:rsidRDefault="004F77E6" w:rsidP="009229E8">
      <w:pPr>
        <w:spacing w:after="0" w:line="360" w:lineRule="auto"/>
        <w:jc w:val="both"/>
        <w:rPr>
          <w:rFonts w:ascii="Times New Roman" w:hAnsi="Times New Roman" w:cs="Times New Roman"/>
          <w:b/>
          <w:sz w:val="24"/>
          <w:szCs w:val="24"/>
        </w:rPr>
      </w:pPr>
    </w:p>
    <w:p w:rsidR="004F77E6" w:rsidRDefault="002221D9" w:rsidP="0017547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Nakon izbijanja krize zbog političkog utjecaja financijske elite i</w:t>
      </w:r>
      <w:r w:rsidR="00517F5D">
        <w:rPr>
          <w:rFonts w:ascii="Times New Roman" w:hAnsi="Times New Roman" w:cs="Times New Roman"/>
          <w:sz w:val="24"/>
          <w:szCs w:val="24"/>
        </w:rPr>
        <w:t xml:space="preserve"> njezine</w:t>
      </w:r>
      <w:r>
        <w:rPr>
          <w:rFonts w:ascii="Times New Roman" w:hAnsi="Times New Roman" w:cs="Times New Roman"/>
          <w:sz w:val="24"/>
          <w:szCs w:val="24"/>
        </w:rPr>
        <w:t xml:space="preserve"> povezanosti sa svijetom politike sa stola je odbačena opcija direktne monetizacije duga i otpisa nenaplativih dugova te je nastavljeno sa napuhivanjem još većeg kreditnog mjehura. </w:t>
      </w:r>
      <w:r w:rsidR="00517F5D">
        <w:rPr>
          <w:rFonts w:ascii="Times New Roman" w:hAnsi="Times New Roman" w:cs="Times New Roman"/>
          <w:sz w:val="24"/>
          <w:szCs w:val="24"/>
        </w:rPr>
        <w:t>Trenutačno je n</w:t>
      </w:r>
      <w:r>
        <w:rPr>
          <w:rFonts w:ascii="Times New Roman" w:hAnsi="Times New Roman" w:cs="Times New Roman"/>
          <w:sz w:val="24"/>
          <w:szCs w:val="24"/>
        </w:rPr>
        <w:t xml:space="preserve">a djelu velika oklada, poker sa ulogom koji se mjeri bilijunima, između onih koji kupuju vrijeme jeftinim novcem središnjih banaka i vjeruju da mogu nastaviti kao prije i neizbježne logike inherentne u poslovnom ciklusu koja nalaže da se svi dugovi ne mogu otplatiti. </w:t>
      </w:r>
      <w:r w:rsidR="00517F5D">
        <w:rPr>
          <w:rFonts w:ascii="Times New Roman" w:hAnsi="Times New Roman" w:cs="Times New Roman"/>
          <w:sz w:val="24"/>
          <w:szCs w:val="24"/>
        </w:rPr>
        <w:t>Nažalost, n</w:t>
      </w:r>
      <w:r>
        <w:rPr>
          <w:rFonts w:ascii="Times New Roman" w:hAnsi="Times New Roman" w:cs="Times New Roman"/>
          <w:sz w:val="24"/>
          <w:szCs w:val="24"/>
        </w:rPr>
        <w:t>ema lakih odgovora na pitanje kako navigirati</w:t>
      </w:r>
      <w:r w:rsidR="00517F5D">
        <w:rPr>
          <w:rFonts w:ascii="Times New Roman" w:hAnsi="Times New Roman" w:cs="Times New Roman"/>
          <w:sz w:val="24"/>
          <w:szCs w:val="24"/>
        </w:rPr>
        <w:t xml:space="preserve"> </w:t>
      </w:r>
      <w:r w:rsidR="0020150B">
        <w:rPr>
          <w:rFonts w:ascii="Times New Roman" w:hAnsi="Times New Roman" w:cs="Times New Roman"/>
          <w:sz w:val="24"/>
          <w:szCs w:val="24"/>
        </w:rPr>
        <w:t>'ekonomski tanker'</w:t>
      </w:r>
      <w:r>
        <w:rPr>
          <w:rFonts w:ascii="Times New Roman" w:hAnsi="Times New Roman" w:cs="Times New Roman"/>
          <w:sz w:val="24"/>
          <w:szCs w:val="24"/>
        </w:rPr>
        <w:t xml:space="preserve"> iz opasne zamke visokih dugova privatnog i javnog sektora. Prvo rješenje kroz otplatu dugova </w:t>
      </w:r>
      <w:r w:rsidR="00175473">
        <w:rPr>
          <w:rFonts w:ascii="Times New Roman" w:hAnsi="Times New Roman" w:cs="Times New Roman"/>
          <w:sz w:val="24"/>
          <w:szCs w:val="24"/>
        </w:rPr>
        <w:t xml:space="preserve">mjerama štednje otvara Pandorinu kutiju deflacijske spirale jer negira </w:t>
      </w:r>
      <w:r w:rsidR="00BC06E9">
        <w:rPr>
          <w:rFonts w:ascii="Times New Roman" w:hAnsi="Times New Roman" w:cs="Times New Roman"/>
          <w:sz w:val="24"/>
          <w:szCs w:val="24"/>
        </w:rPr>
        <w:t>'</w:t>
      </w:r>
      <w:r w:rsidR="00175473">
        <w:rPr>
          <w:rFonts w:ascii="Times New Roman" w:hAnsi="Times New Roman" w:cs="Times New Roman"/>
          <w:sz w:val="24"/>
          <w:szCs w:val="24"/>
        </w:rPr>
        <w:t>zabludu sastava</w:t>
      </w:r>
      <w:r w:rsidR="00BC06E9">
        <w:rPr>
          <w:rFonts w:ascii="Times New Roman" w:hAnsi="Times New Roman" w:cs="Times New Roman"/>
          <w:sz w:val="24"/>
          <w:szCs w:val="24"/>
        </w:rPr>
        <w:t>'</w:t>
      </w:r>
      <w:r w:rsidR="00517F5D">
        <w:rPr>
          <w:rFonts w:ascii="Times New Roman" w:hAnsi="Times New Roman" w:cs="Times New Roman"/>
          <w:sz w:val="24"/>
          <w:szCs w:val="24"/>
        </w:rPr>
        <w:t xml:space="preserve"> kada se svi razdužuju u isto vrijeme</w:t>
      </w:r>
      <w:r w:rsidR="00175473">
        <w:rPr>
          <w:rFonts w:ascii="Times New Roman" w:hAnsi="Times New Roman" w:cs="Times New Roman"/>
          <w:sz w:val="24"/>
          <w:szCs w:val="24"/>
        </w:rPr>
        <w:t xml:space="preserve"> (engl. fallacy of composition).</w:t>
      </w:r>
      <w:r w:rsidR="00BC06E9">
        <w:rPr>
          <w:rFonts w:ascii="Times New Roman" w:hAnsi="Times New Roman" w:cs="Times New Roman"/>
          <w:sz w:val="24"/>
          <w:szCs w:val="24"/>
        </w:rPr>
        <w:t xml:space="preserve"> Inzistiranje na tome pristupu ne samo da je oslabilo državu i privatan ne-financijski sektor, već i same banke s obzirom da podaci konzultantske kuće Ernst&amp;Young govore da se je udio loših kredita na bilancama banaka eurozone povećao za rekordnih 120 milijardi, na 7,8% u 2012.</w:t>
      </w:r>
      <w:r w:rsidR="00175473">
        <w:rPr>
          <w:rFonts w:ascii="Times New Roman" w:hAnsi="Times New Roman" w:cs="Times New Roman"/>
          <w:sz w:val="24"/>
          <w:szCs w:val="24"/>
        </w:rPr>
        <w:t xml:space="preserve"> Osim toga, ekspanzivna monetarna politika bez monetizacije dugova s ciljem podupiranja financijskog sektora u nadi da će ponovno proraditi transmisijski </w:t>
      </w:r>
      <w:r w:rsidR="00517F5D">
        <w:rPr>
          <w:rFonts w:ascii="Times New Roman" w:hAnsi="Times New Roman" w:cs="Times New Roman"/>
          <w:sz w:val="24"/>
          <w:szCs w:val="24"/>
        </w:rPr>
        <w:t>kreditni</w:t>
      </w:r>
      <w:r w:rsidR="00175473">
        <w:rPr>
          <w:rFonts w:ascii="Times New Roman" w:hAnsi="Times New Roman" w:cs="Times New Roman"/>
          <w:sz w:val="24"/>
          <w:szCs w:val="24"/>
        </w:rPr>
        <w:t xml:space="preserve"> mehanizam dodaje samo ulje na vatru jer se sa dugom u sustavu bori dodavanjem novoga duga. Drugo rješenje u vidu rasta iz duga je nemoguće s obzirom da stanovištvo sve više stari, pada kvaliteta ljudskog kapitala kroz slabije obrazovanje i svaki dodatni dolar/euro duga vodi sve manjem inkrementalnom rastu. Naime, 1950-ih svaki dolar duga stvarao je 0,60 centi rasta u SAD-u dok je danas rast pao</w:t>
      </w:r>
      <w:r w:rsidR="000F438F">
        <w:rPr>
          <w:rFonts w:ascii="Times New Roman" w:hAnsi="Times New Roman" w:cs="Times New Roman"/>
          <w:sz w:val="24"/>
          <w:szCs w:val="24"/>
        </w:rPr>
        <w:t xml:space="preserve"> na</w:t>
      </w:r>
      <w:r w:rsidR="00175473">
        <w:rPr>
          <w:rFonts w:ascii="Times New Roman" w:hAnsi="Times New Roman" w:cs="Times New Roman"/>
          <w:sz w:val="24"/>
          <w:szCs w:val="24"/>
        </w:rPr>
        <w:t xml:space="preserve"> 0,10 centi, a u Kini je pad efikasnosti nakon izbijanja</w:t>
      </w:r>
      <w:r w:rsidR="0020150B">
        <w:rPr>
          <w:rFonts w:ascii="Times New Roman" w:hAnsi="Times New Roman" w:cs="Times New Roman"/>
          <w:sz w:val="24"/>
          <w:szCs w:val="24"/>
        </w:rPr>
        <w:t xml:space="preserve"> globalne financijske</w:t>
      </w:r>
      <w:r w:rsidR="00175473">
        <w:rPr>
          <w:rFonts w:ascii="Times New Roman" w:hAnsi="Times New Roman" w:cs="Times New Roman"/>
          <w:sz w:val="24"/>
          <w:szCs w:val="24"/>
        </w:rPr>
        <w:t xml:space="preserve"> krize još veća sa 0,85 centi na 0,15. Treće rješenje kroz financijsku represiju (čitaj inflaciju!) je krajnje nepravedno rješenje jer  inflacijski porez uvijek najviše pogađa one sa fik</w:t>
      </w:r>
      <w:r w:rsidR="00517F5D">
        <w:rPr>
          <w:rFonts w:ascii="Times New Roman" w:hAnsi="Times New Roman" w:cs="Times New Roman"/>
          <w:sz w:val="24"/>
          <w:szCs w:val="24"/>
        </w:rPr>
        <w:t>snim dohotokom i one koji nemaju</w:t>
      </w:r>
      <w:r w:rsidR="00175473">
        <w:rPr>
          <w:rFonts w:ascii="Times New Roman" w:hAnsi="Times New Roman" w:cs="Times New Roman"/>
          <w:sz w:val="24"/>
          <w:szCs w:val="24"/>
        </w:rPr>
        <w:t xml:space="preserve"> mogućnost relokacije svojega kapitala u kategorije financijske i realne imovine koji ih štiti od gubitka vrijednosti. Prema Danielu Stelteru, negativna realna kamatna stopa (razlika nominalne kamatne stope i stope infla</w:t>
      </w:r>
      <w:r w:rsidR="00517F5D">
        <w:rPr>
          <w:rFonts w:ascii="Times New Roman" w:hAnsi="Times New Roman" w:cs="Times New Roman"/>
          <w:sz w:val="24"/>
          <w:szCs w:val="24"/>
        </w:rPr>
        <w:t xml:space="preserve">cije) trebala bi iznositi -5% </w:t>
      </w:r>
      <w:r w:rsidR="00175473">
        <w:rPr>
          <w:rFonts w:ascii="Times New Roman" w:hAnsi="Times New Roman" w:cs="Times New Roman"/>
          <w:sz w:val="24"/>
          <w:szCs w:val="24"/>
        </w:rPr>
        <w:t xml:space="preserve"> kroz 20 godina da bi se razina zaduženosti učinila održivom</w:t>
      </w:r>
      <w:r w:rsidR="0020150B">
        <w:rPr>
          <w:rFonts w:ascii="Times New Roman" w:hAnsi="Times New Roman" w:cs="Times New Roman"/>
          <w:sz w:val="24"/>
          <w:szCs w:val="24"/>
        </w:rPr>
        <w:t xml:space="preserve"> u slučaju Irske</w:t>
      </w:r>
      <w:r w:rsidR="00175473">
        <w:rPr>
          <w:rFonts w:ascii="Times New Roman" w:hAnsi="Times New Roman" w:cs="Times New Roman"/>
          <w:sz w:val="24"/>
          <w:szCs w:val="24"/>
        </w:rPr>
        <w:t xml:space="preserve">. </w:t>
      </w:r>
    </w:p>
    <w:p w:rsidR="0020150B" w:rsidRDefault="00175473" w:rsidP="0017547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Na kraju postoji</w:t>
      </w:r>
      <w:r w:rsidR="008372A6">
        <w:rPr>
          <w:rFonts w:ascii="Times New Roman" w:hAnsi="Times New Roman" w:cs="Times New Roman"/>
          <w:sz w:val="24"/>
          <w:szCs w:val="24"/>
        </w:rPr>
        <w:t xml:space="preserve"> jedno</w:t>
      </w:r>
      <w:r w:rsidR="0020150B">
        <w:rPr>
          <w:rFonts w:ascii="Times New Roman" w:hAnsi="Times New Roman" w:cs="Times New Roman"/>
          <w:sz w:val="24"/>
          <w:szCs w:val="24"/>
        </w:rPr>
        <w:t xml:space="preserve"> kreativno i</w:t>
      </w:r>
      <w:r w:rsidR="008372A6">
        <w:rPr>
          <w:rFonts w:ascii="Times New Roman" w:hAnsi="Times New Roman" w:cs="Times New Roman"/>
          <w:sz w:val="24"/>
          <w:szCs w:val="24"/>
        </w:rPr>
        <w:t xml:space="preserve"> održivo rješenje uz kojega su gore navedena rješenja tek kompatibilna u manjoj mjeri. Ono obuhvaća prema Danielu Stelteru, dugogodišnjem članu uprave uglednog Boston Consulting Group, rezanje</w:t>
      </w:r>
      <w:r w:rsidR="00517F5D">
        <w:rPr>
          <w:rFonts w:ascii="Times New Roman" w:hAnsi="Times New Roman" w:cs="Times New Roman"/>
          <w:sz w:val="24"/>
          <w:szCs w:val="24"/>
        </w:rPr>
        <w:t xml:space="preserve"> ili 'šišanje'</w:t>
      </w:r>
      <w:r w:rsidR="008372A6">
        <w:rPr>
          <w:rFonts w:ascii="Times New Roman" w:hAnsi="Times New Roman" w:cs="Times New Roman"/>
          <w:sz w:val="24"/>
          <w:szCs w:val="24"/>
        </w:rPr>
        <w:t xml:space="preserve"> dugova na održivu razinu, a to je maksimalno 180% BDP-a (kumulativ dugova države, ne-financijskih poduzeća i kućanstava). Brojka se izvodi iz kalkulacije pod pretpostavkom prosječne kamatne stope od 5% pri čemu u slučaju duga od 60% BDP-a trošak servisiranja duga sektora čini 3% BDP-a. U slučaju ekonomskog rasta od 3% refinanciranje dugova je stabilno. Sasvim je jasno da je 7400 milijardi eura</w:t>
      </w:r>
      <w:r w:rsidR="00517F5D">
        <w:rPr>
          <w:rFonts w:ascii="Times New Roman" w:hAnsi="Times New Roman" w:cs="Times New Roman"/>
          <w:sz w:val="24"/>
          <w:szCs w:val="24"/>
        </w:rPr>
        <w:t xml:space="preserve"> duga</w:t>
      </w:r>
      <w:r w:rsidR="00D12612">
        <w:rPr>
          <w:rFonts w:ascii="Times New Roman" w:hAnsi="Times New Roman" w:cs="Times New Roman"/>
          <w:sz w:val="24"/>
          <w:szCs w:val="24"/>
        </w:rPr>
        <w:t xml:space="preserve"> u</w:t>
      </w:r>
      <w:r w:rsidR="008372A6">
        <w:rPr>
          <w:rFonts w:ascii="Times New Roman" w:hAnsi="Times New Roman" w:cs="Times New Roman"/>
          <w:sz w:val="24"/>
          <w:szCs w:val="24"/>
        </w:rPr>
        <w:t xml:space="preserve"> ova tri sektora na razini eurozone</w:t>
      </w:r>
      <w:r w:rsidR="00517F5D">
        <w:rPr>
          <w:rFonts w:ascii="Times New Roman" w:hAnsi="Times New Roman" w:cs="Times New Roman"/>
          <w:sz w:val="24"/>
          <w:szCs w:val="24"/>
        </w:rPr>
        <w:t xml:space="preserve"> potpuno</w:t>
      </w:r>
      <w:r w:rsidR="008372A6">
        <w:rPr>
          <w:rFonts w:ascii="Times New Roman" w:hAnsi="Times New Roman" w:cs="Times New Roman"/>
          <w:sz w:val="24"/>
          <w:szCs w:val="24"/>
        </w:rPr>
        <w:t xml:space="preserve"> neodrživ</w:t>
      </w:r>
      <w:r w:rsidR="00D12612">
        <w:rPr>
          <w:rFonts w:ascii="Times New Roman" w:hAnsi="Times New Roman" w:cs="Times New Roman"/>
          <w:sz w:val="24"/>
          <w:szCs w:val="24"/>
        </w:rPr>
        <w:t>o</w:t>
      </w:r>
      <w:r w:rsidR="008372A6">
        <w:rPr>
          <w:rFonts w:ascii="Times New Roman" w:hAnsi="Times New Roman" w:cs="Times New Roman"/>
          <w:sz w:val="24"/>
          <w:szCs w:val="24"/>
        </w:rPr>
        <w:t>.</w:t>
      </w:r>
      <w:r w:rsidR="00D12612">
        <w:rPr>
          <w:rFonts w:ascii="Times New Roman" w:hAnsi="Times New Roman" w:cs="Times New Roman"/>
          <w:sz w:val="24"/>
          <w:szCs w:val="24"/>
        </w:rPr>
        <w:t xml:space="preserve"> Rezanje dugova je moguće kroz postupno oporezivanje imovine od čega se najveći dio odnosi na oporezivanje financijske imovine pri čemu bi prema njegovim izračunima u Njemačkoj taj porez pogodio 16% financijske imovine njemačkih kućanstava. No, ono što Stelter propušta navesti to je dodatan dug financijskog sektora i ogromna financijska poluga sa kojom on operira kao i činjenica da u postojećem monetarnom sustava količina duga određuje količinu novca. Dakle,</w:t>
      </w:r>
      <w:r w:rsidR="00517F5D">
        <w:rPr>
          <w:rFonts w:ascii="Times New Roman" w:hAnsi="Times New Roman" w:cs="Times New Roman"/>
          <w:sz w:val="24"/>
          <w:szCs w:val="24"/>
        </w:rPr>
        <w:t xml:space="preserve"> što i kako nakon rezanja duga u svrhu izbjegavanja grešaka</w:t>
      </w:r>
      <w:r w:rsidR="00550CF2">
        <w:rPr>
          <w:rFonts w:ascii="Times New Roman" w:hAnsi="Times New Roman" w:cs="Times New Roman"/>
          <w:sz w:val="24"/>
          <w:szCs w:val="24"/>
        </w:rPr>
        <w:t xml:space="preserve"> prošlosti? </w:t>
      </w:r>
    </w:p>
    <w:p w:rsidR="00517F5D" w:rsidRDefault="00550CF2" w:rsidP="00175473">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I</w:t>
      </w:r>
      <w:r w:rsidR="00D12612">
        <w:rPr>
          <w:rFonts w:ascii="Times New Roman" w:hAnsi="Times New Roman" w:cs="Times New Roman"/>
          <w:sz w:val="24"/>
          <w:szCs w:val="24"/>
        </w:rPr>
        <w:t xml:space="preserve">stinska reforma </w:t>
      </w:r>
      <w:r w:rsidR="004E597F">
        <w:rPr>
          <w:rFonts w:ascii="Times New Roman" w:hAnsi="Times New Roman" w:cs="Times New Roman"/>
          <w:sz w:val="24"/>
          <w:szCs w:val="24"/>
        </w:rPr>
        <w:t>monetarnog i financijsko</w:t>
      </w:r>
      <w:r w:rsidR="00517F5D">
        <w:rPr>
          <w:rFonts w:ascii="Times New Roman" w:hAnsi="Times New Roman" w:cs="Times New Roman"/>
          <w:sz w:val="24"/>
          <w:szCs w:val="24"/>
        </w:rPr>
        <w:t>g</w:t>
      </w:r>
      <w:r w:rsidR="004E597F">
        <w:rPr>
          <w:rFonts w:ascii="Times New Roman" w:hAnsi="Times New Roman" w:cs="Times New Roman"/>
          <w:sz w:val="24"/>
          <w:szCs w:val="24"/>
        </w:rPr>
        <w:t xml:space="preserve"> sustava</w:t>
      </w:r>
      <w:r w:rsidR="00D12612">
        <w:rPr>
          <w:rFonts w:ascii="Times New Roman" w:hAnsi="Times New Roman" w:cs="Times New Roman"/>
          <w:sz w:val="24"/>
          <w:szCs w:val="24"/>
        </w:rPr>
        <w:t xml:space="preserve"> neizostavan je element stvaranja daleko povoljnije investicijske i poslovne klime koja će omogućiti povratak stabilnog i održivog ekonomskog rasta</w:t>
      </w:r>
      <w:r w:rsidR="00A83FC5">
        <w:rPr>
          <w:rFonts w:ascii="Times New Roman" w:hAnsi="Times New Roman" w:cs="Times New Roman"/>
          <w:sz w:val="24"/>
          <w:szCs w:val="24"/>
        </w:rPr>
        <w:t xml:space="preserve"> kao i povjerenja u proces europske integracije</w:t>
      </w:r>
      <w:r w:rsidR="00D12612">
        <w:rPr>
          <w:rFonts w:ascii="Times New Roman" w:hAnsi="Times New Roman" w:cs="Times New Roman"/>
          <w:sz w:val="24"/>
          <w:szCs w:val="24"/>
        </w:rPr>
        <w:t>. Sa</w:t>
      </w:r>
      <w:r w:rsidR="004E597F">
        <w:rPr>
          <w:rFonts w:ascii="Times New Roman" w:hAnsi="Times New Roman" w:cs="Times New Roman"/>
          <w:sz w:val="24"/>
          <w:szCs w:val="24"/>
        </w:rPr>
        <w:t>mo se na taj način može raskinuti za</w:t>
      </w:r>
      <w:r w:rsidR="00517F5D">
        <w:rPr>
          <w:rFonts w:ascii="Times New Roman" w:hAnsi="Times New Roman" w:cs="Times New Roman"/>
          <w:sz w:val="24"/>
          <w:szCs w:val="24"/>
        </w:rPr>
        <w:t>čarani krug da se protiv enormnih</w:t>
      </w:r>
      <w:r w:rsidR="004E597F">
        <w:rPr>
          <w:rFonts w:ascii="Times New Roman" w:hAnsi="Times New Roman" w:cs="Times New Roman"/>
          <w:sz w:val="24"/>
          <w:szCs w:val="24"/>
        </w:rPr>
        <w:t xml:space="preserve"> </w:t>
      </w:r>
      <w:r w:rsidR="00517F5D">
        <w:rPr>
          <w:rFonts w:ascii="Times New Roman" w:hAnsi="Times New Roman" w:cs="Times New Roman"/>
          <w:sz w:val="24"/>
          <w:szCs w:val="24"/>
        </w:rPr>
        <w:t>dugova bori sa još više dugova, protiv inflacije financijske imovine sa još više inflacije.</w:t>
      </w:r>
      <w:r w:rsidR="0020150B">
        <w:rPr>
          <w:rFonts w:ascii="Times New Roman" w:hAnsi="Times New Roman" w:cs="Times New Roman"/>
          <w:sz w:val="24"/>
          <w:szCs w:val="24"/>
        </w:rPr>
        <w:t xml:space="preserve"> </w:t>
      </w:r>
      <w:r w:rsidR="00E60A73">
        <w:rPr>
          <w:rFonts w:ascii="Times New Roman" w:hAnsi="Times New Roman" w:cs="Times New Roman"/>
          <w:sz w:val="24"/>
          <w:szCs w:val="24"/>
        </w:rPr>
        <w:t>Centralno</w:t>
      </w:r>
      <w:r w:rsidR="004E597F">
        <w:rPr>
          <w:rFonts w:ascii="Times New Roman" w:hAnsi="Times New Roman" w:cs="Times New Roman"/>
          <w:sz w:val="24"/>
          <w:szCs w:val="24"/>
        </w:rPr>
        <w:t xml:space="preserve"> pitanje ne samo za akademsku zajednicu ekonomista, već i za politologe i političke stranke, sastoji se u izazovu kako urediti monetarni </w:t>
      </w:r>
      <w:r w:rsidR="006A19CC">
        <w:rPr>
          <w:rFonts w:ascii="Times New Roman" w:hAnsi="Times New Roman" w:cs="Times New Roman"/>
          <w:sz w:val="24"/>
          <w:szCs w:val="24"/>
        </w:rPr>
        <w:t>sustav i proces kreiranja novca!</w:t>
      </w:r>
      <w:r w:rsidR="004E597F">
        <w:rPr>
          <w:rFonts w:ascii="Times New Roman" w:hAnsi="Times New Roman" w:cs="Times New Roman"/>
          <w:sz w:val="24"/>
          <w:szCs w:val="24"/>
        </w:rPr>
        <w:t xml:space="preserve"> S jedne strane </w:t>
      </w:r>
      <w:r w:rsidR="00E60A73">
        <w:rPr>
          <w:rFonts w:ascii="Times New Roman" w:hAnsi="Times New Roman" w:cs="Times New Roman"/>
          <w:sz w:val="24"/>
          <w:szCs w:val="24"/>
        </w:rPr>
        <w:t>po</w:t>
      </w:r>
      <w:r w:rsidR="004E597F">
        <w:rPr>
          <w:rFonts w:ascii="Times New Roman" w:hAnsi="Times New Roman" w:cs="Times New Roman"/>
          <w:sz w:val="24"/>
          <w:szCs w:val="24"/>
        </w:rPr>
        <w:t>stoji alternativa ponovnog vraćanja kreditne emisije u okrilje prerogativa suverena pri čemu svaki novonastali euro kao platno sredstvo, zaliha vrijednosti i obračunska jedinica ne podrazumijeva bilo kakav dug i</w:t>
      </w:r>
      <w:r w:rsidR="008F5740">
        <w:rPr>
          <w:rFonts w:ascii="Times New Roman" w:hAnsi="Times New Roman" w:cs="Times New Roman"/>
          <w:sz w:val="24"/>
          <w:szCs w:val="24"/>
        </w:rPr>
        <w:t xml:space="preserve"> implicira</w:t>
      </w:r>
      <w:r w:rsidR="00E60A73">
        <w:rPr>
          <w:rFonts w:ascii="Times New Roman" w:hAnsi="Times New Roman" w:cs="Times New Roman"/>
          <w:sz w:val="24"/>
          <w:szCs w:val="24"/>
        </w:rPr>
        <w:t xml:space="preserve"> posljedičnu</w:t>
      </w:r>
      <w:r w:rsidR="004E597F">
        <w:rPr>
          <w:rFonts w:ascii="Times New Roman" w:hAnsi="Times New Roman" w:cs="Times New Roman"/>
          <w:sz w:val="24"/>
          <w:szCs w:val="24"/>
        </w:rPr>
        <w:t xml:space="preserve"> mogućnost da držav</w:t>
      </w:r>
      <w:r w:rsidR="0020150B">
        <w:rPr>
          <w:rFonts w:ascii="Times New Roman" w:hAnsi="Times New Roman" w:cs="Times New Roman"/>
          <w:sz w:val="24"/>
          <w:szCs w:val="24"/>
        </w:rPr>
        <w:t>a</w:t>
      </w:r>
      <w:r w:rsidR="00E60A73">
        <w:rPr>
          <w:rFonts w:ascii="Times New Roman" w:hAnsi="Times New Roman" w:cs="Times New Roman"/>
          <w:sz w:val="24"/>
          <w:szCs w:val="24"/>
        </w:rPr>
        <w:t xml:space="preserve"> na taj</w:t>
      </w:r>
      <w:r w:rsidR="0020150B">
        <w:rPr>
          <w:rFonts w:ascii="Times New Roman" w:hAnsi="Times New Roman" w:cs="Times New Roman"/>
          <w:sz w:val="24"/>
          <w:szCs w:val="24"/>
        </w:rPr>
        <w:t xml:space="preserve"> način</w:t>
      </w:r>
      <w:r w:rsidR="004E597F">
        <w:rPr>
          <w:rFonts w:ascii="Times New Roman" w:hAnsi="Times New Roman" w:cs="Times New Roman"/>
          <w:sz w:val="24"/>
          <w:szCs w:val="24"/>
        </w:rPr>
        <w:t xml:space="preserve"> smanji poreze jer može računati na</w:t>
      </w:r>
      <w:r w:rsidR="00E60A73">
        <w:rPr>
          <w:rFonts w:ascii="Times New Roman" w:hAnsi="Times New Roman" w:cs="Times New Roman"/>
          <w:sz w:val="24"/>
          <w:szCs w:val="24"/>
        </w:rPr>
        <w:t xml:space="preserve"> prihode od</w:t>
      </w:r>
      <w:r w:rsidR="004E597F">
        <w:rPr>
          <w:rFonts w:ascii="Times New Roman" w:hAnsi="Times New Roman" w:cs="Times New Roman"/>
          <w:sz w:val="24"/>
          <w:szCs w:val="24"/>
        </w:rPr>
        <w:t xml:space="preserve"> </w:t>
      </w:r>
      <w:r w:rsidR="004E597F" w:rsidRPr="004E597F">
        <w:rPr>
          <w:rFonts w:ascii="Times New Roman" w:hAnsi="Times New Roman" w:cs="Times New Roman"/>
          <w:i/>
          <w:sz w:val="24"/>
          <w:szCs w:val="24"/>
        </w:rPr>
        <w:t>seignorage</w:t>
      </w:r>
      <w:r w:rsidR="00E60A73">
        <w:rPr>
          <w:rFonts w:ascii="Times New Roman" w:hAnsi="Times New Roman" w:cs="Times New Roman"/>
          <w:i/>
          <w:sz w:val="24"/>
          <w:szCs w:val="24"/>
        </w:rPr>
        <w:t>a</w:t>
      </w:r>
      <w:r w:rsidR="004E597F">
        <w:rPr>
          <w:rFonts w:ascii="Times New Roman" w:hAnsi="Times New Roman" w:cs="Times New Roman"/>
          <w:sz w:val="24"/>
          <w:szCs w:val="24"/>
        </w:rPr>
        <w:t>. U odn</w:t>
      </w:r>
      <w:r w:rsidR="0020150B">
        <w:rPr>
          <w:rFonts w:ascii="Times New Roman" w:hAnsi="Times New Roman" w:cs="Times New Roman"/>
          <w:sz w:val="24"/>
          <w:szCs w:val="24"/>
        </w:rPr>
        <w:t>osu na ovu prednost stoji nedostatak u vidu</w:t>
      </w:r>
      <w:r w:rsidR="004E597F">
        <w:rPr>
          <w:rFonts w:ascii="Times New Roman" w:hAnsi="Times New Roman" w:cs="Times New Roman"/>
          <w:sz w:val="24"/>
          <w:szCs w:val="24"/>
        </w:rPr>
        <w:t xml:space="preserve"> mogućnosti da političari zarobe poluge središnje banke i manipuliraju kreditnom emisijom</w:t>
      </w:r>
      <w:r w:rsidR="00DD220E">
        <w:rPr>
          <w:rFonts w:ascii="Times New Roman" w:hAnsi="Times New Roman" w:cs="Times New Roman"/>
          <w:sz w:val="24"/>
          <w:szCs w:val="24"/>
        </w:rPr>
        <w:t xml:space="preserve"> u svrhu kupovine glasova i svih zamki koje proizlazne iz političkog pristupa poslovnom ciklusu. S druge strane </w:t>
      </w:r>
      <w:r w:rsidR="00E60A73">
        <w:rPr>
          <w:rFonts w:ascii="Times New Roman" w:hAnsi="Times New Roman" w:cs="Times New Roman"/>
          <w:sz w:val="24"/>
          <w:szCs w:val="24"/>
        </w:rPr>
        <w:t>postoji alternativa</w:t>
      </w:r>
      <w:r w:rsidR="00DD220E">
        <w:rPr>
          <w:rFonts w:ascii="Times New Roman" w:hAnsi="Times New Roman" w:cs="Times New Roman"/>
          <w:sz w:val="24"/>
          <w:szCs w:val="24"/>
        </w:rPr>
        <w:t xml:space="preserve"> da financijski sektor bude izvor likvidnosti kao maziva razmjene i ekonomskog rasta. Prednost takvog pristupa je da privatni sektor uz prave poticaje ima mogućnost produktivne alokacije kapitala, ali se opasnost krije u</w:t>
      </w:r>
      <w:r w:rsidR="0020150B">
        <w:rPr>
          <w:rFonts w:ascii="Times New Roman" w:hAnsi="Times New Roman" w:cs="Times New Roman"/>
          <w:sz w:val="24"/>
          <w:szCs w:val="24"/>
        </w:rPr>
        <w:t xml:space="preserve"> špekulativnom pristupu ulaganju</w:t>
      </w:r>
      <w:r w:rsidR="00DD220E">
        <w:rPr>
          <w:rFonts w:ascii="Times New Roman" w:hAnsi="Times New Roman" w:cs="Times New Roman"/>
          <w:sz w:val="24"/>
          <w:szCs w:val="24"/>
        </w:rPr>
        <w:t xml:space="preserve"> i mogućnosti da dugovi rastu brže od mogućnosti ekonomij</w:t>
      </w:r>
      <w:r w:rsidR="00C3782A">
        <w:rPr>
          <w:rFonts w:ascii="Times New Roman" w:hAnsi="Times New Roman" w:cs="Times New Roman"/>
          <w:sz w:val="24"/>
          <w:szCs w:val="24"/>
        </w:rPr>
        <w:t>e da otplaćuje postojeće obaveze</w:t>
      </w:r>
      <w:r w:rsidR="00E60A73">
        <w:rPr>
          <w:rFonts w:ascii="Times New Roman" w:hAnsi="Times New Roman" w:cs="Times New Roman"/>
          <w:sz w:val="24"/>
          <w:szCs w:val="24"/>
        </w:rPr>
        <w:t xml:space="preserve"> u slučaju da njegov politički utjecaj bude prevelik</w:t>
      </w:r>
      <w:r w:rsidR="00DD220E">
        <w:rPr>
          <w:rFonts w:ascii="Times New Roman" w:hAnsi="Times New Roman" w:cs="Times New Roman"/>
          <w:sz w:val="24"/>
          <w:szCs w:val="24"/>
        </w:rPr>
        <w:t xml:space="preserve">. </w:t>
      </w:r>
    </w:p>
    <w:p w:rsidR="00175473" w:rsidRDefault="00DD220E" w:rsidP="00175473">
      <w:pPr>
        <w:spacing w:after="0" w:line="360" w:lineRule="auto"/>
        <w:ind w:firstLine="567"/>
        <w:jc w:val="both"/>
        <w:rPr>
          <w:rFonts w:ascii="Times New Roman" w:hAnsi="Times New Roman" w:cs="Times New Roman"/>
          <w:i/>
          <w:sz w:val="24"/>
          <w:szCs w:val="24"/>
        </w:rPr>
      </w:pPr>
      <w:r>
        <w:rPr>
          <w:rFonts w:ascii="Times New Roman" w:hAnsi="Times New Roman" w:cs="Times New Roman"/>
          <w:sz w:val="24"/>
          <w:szCs w:val="24"/>
        </w:rPr>
        <w:t>Na razini eurozone to bi značilo da jed</w:t>
      </w:r>
      <w:r w:rsidR="00151974">
        <w:rPr>
          <w:rFonts w:ascii="Times New Roman" w:hAnsi="Times New Roman" w:cs="Times New Roman"/>
          <w:sz w:val="24"/>
          <w:szCs w:val="24"/>
        </w:rPr>
        <w:t>na alternativa obuhvaća</w:t>
      </w:r>
      <w:r>
        <w:rPr>
          <w:rFonts w:ascii="Times New Roman" w:hAnsi="Times New Roman" w:cs="Times New Roman"/>
          <w:sz w:val="24"/>
          <w:szCs w:val="24"/>
        </w:rPr>
        <w:t xml:space="preserve"> ECB u ulozi prosvijećene tehnokratske institucije koja oslobođena pritiska političara i promišljanja o </w:t>
      </w:r>
      <w:r w:rsidR="0020150B">
        <w:rPr>
          <w:rFonts w:ascii="Times New Roman" w:hAnsi="Times New Roman" w:cs="Times New Roman"/>
          <w:sz w:val="24"/>
          <w:szCs w:val="24"/>
        </w:rPr>
        <w:lastRenderedPageBreak/>
        <w:t xml:space="preserve">uskim </w:t>
      </w:r>
      <w:r>
        <w:rPr>
          <w:rFonts w:ascii="Times New Roman" w:hAnsi="Times New Roman" w:cs="Times New Roman"/>
          <w:sz w:val="24"/>
          <w:szCs w:val="24"/>
        </w:rPr>
        <w:t>interesima privatnog financijskog sektora određuje monetarnu politiku i stvara euro sukladno porastu pr</w:t>
      </w:r>
      <w:r w:rsidR="009C1BD5">
        <w:rPr>
          <w:rFonts w:ascii="Times New Roman" w:hAnsi="Times New Roman" w:cs="Times New Roman"/>
          <w:sz w:val="24"/>
          <w:szCs w:val="24"/>
        </w:rPr>
        <w:t>oduktivnosti i stopi rasta u eurozo</w:t>
      </w:r>
      <w:r>
        <w:rPr>
          <w:rFonts w:ascii="Times New Roman" w:hAnsi="Times New Roman" w:cs="Times New Roman"/>
          <w:sz w:val="24"/>
          <w:szCs w:val="24"/>
        </w:rPr>
        <w:t>ni, a druga alternativa da bitno rekapitaliziraniji i reguliraniji privatni financijski sektor odgovara na potrebu za likvidnošću rastuće ekonomije. Ovo nije isključi</w:t>
      </w:r>
      <w:r w:rsidR="00DF5D97">
        <w:rPr>
          <w:rFonts w:ascii="Times New Roman" w:hAnsi="Times New Roman" w:cs="Times New Roman"/>
          <w:sz w:val="24"/>
          <w:szCs w:val="24"/>
        </w:rPr>
        <w:t>vo akade</w:t>
      </w:r>
      <w:r w:rsidR="008D5CE0">
        <w:rPr>
          <w:rFonts w:ascii="Times New Roman" w:hAnsi="Times New Roman" w:cs="Times New Roman"/>
          <w:sz w:val="24"/>
          <w:szCs w:val="24"/>
        </w:rPr>
        <w:t>m</w:t>
      </w:r>
      <w:r w:rsidR="00DF5D97">
        <w:rPr>
          <w:rFonts w:ascii="Times New Roman" w:hAnsi="Times New Roman" w:cs="Times New Roman"/>
          <w:sz w:val="24"/>
          <w:szCs w:val="24"/>
        </w:rPr>
        <w:t>ska debata</w:t>
      </w:r>
      <w:r w:rsidR="0020150B">
        <w:rPr>
          <w:rFonts w:ascii="Times New Roman" w:hAnsi="Times New Roman" w:cs="Times New Roman"/>
          <w:sz w:val="24"/>
          <w:szCs w:val="24"/>
        </w:rPr>
        <w:t xml:space="preserve"> rezervirana za ekonomiste u njihovim uredima od slonovače</w:t>
      </w:r>
      <w:r w:rsidR="00DF5D97">
        <w:rPr>
          <w:rFonts w:ascii="Times New Roman" w:hAnsi="Times New Roman" w:cs="Times New Roman"/>
          <w:sz w:val="24"/>
          <w:szCs w:val="24"/>
        </w:rPr>
        <w:t>, jer se su posljedice</w:t>
      </w:r>
      <w:r w:rsidR="00E60A73">
        <w:rPr>
          <w:rFonts w:ascii="Times New Roman" w:hAnsi="Times New Roman" w:cs="Times New Roman"/>
          <w:sz w:val="24"/>
          <w:szCs w:val="24"/>
        </w:rPr>
        <w:t xml:space="preserve"> koluzije političke elite i financijske elite</w:t>
      </w:r>
      <w:r w:rsidR="00DF5D97">
        <w:rPr>
          <w:rFonts w:ascii="Times New Roman" w:hAnsi="Times New Roman" w:cs="Times New Roman"/>
          <w:sz w:val="24"/>
          <w:szCs w:val="24"/>
        </w:rPr>
        <w:t xml:space="preserve"> sveobuhvatne po mogućnost održavanja poretka liberalne demokracije. Ludwig Erhard</w:t>
      </w:r>
      <w:r w:rsidR="00EB5BD6">
        <w:rPr>
          <w:rFonts w:ascii="Times New Roman" w:hAnsi="Times New Roman" w:cs="Times New Roman"/>
          <w:sz w:val="24"/>
          <w:szCs w:val="24"/>
        </w:rPr>
        <w:t xml:space="preserve"> 1962. godine</w:t>
      </w:r>
      <w:r w:rsidR="00DF5D97">
        <w:rPr>
          <w:rFonts w:ascii="Times New Roman" w:hAnsi="Times New Roman" w:cs="Times New Roman"/>
          <w:sz w:val="24"/>
          <w:szCs w:val="24"/>
        </w:rPr>
        <w:t xml:space="preserve"> lijepo je to izrazio u rečenici: </w:t>
      </w:r>
      <w:r w:rsidR="00DF5D97" w:rsidRPr="00DF5D97">
        <w:rPr>
          <w:rFonts w:ascii="Times New Roman" w:hAnsi="Times New Roman" w:cs="Times New Roman"/>
          <w:i/>
          <w:sz w:val="24"/>
          <w:szCs w:val="24"/>
        </w:rPr>
        <w:t>Ne trebamo se praviti kao da je poznavanje gospodarskih veza nešto što ostaje rezervirano samo za čuvare grala koji s jedne strane znanstveno, a s druge strane demagoški</w:t>
      </w:r>
      <w:r w:rsidR="00EB5BD6">
        <w:rPr>
          <w:rFonts w:ascii="Times New Roman" w:hAnsi="Times New Roman" w:cs="Times New Roman"/>
          <w:i/>
          <w:sz w:val="24"/>
          <w:szCs w:val="24"/>
        </w:rPr>
        <w:t>,</w:t>
      </w:r>
      <w:r w:rsidR="00DF5D97" w:rsidRPr="00DF5D97">
        <w:rPr>
          <w:rFonts w:ascii="Times New Roman" w:hAnsi="Times New Roman" w:cs="Times New Roman"/>
          <w:i/>
          <w:sz w:val="24"/>
          <w:szCs w:val="24"/>
        </w:rPr>
        <w:t xml:space="preserve"> iznose svoja okoštala gledišta. </w:t>
      </w:r>
    </w:p>
    <w:p w:rsidR="00DF5D97" w:rsidRDefault="00DF5D97" w:rsidP="00175473">
      <w:pPr>
        <w:spacing w:after="0" w:line="360" w:lineRule="auto"/>
        <w:ind w:firstLine="567"/>
        <w:jc w:val="both"/>
        <w:rPr>
          <w:rFonts w:ascii="Times New Roman" w:hAnsi="Times New Roman" w:cs="Times New Roman"/>
          <w:i/>
          <w:sz w:val="24"/>
          <w:szCs w:val="24"/>
        </w:rPr>
      </w:pPr>
    </w:p>
    <w:p w:rsidR="00DF5D97" w:rsidRPr="00EB5BD6" w:rsidRDefault="00DF5D97" w:rsidP="00DF5D97">
      <w:pPr>
        <w:spacing w:after="0" w:line="360" w:lineRule="auto"/>
        <w:rPr>
          <w:rFonts w:ascii="Times New Roman" w:hAnsi="Times New Roman" w:cs="Times New Roman"/>
          <w:b/>
          <w:sz w:val="24"/>
          <w:szCs w:val="24"/>
        </w:rPr>
      </w:pPr>
      <w:r w:rsidRPr="00EB5BD6">
        <w:rPr>
          <w:rFonts w:ascii="Times New Roman" w:hAnsi="Times New Roman" w:cs="Times New Roman"/>
          <w:b/>
          <w:sz w:val="24"/>
          <w:szCs w:val="24"/>
        </w:rPr>
        <w:t>Kristijan Kotarski, Fakultet političkih znanosti</w:t>
      </w:r>
    </w:p>
    <w:p w:rsidR="00DF5D97" w:rsidRPr="00DF5D97" w:rsidRDefault="00DF5D97" w:rsidP="00175473">
      <w:pPr>
        <w:spacing w:after="0" w:line="360" w:lineRule="auto"/>
        <w:ind w:firstLine="567"/>
        <w:jc w:val="both"/>
        <w:rPr>
          <w:rFonts w:ascii="Times New Roman" w:hAnsi="Times New Roman" w:cs="Times New Roman"/>
          <w:i/>
          <w:sz w:val="24"/>
          <w:szCs w:val="24"/>
        </w:rPr>
      </w:pPr>
    </w:p>
    <w:p w:rsidR="00D67E4F" w:rsidRPr="00D67E4F" w:rsidRDefault="00D67E4F" w:rsidP="00D67E4F">
      <w:pPr>
        <w:spacing w:after="0" w:line="360" w:lineRule="auto"/>
        <w:jc w:val="both"/>
        <w:rPr>
          <w:rFonts w:ascii="Times New Roman" w:hAnsi="Times New Roman" w:cs="Times New Roman"/>
          <w:sz w:val="24"/>
          <w:szCs w:val="24"/>
        </w:rPr>
      </w:pPr>
    </w:p>
    <w:p w:rsidR="00D67E4F" w:rsidRDefault="00D67E4F" w:rsidP="009229E8">
      <w:pPr>
        <w:spacing w:after="0" w:line="360" w:lineRule="auto"/>
        <w:jc w:val="both"/>
        <w:rPr>
          <w:rFonts w:ascii="Times New Roman" w:hAnsi="Times New Roman" w:cs="Times New Roman"/>
          <w:sz w:val="24"/>
          <w:szCs w:val="24"/>
        </w:rPr>
      </w:pPr>
    </w:p>
    <w:p w:rsidR="00D67E4F" w:rsidRDefault="00D67E4F" w:rsidP="009229E8">
      <w:pPr>
        <w:spacing w:after="0" w:line="360" w:lineRule="auto"/>
        <w:jc w:val="both"/>
        <w:rPr>
          <w:rFonts w:ascii="Times New Roman" w:hAnsi="Times New Roman" w:cs="Times New Roman"/>
          <w:sz w:val="24"/>
          <w:szCs w:val="24"/>
        </w:rPr>
      </w:pPr>
    </w:p>
    <w:p w:rsidR="00D67E4F" w:rsidRDefault="00D67E4F" w:rsidP="009229E8">
      <w:pPr>
        <w:spacing w:after="0" w:line="360" w:lineRule="auto"/>
        <w:jc w:val="both"/>
        <w:rPr>
          <w:rFonts w:ascii="Times New Roman" w:hAnsi="Times New Roman" w:cs="Times New Roman"/>
          <w:sz w:val="24"/>
          <w:szCs w:val="24"/>
        </w:rPr>
      </w:pPr>
    </w:p>
    <w:p w:rsidR="009B2EB2" w:rsidRDefault="009B2EB2" w:rsidP="009229E8">
      <w:pPr>
        <w:spacing w:after="0" w:line="360" w:lineRule="auto"/>
        <w:jc w:val="both"/>
        <w:rPr>
          <w:rFonts w:ascii="Times New Roman" w:hAnsi="Times New Roman" w:cs="Times New Roman"/>
          <w:sz w:val="24"/>
          <w:szCs w:val="24"/>
        </w:rPr>
      </w:pPr>
    </w:p>
    <w:p w:rsidR="009B2EB2" w:rsidRDefault="009B2EB2" w:rsidP="009229E8">
      <w:pPr>
        <w:spacing w:after="0" w:line="360" w:lineRule="auto"/>
        <w:jc w:val="both"/>
        <w:rPr>
          <w:rFonts w:ascii="Times New Roman" w:hAnsi="Times New Roman" w:cs="Times New Roman"/>
          <w:sz w:val="24"/>
          <w:szCs w:val="24"/>
        </w:rPr>
      </w:pPr>
    </w:p>
    <w:p w:rsidR="009B2EB2" w:rsidRDefault="009B2EB2" w:rsidP="009229E8">
      <w:pPr>
        <w:spacing w:after="0" w:line="360" w:lineRule="auto"/>
        <w:jc w:val="both"/>
        <w:rPr>
          <w:rFonts w:ascii="Times New Roman" w:hAnsi="Times New Roman" w:cs="Times New Roman"/>
          <w:sz w:val="24"/>
          <w:szCs w:val="24"/>
        </w:rPr>
      </w:pPr>
    </w:p>
    <w:sectPr w:rsidR="009B2E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34E" w:rsidRDefault="0012234E" w:rsidP="00BB3250">
      <w:pPr>
        <w:spacing w:after="0" w:line="240" w:lineRule="auto"/>
      </w:pPr>
      <w:r>
        <w:separator/>
      </w:r>
    </w:p>
  </w:endnote>
  <w:endnote w:type="continuationSeparator" w:id="0">
    <w:p w:rsidR="0012234E" w:rsidRDefault="0012234E" w:rsidP="00BB3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34E" w:rsidRDefault="0012234E" w:rsidP="00BB3250">
      <w:pPr>
        <w:spacing w:after="0" w:line="240" w:lineRule="auto"/>
      </w:pPr>
      <w:r>
        <w:separator/>
      </w:r>
    </w:p>
  </w:footnote>
  <w:footnote w:type="continuationSeparator" w:id="0">
    <w:p w:rsidR="0012234E" w:rsidRDefault="0012234E" w:rsidP="00BB3250">
      <w:pPr>
        <w:spacing w:after="0" w:line="240" w:lineRule="auto"/>
      </w:pPr>
      <w:r>
        <w:continuationSeparator/>
      </w:r>
    </w:p>
  </w:footnote>
  <w:footnote w:id="1">
    <w:p w:rsidR="002D00B5" w:rsidRPr="002D00B5" w:rsidRDefault="002D00B5" w:rsidP="002D00B5">
      <w:pPr>
        <w:pStyle w:val="FootnoteText"/>
        <w:spacing w:line="360" w:lineRule="auto"/>
        <w:jc w:val="both"/>
        <w:rPr>
          <w:rFonts w:ascii="Times New Roman" w:hAnsi="Times New Roman" w:cs="Times New Roman"/>
        </w:rPr>
      </w:pPr>
      <w:r w:rsidRPr="002D00B5">
        <w:rPr>
          <w:rStyle w:val="FootnoteReference"/>
          <w:rFonts w:ascii="Times New Roman" w:hAnsi="Times New Roman" w:cs="Times New Roman"/>
        </w:rPr>
        <w:footnoteRef/>
      </w:r>
      <w:r w:rsidRPr="002D00B5">
        <w:rPr>
          <w:rFonts w:ascii="Times New Roman" w:hAnsi="Times New Roman" w:cs="Times New Roman"/>
        </w:rPr>
        <w:t xml:space="preserve"> </w:t>
      </w:r>
      <w:r w:rsidRPr="002D00B5">
        <w:rPr>
          <w:rFonts w:ascii="Times New Roman" w:eastAsia="Times New Roman" w:hAnsi="Times New Roman" w:cs="Times New Roman"/>
          <w:lang w:eastAsia="hr-HR"/>
        </w:rPr>
        <w:t>U prvim godinama nakon uvođenja eura činilo se je kao da se najveći broj članica EU nalazi na medenom mjesecu i zemlje koje su nekoć imale problema u privlačenju kapitala najednom su se našle suočene s ogromnim priljevom kapitala</w:t>
      </w:r>
      <w:r w:rsidR="00C80A42">
        <w:rPr>
          <w:rFonts w:ascii="Times New Roman" w:eastAsia="Times New Roman" w:hAnsi="Times New Roman" w:cs="Times New Roman"/>
          <w:lang w:eastAsia="hr-HR"/>
        </w:rPr>
        <w:t xml:space="preserve"> iz centra</w:t>
      </w:r>
      <w:r w:rsidRPr="002D00B5">
        <w:rPr>
          <w:rFonts w:ascii="Times New Roman" w:eastAsia="Times New Roman" w:hAnsi="Times New Roman" w:cs="Times New Roman"/>
          <w:lang w:eastAsia="hr-HR"/>
        </w:rPr>
        <w:t xml:space="preserve">. Zemlje poput Španjolske i Irske čak su imale fiskalne suficite kao posljedicu povećanih poreznih prihoda usred kreditne ekspanzije, naročito u </w:t>
      </w:r>
      <w:r>
        <w:rPr>
          <w:rFonts w:ascii="Times New Roman" w:eastAsia="Times New Roman" w:hAnsi="Times New Roman" w:cs="Times New Roman"/>
          <w:lang w:eastAsia="hr-HR"/>
        </w:rPr>
        <w:t>sektoru poslovanja nekretninama što anulira tezu o rastrošnim suverenima kao isključivom uzroku krize.</w:t>
      </w:r>
    </w:p>
  </w:footnote>
  <w:footnote w:id="2">
    <w:p w:rsidR="00BB3250" w:rsidRDefault="00BB3250" w:rsidP="002D00B5">
      <w:pPr>
        <w:pStyle w:val="FootnoteText"/>
        <w:spacing w:line="360" w:lineRule="auto"/>
        <w:jc w:val="both"/>
      </w:pPr>
      <w:r w:rsidRPr="002D00B5">
        <w:rPr>
          <w:rStyle w:val="FootnoteReference"/>
          <w:rFonts w:ascii="Times New Roman" w:hAnsi="Times New Roman" w:cs="Times New Roman"/>
        </w:rPr>
        <w:footnoteRef/>
      </w:r>
      <w:r w:rsidRPr="002D00B5">
        <w:rPr>
          <w:rFonts w:ascii="Times New Roman" w:hAnsi="Times New Roman" w:cs="Times New Roman"/>
        </w:rPr>
        <w:t xml:space="preserve"> Finacijska poluga odnosi se na </w:t>
      </w:r>
      <w:r w:rsidR="002D00B5" w:rsidRPr="002D00B5">
        <w:rPr>
          <w:rFonts w:ascii="Times New Roman" w:hAnsi="Times New Roman" w:cs="Times New Roman"/>
        </w:rPr>
        <w:t>na omjer između pozajmljenih sredstava i vlastitog kapitala u financiranju svojih poslovnih aktivnosti.</w:t>
      </w:r>
      <w:r w:rsidR="002D00B5">
        <w:t xml:space="preserve"> </w:t>
      </w:r>
    </w:p>
  </w:footnote>
  <w:footnote w:id="3">
    <w:p w:rsidR="007D7852" w:rsidRPr="00A30719" w:rsidRDefault="007D7852" w:rsidP="007D7852">
      <w:pPr>
        <w:pStyle w:val="FootnoteText"/>
        <w:spacing w:line="360" w:lineRule="auto"/>
        <w:jc w:val="both"/>
        <w:rPr>
          <w:rFonts w:ascii="Times New Roman" w:hAnsi="Times New Roman" w:cs="Times New Roman"/>
        </w:rPr>
      </w:pPr>
      <w:r w:rsidRPr="007D7852">
        <w:rPr>
          <w:rStyle w:val="FootnoteReference"/>
          <w:rFonts w:ascii="Times New Roman" w:hAnsi="Times New Roman" w:cs="Times New Roman"/>
        </w:rPr>
        <w:footnoteRef/>
      </w:r>
      <w:r w:rsidRPr="007D7852">
        <w:rPr>
          <w:rFonts w:ascii="Times New Roman" w:hAnsi="Times New Roman" w:cs="Times New Roman"/>
        </w:rPr>
        <w:t xml:space="preserve"> </w:t>
      </w:r>
      <w:r w:rsidRPr="007D7852">
        <w:rPr>
          <w:rFonts w:ascii="Times New Roman" w:eastAsia="Times New Roman" w:hAnsi="Times New Roman" w:cs="Times New Roman"/>
          <w:lang w:eastAsia="hr-HR"/>
        </w:rPr>
        <w:t xml:space="preserve">Rapidan porast privatnog zaduženja uklapa se u priču o </w:t>
      </w:r>
      <w:r w:rsidRPr="007D7852">
        <w:rPr>
          <w:rFonts w:ascii="Times New Roman" w:eastAsia="Times New Roman" w:hAnsi="Times New Roman" w:cs="Times New Roman"/>
          <w:i/>
          <w:lang w:eastAsia="hr-HR"/>
        </w:rPr>
        <w:t>privatnom kejnezijanizmu</w:t>
      </w:r>
      <w:r w:rsidRPr="007D7852">
        <w:rPr>
          <w:rFonts w:ascii="Times New Roman" w:eastAsia="Times New Roman" w:hAnsi="Times New Roman" w:cs="Times New Roman"/>
          <w:lang w:eastAsia="hr-HR"/>
        </w:rPr>
        <w:t xml:space="preserve"> (Crouch, 2009). Nakon zamjene kejnezijanske paradigme o upravljanju agregatnom potražnjom</w:t>
      </w:r>
      <w:r>
        <w:rPr>
          <w:rFonts w:ascii="Times New Roman" w:eastAsia="Times New Roman" w:hAnsi="Times New Roman" w:cs="Times New Roman"/>
          <w:sz w:val="24"/>
          <w:szCs w:val="24"/>
          <w:lang w:eastAsia="hr-HR"/>
        </w:rPr>
        <w:t xml:space="preserve"> </w:t>
      </w:r>
      <w:r w:rsidRPr="007D7852">
        <w:rPr>
          <w:rFonts w:ascii="Times New Roman" w:eastAsia="Times New Roman" w:hAnsi="Times New Roman" w:cs="Times New Roman"/>
          <w:lang w:eastAsia="hr-HR"/>
        </w:rPr>
        <w:t>instrumentima fiskalne politike, zbog problema koje njihovo pretjerano korištenje donosi u</w:t>
      </w:r>
      <w:r>
        <w:rPr>
          <w:rFonts w:ascii="Times New Roman" w:eastAsia="Times New Roman" w:hAnsi="Times New Roman" w:cs="Times New Roman"/>
          <w:sz w:val="24"/>
          <w:szCs w:val="24"/>
          <w:lang w:eastAsia="hr-HR"/>
        </w:rPr>
        <w:t xml:space="preserve"> </w:t>
      </w:r>
      <w:r w:rsidRPr="007D7852">
        <w:rPr>
          <w:rFonts w:ascii="Times New Roman" w:eastAsia="Times New Roman" w:hAnsi="Times New Roman" w:cs="Times New Roman"/>
          <w:lang w:eastAsia="hr-HR"/>
        </w:rPr>
        <w:t xml:space="preserve">ekspanzivnoj fazi poslovnog ciklusa poput inflacije, krenulo se u drugu krajnost (Streeck, 2011). Usprkos naglasku na monetarizmu kao novom pristupu koji je trebao omogućiti ekonomski rast kroz stabilan monetarni okvir i reguliranje količine novca u optjecaju  u praksi se je etablirao model </w:t>
      </w:r>
      <w:r w:rsidRPr="007D7852">
        <w:rPr>
          <w:rFonts w:ascii="Times New Roman" w:eastAsia="Times New Roman" w:hAnsi="Times New Roman" w:cs="Times New Roman"/>
          <w:i/>
          <w:lang w:eastAsia="hr-HR"/>
        </w:rPr>
        <w:t>privatnog kejnezijanizma</w:t>
      </w:r>
      <w:r w:rsidRPr="007D7852">
        <w:rPr>
          <w:rFonts w:ascii="Times New Roman" w:eastAsia="Times New Roman" w:hAnsi="Times New Roman" w:cs="Times New Roman"/>
          <w:lang w:eastAsia="hr-HR"/>
        </w:rPr>
        <w:t>. Naime, on se je sastojao u održavanju ekonomskog rasta temeljem potrošnje i ulaganja u poslove povezane s nekretninama financirane zaduživanjem</w:t>
      </w:r>
      <w:r w:rsidR="00A30719">
        <w:rPr>
          <w:rFonts w:ascii="Times New Roman" w:eastAsia="Times New Roman" w:hAnsi="Times New Roman" w:cs="Times New Roman"/>
          <w:lang w:eastAsia="hr-HR"/>
        </w:rPr>
        <w:t xml:space="preserve"> </w:t>
      </w:r>
      <w:r w:rsidRPr="007D7852">
        <w:rPr>
          <w:rFonts w:ascii="Times New Roman" w:eastAsia="Times New Roman" w:hAnsi="Times New Roman" w:cs="Times New Roman"/>
          <w:lang w:eastAsia="hr-HR"/>
        </w:rPr>
        <w:t xml:space="preserve"> privatnog sektora, a ovaj trend kasnije je slijedio i javni sektor. Takav model implicite podrazumijeva da središnje banke nisu uspjele </w:t>
      </w:r>
      <w:r w:rsidRPr="00A30719">
        <w:rPr>
          <w:rFonts w:ascii="Times New Roman" w:eastAsia="Times New Roman" w:hAnsi="Times New Roman" w:cs="Times New Roman"/>
          <w:lang w:eastAsia="hr-HR"/>
        </w:rPr>
        <w:t>efektivno kontrolirati</w:t>
      </w:r>
      <w:r w:rsidR="00A30719">
        <w:rPr>
          <w:rFonts w:ascii="Times New Roman" w:eastAsia="Times New Roman" w:hAnsi="Times New Roman" w:cs="Times New Roman"/>
          <w:lang w:eastAsia="hr-HR"/>
        </w:rPr>
        <w:t xml:space="preserve"> nastajanje nove novčane mase. No, povećanje novčane mase nije rezultiralo visokim stopama inflacije jer se je novac usmjeravao na stjecanje financijske aktive i nekretnina, kategorija koje nisu zastupljene u CPI-u (indeksu potrošačkih cijena).</w:t>
      </w:r>
    </w:p>
  </w:footnote>
  <w:footnote w:id="4">
    <w:p w:rsidR="00A30719" w:rsidRPr="00A30719" w:rsidRDefault="002152BB" w:rsidP="00A30719">
      <w:pPr>
        <w:spacing w:after="0" w:line="360" w:lineRule="auto"/>
        <w:jc w:val="both"/>
        <w:rPr>
          <w:rFonts w:ascii="Times New Roman" w:hAnsi="Times New Roman" w:cs="Times New Roman"/>
          <w:sz w:val="20"/>
          <w:szCs w:val="20"/>
        </w:rPr>
      </w:pPr>
      <w:r w:rsidRPr="00A30719">
        <w:rPr>
          <w:rStyle w:val="FootnoteReference"/>
          <w:rFonts w:ascii="Times New Roman" w:hAnsi="Times New Roman" w:cs="Times New Roman"/>
          <w:sz w:val="20"/>
          <w:szCs w:val="20"/>
        </w:rPr>
        <w:footnoteRef/>
      </w:r>
      <w:r w:rsidRPr="00A30719">
        <w:rPr>
          <w:rFonts w:ascii="Times New Roman" w:hAnsi="Times New Roman" w:cs="Times New Roman"/>
          <w:sz w:val="20"/>
          <w:szCs w:val="20"/>
        </w:rPr>
        <w:t xml:space="preserve"> </w:t>
      </w:r>
      <w:r w:rsidR="00A30719" w:rsidRPr="00A30719">
        <w:rPr>
          <w:rFonts w:ascii="Times New Roman" w:hAnsi="Times New Roman" w:cs="Times New Roman"/>
          <w:sz w:val="20"/>
          <w:szCs w:val="20"/>
        </w:rPr>
        <w:t>Naime, od 1980-ih na djelu je financiranje fiskalnog deficita zaduživanjem kod privatnih vjerovnika kako bi se sačuvao integritet državne riznice od inflatorne spirale koju izaziva neumjereno tiskanje novca od strane središnje banke pod kontrolom političke elite, a takav trend omogućio je porast moći tržišta državnih obveznica.</w:t>
      </w:r>
    </w:p>
    <w:p w:rsidR="002152BB" w:rsidRDefault="002152BB">
      <w:pPr>
        <w:pStyle w:val="FootnoteText"/>
      </w:pPr>
    </w:p>
  </w:footnote>
  <w:footnote w:id="5">
    <w:p w:rsidR="007E3D98" w:rsidRPr="00BC4398" w:rsidRDefault="007E3D98" w:rsidP="00BC4398">
      <w:pPr>
        <w:pStyle w:val="FootnoteText"/>
        <w:spacing w:line="360" w:lineRule="auto"/>
        <w:jc w:val="both"/>
        <w:rPr>
          <w:rFonts w:ascii="Times New Roman" w:hAnsi="Times New Roman" w:cs="Times New Roman"/>
        </w:rPr>
      </w:pPr>
      <w:r w:rsidRPr="00BC4398">
        <w:rPr>
          <w:rStyle w:val="FootnoteReference"/>
          <w:rFonts w:ascii="Times New Roman" w:hAnsi="Times New Roman" w:cs="Times New Roman"/>
        </w:rPr>
        <w:footnoteRef/>
      </w:r>
      <w:r w:rsidRPr="00BC4398">
        <w:rPr>
          <w:rFonts w:ascii="Times New Roman" w:hAnsi="Times New Roman" w:cs="Times New Roman"/>
        </w:rPr>
        <w:t xml:space="preserve"> Problematična povezanost  eklatantna je kada je u pitanju tretman državnih obveznica kao nerizičnog ulaganja u sklopu Basel II ugovora prema kojemu se državnim obveznicama</w:t>
      </w:r>
      <w:r w:rsidR="006B51DC">
        <w:rPr>
          <w:rFonts w:ascii="Times New Roman" w:hAnsi="Times New Roman" w:cs="Times New Roman"/>
        </w:rPr>
        <w:t xml:space="preserve"> u kontekstu</w:t>
      </w:r>
      <w:r w:rsidR="00F86013">
        <w:rPr>
          <w:rFonts w:ascii="Times New Roman" w:hAnsi="Times New Roman" w:cs="Times New Roman"/>
        </w:rPr>
        <w:t xml:space="preserve"> određivanja</w:t>
      </w:r>
      <w:r w:rsidR="006B51DC">
        <w:rPr>
          <w:rFonts w:ascii="Times New Roman" w:hAnsi="Times New Roman" w:cs="Times New Roman"/>
        </w:rPr>
        <w:t xml:space="preserve"> rizikom ponderirane</w:t>
      </w:r>
      <w:r w:rsidRPr="00BC4398">
        <w:rPr>
          <w:rFonts w:ascii="Times New Roman" w:hAnsi="Times New Roman" w:cs="Times New Roman"/>
        </w:rPr>
        <w:t xml:space="preserve"> aktive</w:t>
      </w:r>
      <w:r w:rsidR="006B51DC">
        <w:rPr>
          <w:rFonts w:ascii="Times New Roman" w:hAnsi="Times New Roman" w:cs="Times New Roman"/>
        </w:rPr>
        <w:t xml:space="preserve"> pripisuje ponder </w:t>
      </w:r>
      <w:r w:rsidRPr="00BC4398">
        <w:rPr>
          <w:rFonts w:ascii="Times New Roman" w:hAnsi="Times New Roman" w:cs="Times New Roman"/>
        </w:rPr>
        <w:t xml:space="preserve"> </w:t>
      </w:r>
      <w:r w:rsidR="00BC4398" w:rsidRPr="00BC4398">
        <w:rPr>
          <w:rFonts w:ascii="Times New Roman" w:hAnsi="Times New Roman" w:cs="Times New Roman"/>
        </w:rPr>
        <w:t>'</w:t>
      </w:r>
      <w:r w:rsidRPr="00BC4398">
        <w:rPr>
          <w:rFonts w:ascii="Times New Roman" w:hAnsi="Times New Roman" w:cs="Times New Roman"/>
        </w:rPr>
        <w:t>0</w:t>
      </w:r>
      <w:r w:rsidR="00BC4398" w:rsidRPr="00BC4398">
        <w:rPr>
          <w:rFonts w:ascii="Times New Roman" w:hAnsi="Times New Roman" w:cs="Times New Roman"/>
        </w:rPr>
        <w:t>'</w:t>
      </w:r>
      <w:r w:rsidRPr="00BC4398">
        <w:rPr>
          <w:rFonts w:ascii="Times New Roman" w:hAnsi="Times New Roman" w:cs="Times New Roman"/>
        </w:rPr>
        <w:t xml:space="preserve"> što u prijevodu znači da banke za njih ne trebaju stavljati kapital sa strane i graditi kapitalnu osnovicu k</w:t>
      </w:r>
      <w:r w:rsidR="00BC4398" w:rsidRPr="00BC4398">
        <w:rPr>
          <w:rFonts w:ascii="Times New Roman" w:hAnsi="Times New Roman" w:cs="Times New Roman"/>
        </w:rPr>
        <w:t>oja ih može štititi u slučaju pada njihove vrijednosti</w:t>
      </w:r>
      <w:r w:rsidRPr="00BC4398">
        <w:rPr>
          <w:rFonts w:ascii="Times New Roman" w:hAnsi="Times New Roman" w:cs="Times New Roman"/>
        </w:rPr>
        <w:t>. U principu, to je značilo da su se u vrijeme prije krize gr</w:t>
      </w:r>
      <w:r w:rsidR="00BC4398" w:rsidRPr="00BC4398">
        <w:rPr>
          <w:rFonts w:ascii="Times New Roman" w:hAnsi="Times New Roman" w:cs="Times New Roman"/>
        </w:rPr>
        <w:t>čke državne obveznice financijskim  r</w:t>
      </w:r>
      <w:r w:rsidRPr="00BC4398">
        <w:rPr>
          <w:rFonts w:ascii="Times New Roman" w:hAnsi="Times New Roman" w:cs="Times New Roman"/>
        </w:rPr>
        <w:t xml:space="preserve">ječnikom smatrale bezrizičnima. </w:t>
      </w:r>
    </w:p>
  </w:footnote>
  <w:footnote w:id="6">
    <w:p w:rsidR="00621007" w:rsidRPr="00621007" w:rsidRDefault="00621007" w:rsidP="00621007">
      <w:pPr>
        <w:pStyle w:val="FootnoteText"/>
        <w:spacing w:line="360" w:lineRule="auto"/>
        <w:jc w:val="both"/>
        <w:rPr>
          <w:rFonts w:ascii="Times New Roman" w:hAnsi="Times New Roman" w:cs="Times New Roman"/>
        </w:rPr>
      </w:pPr>
      <w:r w:rsidRPr="00621007">
        <w:rPr>
          <w:rStyle w:val="FootnoteReference"/>
          <w:rFonts w:ascii="Times New Roman" w:hAnsi="Times New Roman" w:cs="Times New Roman"/>
        </w:rPr>
        <w:footnoteRef/>
      </w:r>
      <w:r w:rsidRPr="00621007">
        <w:rPr>
          <w:rFonts w:ascii="Times New Roman" w:hAnsi="Times New Roman" w:cs="Times New Roman"/>
        </w:rPr>
        <w:t xml:space="preserve"> U kontekstu monetarne unije devizni tečaj ne može služiti kao sredstvo prilagodbe i korekcije trgovinske neravnoteže tako da je monetarna unija perpetui</w:t>
      </w:r>
      <w:r w:rsidR="00850B56">
        <w:rPr>
          <w:rFonts w:ascii="Times New Roman" w:hAnsi="Times New Roman" w:cs="Times New Roman"/>
        </w:rPr>
        <w:t>rala neuravnotežen model rasta unutar eurozone.</w:t>
      </w:r>
    </w:p>
  </w:footnote>
  <w:footnote w:id="7">
    <w:p w:rsidR="007236C9" w:rsidRPr="007236C9" w:rsidRDefault="007236C9" w:rsidP="007236C9">
      <w:pPr>
        <w:pStyle w:val="FootnoteText"/>
        <w:spacing w:line="360" w:lineRule="auto"/>
        <w:jc w:val="both"/>
      </w:pPr>
      <w:r w:rsidRPr="007236C9">
        <w:rPr>
          <w:rStyle w:val="FootnoteReference"/>
        </w:rPr>
        <w:footnoteRef/>
      </w:r>
      <w:r w:rsidRPr="007236C9">
        <w:t xml:space="preserve"> </w:t>
      </w:r>
      <w:r w:rsidRPr="007236C9">
        <w:rPr>
          <w:rFonts w:ascii="Times New Roman" w:hAnsi="Times New Roman" w:cs="Times New Roman"/>
        </w:rPr>
        <w:t>Harald Hau, profesor sa Sveučilišta u Ženevi ukazuje na činjenicu da se  strategija privatnih vjerovnika sastoji  u odgodi bankrota suverena i iskrcavanju vlastitih rizika na druge aktere poput poreznih obveznika i drugih država (Hau, 2011).</w:t>
      </w:r>
    </w:p>
  </w:footnote>
  <w:footnote w:id="8">
    <w:p w:rsidR="0038689B" w:rsidRPr="0038689B" w:rsidRDefault="0038689B" w:rsidP="0038689B">
      <w:pPr>
        <w:pStyle w:val="FootnoteText"/>
        <w:spacing w:line="360" w:lineRule="auto"/>
        <w:jc w:val="both"/>
        <w:rPr>
          <w:rFonts w:ascii="Times New Roman" w:hAnsi="Times New Roman" w:cs="Times New Roman"/>
        </w:rPr>
      </w:pPr>
      <w:r w:rsidRPr="0038689B">
        <w:rPr>
          <w:rStyle w:val="FootnoteReference"/>
          <w:rFonts w:ascii="Times New Roman" w:hAnsi="Times New Roman" w:cs="Times New Roman"/>
        </w:rPr>
        <w:footnoteRef/>
      </w:r>
      <w:r w:rsidRPr="0038689B">
        <w:rPr>
          <w:rFonts w:ascii="Times New Roman" w:hAnsi="Times New Roman" w:cs="Times New Roman"/>
        </w:rPr>
        <w:t xml:space="preserve"> Čak je i legendarni investitor George Soros napomenuo da Grčka nije sposobna otplatiti svoje dugove. Luigi Zingales sa Chicago Booth School of Business napominje da bi zemlja poput Grčke imala daleko veće šanse za izlazak iz krize i reforme da joj je 2010. omogućen bankrot s obzirom da bi u tom slučaju imala veći fiskalni manevarski prostor za izlazak iz krize jer bi bila opterećena manjom razinom duga koji i nakon dva „šišanja“ iznosi enormnih i neodrživih 161.3 % BDP-a.</w:t>
      </w:r>
    </w:p>
  </w:footnote>
  <w:footnote w:id="9">
    <w:p w:rsidR="003A090A" w:rsidRPr="003A090A" w:rsidRDefault="003A090A" w:rsidP="003A090A">
      <w:pPr>
        <w:pStyle w:val="FootnoteText"/>
        <w:spacing w:line="360" w:lineRule="auto"/>
        <w:jc w:val="both"/>
        <w:rPr>
          <w:rFonts w:ascii="Times New Roman" w:hAnsi="Times New Roman" w:cs="Times New Roman"/>
        </w:rPr>
      </w:pPr>
      <w:r w:rsidRPr="003A090A">
        <w:rPr>
          <w:rStyle w:val="FootnoteReference"/>
          <w:rFonts w:ascii="Times New Roman" w:hAnsi="Times New Roman" w:cs="Times New Roman"/>
        </w:rPr>
        <w:footnoteRef/>
      </w:r>
      <w:r w:rsidRPr="003A090A">
        <w:rPr>
          <w:rFonts w:ascii="Times New Roman" w:hAnsi="Times New Roman" w:cs="Times New Roman"/>
        </w:rPr>
        <w:t xml:space="preserve"> Reflacijske mjere koje implicira</w:t>
      </w:r>
      <w:r w:rsidR="001A5E25">
        <w:rPr>
          <w:rFonts w:ascii="Times New Roman" w:hAnsi="Times New Roman" w:cs="Times New Roman"/>
        </w:rPr>
        <w:t>ju dizanje</w:t>
      </w:r>
      <w:r w:rsidRPr="003A090A">
        <w:rPr>
          <w:rFonts w:ascii="Times New Roman" w:hAnsi="Times New Roman" w:cs="Times New Roman"/>
        </w:rPr>
        <w:t xml:space="preserve"> javne potrošnje i porast nadnica u privatnom sektoru impliciraju prerasposjelu koja naravno nije u interesu gornjih nekoliko postotaka njemačkog stanovništva koje je iznimno profitiralo od postojećega modela. </w:t>
      </w:r>
    </w:p>
  </w:footnote>
  <w:footnote w:id="10">
    <w:p w:rsidR="00254F5F" w:rsidRPr="002221D9" w:rsidRDefault="00254F5F" w:rsidP="00E60A73">
      <w:pPr>
        <w:spacing w:after="0" w:line="360" w:lineRule="auto"/>
        <w:jc w:val="both"/>
        <w:rPr>
          <w:rFonts w:ascii="Times New Roman" w:hAnsi="Times New Roman" w:cs="Times New Roman"/>
          <w:sz w:val="20"/>
          <w:szCs w:val="20"/>
        </w:rPr>
      </w:pPr>
      <w:r w:rsidRPr="00254F5F">
        <w:rPr>
          <w:rStyle w:val="FootnoteReference"/>
          <w:rFonts w:ascii="Times New Roman" w:hAnsi="Times New Roman" w:cs="Times New Roman"/>
          <w:sz w:val="20"/>
          <w:szCs w:val="20"/>
        </w:rPr>
        <w:footnoteRef/>
      </w:r>
      <w:r w:rsidRPr="00254F5F">
        <w:rPr>
          <w:rFonts w:ascii="Times New Roman" w:hAnsi="Times New Roman" w:cs="Times New Roman"/>
          <w:sz w:val="20"/>
          <w:szCs w:val="20"/>
        </w:rPr>
        <w:t xml:space="preserve"> Izdavanje euro-obveznica omogućilo bi naplatu vjerovnika, ali bi iscrpilo dužnike/porezne obveznike u zemljama vjerovnicima, ovisno o raspodjeli tereta otplate.</w:t>
      </w:r>
    </w:p>
  </w:footnote>
  <w:footnote w:id="11">
    <w:p w:rsidR="004F77E6" w:rsidRDefault="004F77E6" w:rsidP="002221D9">
      <w:pPr>
        <w:pStyle w:val="FootnoteText"/>
        <w:spacing w:line="360" w:lineRule="auto"/>
        <w:jc w:val="both"/>
      </w:pPr>
      <w:r w:rsidRPr="002221D9">
        <w:rPr>
          <w:rStyle w:val="FootnoteReference"/>
          <w:rFonts w:ascii="Times New Roman" w:hAnsi="Times New Roman" w:cs="Times New Roman"/>
        </w:rPr>
        <w:footnoteRef/>
      </w:r>
      <w:r w:rsidRPr="002221D9">
        <w:rPr>
          <w:rFonts w:ascii="Times New Roman" w:hAnsi="Times New Roman" w:cs="Times New Roman"/>
        </w:rPr>
        <w:t xml:space="preserve"> ECB kao potencijalni zajednički regulator još se uvijek u procjeni stanja nacionanih bankarskih sektora oslanja na nacionalne regulatore u odabiru evaluatora bilanci pa se time riskira guranje mnogih loših kredita pod tepih i njihova kasnija socijalizacija po uvođenju bankovne unije u kojoj će kapital zdravih banaka sanirati bilance </w:t>
      </w:r>
      <w:r w:rsidR="002221D9" w:rsidRPr="002221D9">
        <w:rPr>
          <w:rFonts w:ascii="Times New Roman" w:hAnsi="Times New Roman" w:cs="Times New Roman"/>
        </w:rPr>
        <w:t>prenapregnutih banaka sa lošim kreditima.</w:t>
      </w:r>
      <w:r w:rsidR="002221D9">
        <w:t xml:space="preserve"> </w:t>
      </w:r>
    </w:p>
  </w:footnote>
  <w:footnote w:id="12">
    <w:p w:rsidR="00254F5F" w:rsidRPr="00254F5F" w:rsidRDefault="00254F5F" w:rsidP="00254F5F">
      <w:pPr>
        <w:spacing w:after="0" w:line="360" w:lineRule="auto"/>
        <w:jc w:val="both"/>
        <w:rPr>
          <w:rFonts w:ascii="Times New Roman" w:hAnsi="Times New Roman" w:cs="Times New Roman"/>
          <w:sz w:val="20"/>
          <w:szCs w:val="20"/>
        </w:rPr>
      </w:pPr>
      <w:r w:rsidRPr="00254F5F">
        <w:rPr>
          <w:rStyle w:val="FootnoteReference"/>
          <w:rFonts w:ascii="Times New Roman" w:hAnsi="Times New Roman" w:cs="Times New Roman"/>
          <w:sz w:val="20"/>
          <w:szCs w:val="20"/>
        </w:rPr>
        <w:footnoteRef/>
      </w:r>
      <w:r w:rsidRPr="00254F5F">
        <w:rPr>
          <w:rFonts w:ascii="Times New Roman" w:hAnsi="Times New Roman" w:cs="Times New Roman"/>
          <w:sz w:val="20"/>
          <w:szCs w:val="20"/>
        </w:rPr>
        <w:t xml:space="preserve"> Krajnje prociklički mehanizam koji u ekspanziji povećava kreditnu aktivnost, a u periodu krize ju radikalno smanjuje vodeći u kreditni škripac.</w:t>
      </w:r>
    </w:p>
    <w:p w:rsidR="00254F5F" w:rsidRDefault="00254F5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D8"/>
    <w:rsid w:val="00051E52"/>
    <w:rsid w:val="00096416"/>
    <w:rsid w:val="000A701B"/>
    <w:rsid w:val="000C1E57"/>
    <w:rsid w:val="000F29EB"/>
    <w:rsid w:val="000F438F"/>
    <w:rsid w:val="0012234E"/>
    <w:rsid w:val="00151974"/>
    <w:rsid w:val="00175473"/>
    <w:rsid w:val="001974B7"/>
    <w:rsid w:val="001A5E25"/>
    <w:rsid w:val="0020150B"/>
    <w:rsid w:val="002152BB"/>
    <w:rsid w:val="002221D9"/>
    <w:rsid w:val="00254F5F"/>
    <w:rsid w:val="002B2ABC"/>
    <w:rsid w:val="002D00B5"/>
    <w:rsid w:val="003115DD"/>
    <w:rsid w:val="00335940"/>
    <w:rsid w:val="00356615"/>
    <w:rsid w:val="0038689B"/>
    <w:rsid w:val="003A090A"/>
    <w:rsid w:val="003F23D3"/>
    <w:rsid w:val="004E597F"/>
    <w:rsid w:val="004F77E6"/>
    <w:rsid w:val="004F78A4"/>
    <w:rsid w:val="00504746"/>
    <w:rsid w:val="00517F5D"/>
    <w:rsid w:val="00526DB1"/>
    <w:rsid w:val="005359F5"/>
    <w:rsid w:val="00536976"/>
    <w:rsid w:val="00550CF2"/>
    <w:rsid w:val="005D00FD"/>
    <w:rsid w:val="005D674E"/>
    <w:rsid w:val="005E53BA"/>
    <w:rsid w:val="0060358F"/>
    <w:rsid w:val="0061267B"/>
    <w:rsid w:val="00621007"/>
    <w:rsid w:val="00637FD4"/>
    <w:rsid w:val="006503D2"/>
    <w:rsid w:val="0069384A"/>
    <w:rsid w:val="006A19CC"/>
    <w:rsid w:val="006A613D"/>
    <w:rsid w:val="006B51DC"/>
    <w:rsid w:val="006D751E"/>
    <w:rsid w:val="0070274A"/>
    <w:rsid w:val="0071725E"/>
    <w:rsid w:val="007213D8"/>
    <w:rsid w:val="007236C9"/>
    <w:rsid w:val="0079447D"/>
    <w:rsid w:val="007D1AD0"/>
    <w:rsid w:val="007D2E1E"/>
    <w:rsid w:val="007D7852"/>
    <w:rsid w:val="007E3D98"/>
    <w:rsid w:val="007F61A5"/>
    <w:rsid w:val="007F630A"/>
    <w:rsid w:val="0080489C"/>
    <w:rsid w:val="00831C4B"/>
    <w:rsid w:val="008372A6"/>
    <w:rsid w:val="00850B56"/>
    <w:rsid w:val="008A5A6F"/>
    <w:rsid w:val="008D5CE0"/>
    <w:rsid w:val="008F5740"/>
    <w:rsid w:val="009229E8"/>
    <w:rsid w:val="00942842"/>
    <w:rsid w:val="00983172"/>
    <w:rsid w:val="009B2EB2"/>
    <w:rsid w:val="009B41F7"/>
    <w:rsid w:val="009C023F"/>
    <w:rsid w:val="009C0FD1"/>
    <w:rsid w:val="009C1BD5"/>
    <w:rsid w:val="009D6971"/>
    <w:rsid w:val="00A166FD"/>
    <w:rsid w:val="00A30719"/>
    <w:rsid w:val="00A35916"/>
    <w:rsid w:val="00A37671"/>
    <w:rsid w:val="00A83FC5"/>
    <w:rsid w:val="00AA121A"/>
    <w:rsid w:val="00AF2582"/>
    <w:rsid w:val="00B33C4E"/>
    <w:rsid w:val="00B458BE"/>
    <w:rsid w:val="00B52BC2"/>
    <w:rsid w:val="00B751FC"/>
    <w:rsid w:val="00B81089"/>
    <w:rsid w:val="00BA03C8"/>
    <w:rsid w:val="00BB3250"/>
    <w:rsid w:val="00BC06E9"/>
    <w:rsid w:val="00BC4398"/>
    <w:rsid w:val="00C3782A"/>
    <w:rsid w:val="00C75EAF"/>
    <w:rsid w:val="00C80A42"/>
    <w:rsid w:val="00D12612"/>
    <w:rsid w:val="00D42DEE"/>
    <w:rsid w:val="00D46820"/>
    <w:rsid w:val="00D67E4F"/>
    <w:rsid w:val="00DD220E"/>
    <w:rsid w:val="00DF5D97"/>
    <w:rsid w:val="00E55DEE"/>
    <w:rsid w:val="00E608BD"/>
    <w:rsid w:val="00E60A73"/>
    <w:rsid w:val="00E65CB6"/>
    <w:rsid w:val="00E7679E"/>
    <w:rsid w:val="00E86000"/>
    <w:rsid w:val="00E9738C"/>
    <w:rsid w:val="00EB5BD6"/>
    <w:rsid w:val="00ED06A8"/>
    <w:rsid w:val="00F00ADF"/>
    <w:rsid w:val="00F21AEE"/>
    <w:rsid w:val="00F340B0"/>
    <w:rsid w:val="00F47B17"/>
    <w:rsid w:val="00F5389D"/>
    <w:rsid w:val="00F86013"/>
    <w:rsid w:val="00FF2C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C8"/>
    <w:rPr>
      <w:rFonts w:ascii="Tahoma" w:hAnsi="Tahoma" w:cs="Tahoma"/>
      <w:sz w:val="16"/>
      <w:szCs w:val="16"/>
    </w:rPr>
  </w:style>
  <w:style w:type="paragraph" w:styleId="FootnoteText">
    <w:name w:val="footnote text"/>
    <w:basedOn w:val="Normal"/>
    <w:link w:val="FootnoteTextChar"/>
    <w:uiPriority w:val="99"/>
    <w:semiHidden/>
    <w:unhideWhenUsed/>
    <w:rsid w:val="00BB32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3250"/>
    <w:rPr>
      <w:sz w:val="20"/>
      <w:szCs w:val="20"/>
    </w:rPr>
  </w:style>
  <w:style w:type="character" w:styleId="FootnoteReference">
    <w:name w:val="footnote reference"/>
    <w:basedOn w:val="DefaultParagraphFont"/>
    <w:semiHidden/>
    <w:unhideWhenUsed/>
    <w:rsid w:val="00BB3250"/>
    <w:rPr>
      <w:vertAlign w:val="superscript"/>
    </w:rPr>
  </w:style>
  <w:style w:type="character" w:styleId="Hyperlink">
    <w:name w:val="Hyperlink"/>
    <w:basedOn w:val="DefaultParagraphFont"/>
    <w:uiPriority w:val="99"/>
    <w:unhideWhenUsed/>
    <w:rsid w:val="00BB3250"/>
    <w:rPr>
      <w:color w:val="0000FF" w:themeColor="hyperlink"/>
      <w:u w:val="single"/>
    </w:rPr>
  </w:style>
  <w:style w:type="character" w:styleId="FollowedHyperlink">
    <w:name w:val="FollowedHyperlink"/>
    <w:basedOn w:val="DefaultParagraphFont"/>
    <w:uiPriority w:val="99"/>
    <w:semiHidden/>
    <w:unhideWhenUsed/>
    <w:rsid w:val="00BB3250"/>
    <w:rPr>
      <w:color w:val="800080" w:themeColor="followedHyperlink"/>
      <w:u w:val="single"/>
    </w:rPr>
  </w:style>
  <w:style w:type="paragraph" w:styleId="NormalWeb">
    <w:name w:val="Normal (Web)"/>
    <w:basedOn w:val="Normal"/>
    <w:uiPriority w:val="99"/>
    <w:semiHidden/>
    <w:unhideWhenUsed/>
    <w:rsid w:val="00BC06E9"/>
    <w:pPr>
      <w:spacing w:before="100" w:beforeAutospacing="1" w:after="100" w:afterAutospacing="1" w:line="240" w:lineRule="auto"/>
    </w:pPr>
    <w:rPr>
      <w:rFonts w:ascii="Times New Roman" w:eastAsiaTheme="minorEastAsia"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C8"/>
    <w:rPr>
      <w:rFonts w:ascii="Tahoma" w:hAnsi="Tahoma" w:cs="Tahoma"/>
      <w:sz w:val="16"/>
      <w:szCs w:val="16"/>
    </w:rPr>
  </w:style>
  <w:style w:type="paragraph" w:styleId="FootnoteText">
    <w:name w:val="footnote text"/>
    <w:basedOn w:val="Normal"/>
    <w:link w:val="FootnoteTextChar"/>
    <w:uiPriority w:val="99"/>
    <w:semiHidden/>
    <w:unhideWhenUsed/>
    <w:rsid w:val="00BB32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3250"/>
    <w:rPr>
      <w:sz w:val="20"/>
      <w:szCs w:val="20"/>
    </w:rPr>
  </w:style>
  <w:style w:type="character" w:styleId="FootnoteReference">
    <w:name w:val="footnote reference"/>
    <w:basedOn w:val="DefaultParagraphFont"/>
    <w:semiHidden/>
    <w:unhideWhenUsed/>
    <w:rsid w:val="00BB3250"/>
    <w:rPr>
      <w:vertAlign w:val="superscript"/>
    </w:rPr>
  </w:style>
  <w:style w:type="character" w:styleId="Hyperlink">
    <w:name w:val="Hyperlink"/>
    <w:basedOn w:val="DefaultParagraphFont"/>
    <w:uiPriority w:val="99"/>
    <w:unhideWhenUsed/>
    <w:rsid w:val="00BB3250"/>
    <w:rPr>
      <w:color w:val="0000FF" w:themeColor="hyperlink"/>
      <w:u w:val="single"/>
    </w:rPr>
  </w:style>
  <w:style w:type="character" w:styleId="FollowedHyperlink">
    <w:name w:val="FollowedHyperlink"/>
    <w:basedOn w:val="DefaultParagraphFont"/>
    <w:uiPriority w:val="99"/>
    <w:semiHidden/>
    <w:unhideWhenUsed/>
    <w:rsid w:val="00BB3250"/>
    <w:rPr>
      <w:color w:val="800080" w:themeColor="followedHyperlink"/>
      <w:u w:val="single"/>
    </w:rPr>
  </w:style>
  <w:style w:type="paragraph" w:styleId="NormalWeb">
    <w:name w:val="Normal (Web)"/>
    <w:basedOn w:val="Normal"/>
    <w:uiPriority w:val="99"/>
    <w:semiHidden/>
    <w:unhideWhenUsed/>
    <w:rsid w:val="00BC06E9"/>
    <w:pPr>
      <w:spacing w:before="100" w:beforeAutospacing="1" w:after="100" w:afterAutospacing="1" w:line="240" w:lineRule="auto"/>
    </w:pPr>
    <w:rPr>
      <w:rFonts w:ascii="Times New Roman" w:eastAsiaTheme="minorEastAsia"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r-HR"/>
              <a:t>Ukupno zaduženje i zaduženje po sektorima u pojedinim</a:t>
            </a:r>
            <a:r>
              <a:rPr lang="hr-HR" baseline="0"/>
              <a:t> zemljama EU (% BDP-a)</a:t>
            </a:r>
            <a:endParaRPr lang="hr-HR"/>
          </a:p>
        </c:rich>
      </c:tx>
      <c:layout/>
      <c:overlay val="0"/>
    </c:title>
    <c:autoTitleDeleted val="0"/>
    <c:plotArea>
      <c:layout/>
      <c:barChart>
        <c:barDir val="col"/>
        <c:grouping val="clustered"/>
        <c:varyColors val="0"/>
        <c:ser>
          <c:idx val="0"/>
          <c:order val="0"/>
          <c:tx>
            <c:strRef>
              <c:f>Sheet1!$A$19</c:f>
              <c:strCache>
                <c:ptCount val="1"/>
                <c:pt idx="0">
                  <c:v>Kućanstva</c:v>
                </c:pt>
              </c:strCache>
            </c:strRef>
          </c:tx>
          <c:invertIfNegative val="0"/>
          <c:cat>
            <c:strRef>
              <c:f>Sheet1!$C$18:$I$18</c:f>
              <c:strCache>
                <c:ptCount val="6"/>
                <c:pt idx="0">
                  <c:v>Velika Britanija</c:v>
                </c:pt>
                <c:pt idx="1">
                  <c:v>Španjolska</c:v>
                </c:pt>
                <c:pt idx="2">
                  <c:v>Portugal</c:v>
                </c:pt>
                <c:pt idx="3">
                  <c:v>Italija</c:v>
                </c:pt>
                <c:pt idx="4">
                  <c:v>Francuska</c:v>
                </c:pt>
                <c:pt idx="5">
                  <c:v>Njemačka</c:v>
                </c:pt>
              </c:strCache>
            </c:strRef>
          </c:cat>
          <c:val>
            <c:numRef>
              <c:f>Sheet1!$C$19:$I$19</c:f>
              <c:numCache>
                <c:formatCode>0%</c:formatCode>
                <c:ptCount val="7"/>
                <c:pt idx="0">
                  <c:v>1.01</c:v>
                </c:pt>
                <c:pt idx="1">
                  <c:v>0.67</c:v>
                </c:pt>
                <c:pt idx="2">
                  <c:v>0.61</c:v>
                </c:pt>
                <c:pt idx="3">
                  <c:v>0.5</c:v>
                </c:pt>
                <c:pt idx="4">
                  <c:v>0.61</c:v>
                </c:pt>
                <c:pt idx="5">
                  <c:v>0.6</c:v>
                </c:pt>
              </c:numCache>
            </c:numRef>
          </c:val>
        </c:ser>
        <c:ser>
          <c:idx val="1"/>
          <c:order val="1"/>
          <c:tx>
            <c:strRef>
              <c:f>Sheet1!$A$20</c:f>
              <c:strCache>
                <c:ptCount val="1"/>
                <c:pt idx="0">
                  <c:v>Financijski sektor</c:v>
                </c:pt>
              </c:strCache>
            </c:strRef>
          </c:tx>
          <c:invertIfNegative val="0"/>
          <c:cat>
            <c:strRef>
              <c:f>Sheet1!$C$18:$I$18</c:f>
              <c:strCache>
                <c:ptCount val="6"/>
                <c:pt idx="0">
                  <c:v>Velika Britanija</c:v>
                </c:pt>
                <c:pt idx="1">
                  <c:v>Španjolska</c:v>
                </c:pt>
                <c:pt idx="2">
                  <c:v>Portugal</c:v>
                </c:pt>
                <c:pt idx="3">
                  <c:v>Italija</c:v>
                </c:pt>
                <c:pt idx="4">
                  <c:v>Francuska</c:v>
                </c:pt>
                <c:pt idx="5">
                  <c:v>Njemačka</c:v>
                </c:pt>
              </c:strCache>
            </c:strRef>
          </c:cat>
          <c:val>
            <c:numRef>
              <c:f>Sheet1!$C$20:$I$20</c:f>
              <c:numCache>
                <c:formatCode>0%</c:formatCode>
                <c:ptCount val="7"/>
                <c:pt idx="0">
                  <c:v>5.47</c:v>
                </c:pt>
                <c:pt idx="1">
                  <c:v>0.87</c:v>
                </c:pt>
                <c:pt idx="2">
                  <c:v>1.06</c:v>
                </c:pt>
                <c:pt idx="3">
                  <c:v>0.96</c:v>
                </c:pt>
                <c:pt idx="4">
                  <c:v>1.51</c:v>
                </c:pt>
                <c:pt idx="5">
                  <c:v>0.98</c:v>
                </c:pt>
              </c:numCache>
            </c:numRef>
          </c:val>
        </c:ser>
        <c:ser>
          <c:idx val="2"/>
          <c:order val="2"/>
          <c:tx>
            <c:strRef>
              <c:f>Sheet1!$A$21</c:f>
              <c:strCache>
                <c:ptCount val="1"/>
                <c:pt idx="0">
                  <c:v>Država</c:v>
                </c:pt>
              </c:strCache>
            </c:strRef>
          </c:tx>
          <c:invertIfNegative val="0"/>
          <c:cat>
            <c:strRef>
              <c:f>Sheet1!$C$18:$I$18</c:f>
              <c:strCache>
                <c:ptCount val="6"/>
                <c:pt idx="0">
                  <c:v>Velika Britanija</c:v>
                </c:pt>
                <c:pt idx="1">
                  <c:v>Španjolska</c:v>
                </c:pt>
                <c:pt idx="2">
                  <c:v>Portugal</c:v>
                </c:pt>
                <c:pt idx="3">
                  <c:v>Italija</c:v>
                </c:pt>
                <c:pt idx="4">
                  <c:v>Francuska</c:v>
                </c:pt>
                <c:pt idx="5">
                  <c:v>Njemačka</c:v>
                </c:pt>
              </c:strCache>
            </c:strRef>
          </c:cat>
          <c:val>
            <c:numRef>
              <c:f>Sheet1!$C$21:$I$21</c:f>
              <c:numCache>
                <c:formatCode>0%</c:formatCode>
                <c:ptCount val="7"/>
                <c:pt idx="0">
                  <c:v>0.81</c:v>
                </c:pt>
                <c:pt idx="1">
                  <c:v>1.1100000000000001</c:v>
                </c:pt>
                <c:pt idx="2">
                  <c:v>1.06</c:v>
                </c:pt>
                <c:pt idx="3">
                  <c:v>1.21</c:v>
                </c:pt>
                <c:pt idx="4">
                  <c:v>0.87</c:v>
                </c:pt>
                <c:pt idx="5">
                  <c:v>0.83</c:v>
                </c:pt>
              </c:numCache>
            </c:numRef>
          </c:val>
        </c:ser>
        <c:ser>
          <c:idx val="3"/>
          <c:order val="3"/>
          <c:tx>
            <c:strRef>
              <c:f>Sheet1!$A$22</c:f>
              <c:strCache>
                <c:ptCount val="1"/>
                <c:pt idx="0">
                  <c:v>Poduzeća</c:v>
                </c:pt>
              </c:strCache>
            </c:strRef>
          </c:tx>
          <c:invertIfNegative val="0"/>
          <c:cat>
            <c:strRef>
              <c:f>Sheet1!$C$18:$I$18</c:f>
              <c:strCache>
                <c:ptCount val="6"/>
                <c:pt idx="0">
                  <c:v>Velika Britanija</c:v>
                </c:pt>
                <c:pt idx="1">
                  <c:v>Španjolska</c:v>
                </c:pt>
                <c:pt idx="2">
                  <c:v>Portugal</c:v>
                </c:pt>
                <c:pt idx="3">
                  <c:v>Italija</c:v>
                </c:pt>
                <c:pt idx="4">
                  <c:v>Francuska</c:v>
                </c:pt>
                <c:pt idx="5">
                  <c:v>Njemačka</c:v>
                </c:pt>
              </c:strCache>
            </c:strRef>
          </c:cat>
          <c:val>
            <c:numRef>
              <c:f>Sheet1!$C$22:$I$22</c:f>
              <c:numCache>
                <c:formatCode>0%</c:formatCode>
                <c:ptCount val="7"/>
                <c:pt idx="0">
                  <c:v>1.18</c:v>
                </c:pt>
                <c:pt idx="1">
                  <c:v>1.92</c:v>
                </c:pt>
                <c:pt idx="2">
                  <c:v>1.49</c:v>
                </c:pt>
                <c:pt idx="3">
                  <c:v>1.1000000000000001</c:v>
                </c:pt>
                <c:pt idx="4">
                  <c:v>1.5</c:v>
                </c:pt>
                <c:pt idx="5">
                  <c:v>0.8</c:v>
                </c:pt>
              </c:numCache>
            </c:numRef>
          </c:val>
        </c:ser>
        <c:ser>
          <c:idx val="4"/>
          <c:order val="4"/>
          <c:tx>
            <c:strRef>
              <c:f>Sheet1!$A$23</c:f>
              <c:strCache>
                <c:ptCount val="1"/>
                <c:pt idx="0">
                  <c:v>Ukupan dug</c:v>
                </c:pt>
              </c:strCache>
            </c:strRef>
          </c:tx>
          <c:invertIfNegative val="0"/>
          <c:cat>
            <c:strRef>
              <c:f>Sheet1!$C$18:$I$18</c:f>
              <c:strCache>
                <c:ptCount val="6"/>
                <c:pt idx="0">
                  <c:v>Velika Britanija</c:v>
                </c:pt>
                <c:pt idx="1">
                  <c:v>Španjolska</c:v>
                </c:pt>
                <c:pt idx="2">
                  <c:v>Portugal</c:v>
                </c:pt>
                <c:pt idx="3">
                  <c:v>Italija</c:v>
                </c:pt>
                <c:pt idx="4">
                  <c:v>Francuska</c:v>
                </c:pt>
                <c:pt idx="5">
                  <c:v>Njemačka</c:v>
                </c:pt>
              </c:strCache>
            </c:strRef>
          </c:cat>
          <c:val>
            <c:numRef>
              <c:f>Sheet1!$C$23:$I$23</c:f>
              <c:numCache>
                <c:formatCode>0%</c:formatCode>
                <c:ptCount val="7"/>
                <c:pt idx="0">
                  <c:v>8.4700000000000006</c:v>
                </c:pt>
                <c:pt idx="1">
                  <c:v>4.57</c:v>
                </c:pt>
                <c:pt idx="2">
                  <c:v>4.22</c:v>
                </c:pt>
                <c:pt idx="3">
                  <c:v>3.77</c:v>
                </c:pt>
                <c:pt idx="4">
                  <c:v>4.49</c:v>
                </c:pt>
                <c:pt idx="5">
                  <c:v>3.21</c:v>
                </c:pt>
              </c:numCache>
            </c:numRef>
          </c:val>
        </c:ser>
        <c:dLbls>
          <c:showLegendKey val="0"/>
          <c:showVal val="0"/>
          <c:showCatName val="0"/>
          <c:showSerName val="0"/>
          <c:showPercent val="0"/>
          <c:showBubbleSize val="0"/>
        </c:dLbls>
        <c:gapWidth val="150"/>
        <c:axId val="91302528"/>
        <c:axId val="91304320"/>
      </c:barChart>
      <c:catAx>
        <c:axId val="91302528"/>
        <c:scaling>
          <c:orientation val="minMax"/>
        </c:scaling>
        <c:delete val="0"/>
        <c:axPos val="b"/>
        <c:majorTickMark val="out"/>
        <c:minorTickMark val="none"/>
        <c:tickLblPos val="nextTo"/>
        <c:crossAx val="91304320"/>
        <c:crosses val="autoZero"/>
        <c:auto val="1"/>
        <c:lblAlgn val="ctr"/>
        <c:lblOffset val="100"/>
        <c:noMultiLvlLbl val="0"/>
      </c:catAx>
      <c:valAx>
        <c:axId val="91304320"/>
        <c:scaling>
          <c:orientation val="minMax"/>
        </c:scaling>
        <c:delete val="0"/>
        <c:axPos val="l"/>
        <c:majorGridlines/>
        <c:numFmt formatCode="0%" sourceLinked="1"/>
        <c:majorTickMark val="out"/>
        <c:minorTickMark val="none"/>
        <c:tickLblPos val="nextTo"/>
        <c:crossAx val="91302528"/>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Sheet2!$B$1</c:f>
              <c:strCache>
                <c:ptCount val="1"/>
                <c:pt idx="0">
                  <c:v>Trgovinski suficit (%BDP-a)</c:v>
                </c:pt>
              </c:strCache>
            </c:strRef>
          </c:tx>
          <c:xVal>
            <c:numRef>
              <c:f>Sheet2!$A$2:$A$14</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xVal>
          <c:yVal>
            <c:numRef>
              <c:f>Sheet2!$B$2:$B$14</c:f>
              <c:numCache>
                <c:formatCode>0%</c:formatCode>
                <c:ptCount val="13"/>
                <c:pt idx="0" formatCode="0.00%">
                  <c:v>3.0000000000000001E-3</c:v>
                </c:pt>
                <c:pt idx="1">
                  <c:v>0.02</c:v>
                </c:pt>
                <c:pt idx="2" formatCode="0.00%">
                  <c:v>4.4999999999999998E-2</c:v>
                </c:pt>
                <c:pt idx="3" formatCode="0.00%">
                  <c:v>3.9E-2</c:v>
                </c:pt>
                <c:pt idx="4">
                  <c:v>0.05</c:v>
                </c:pt>
                <c:pt idx="5" formatCode="0.00%">
                  <c:v>5.1999999999999998E-2</c:v>
                </c:pt>
                <c:pt idx="6" formatCode="0.00%">
                  <c:v>5.6000000000000001E-2</c:v>
                </c:pt>
                <c:pt idx="7">
                  <c:v>7.0000000000000007E-2</c:v>
                </c:pt>
                <c:pt idx="8" formatCode="0.00%">
                  <c:v>6.3E-2</c:v>
                </c:pt>
                <c:pt idx="9" formatCode="0.00%">
                  <c:v>4.9000000000000002E-2</c:v>
                </c:pt>
                <c:pt idx="10" formatCode="0.00%">
                  <c:v>5.6000000000000001E-2</c:v>
                </c:pt>
                <c:pt idx="11" formatCode="0.00%">
                  <c:v>5.1999999999999998E-2</c:v>
                </c:pt>
                <c:pt idx="12" formatCode="0.00%">
                  <c:v>5.8999999999999997E-2</c:v>
                </c:pt>
              </c:numCache>
            </c:numRef>
          </c:yVal>
          <c:smooth val="1"/>
        </c:ser>
        <c:ser>
          <c:idx val="1"/>
          <c:order val="1"/>
          <c:tx>
            <c:strRef>
              <c:f>Sheet2!$C$1</c:f>
              <c:strCache>
                <c:ptCount val="1"/>
                <c:pt idx="0">
                  <c:v>Stopa nezaposlenosti </c:v>
                </c:pt>
              </c:strCache>
            </c:strRef>
          </c:tx>
          <c:xVal>
            <c:numRef>
              <c:f>Sheet2!$A$2:$A$14</c:f>
              <c:numCache>
                <c:formatCode>General</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xVal>
          <c:yVal>
            <c:numRef>
              <c:f>Sheet2!$C$2:$C$14</c:f>
              <c:numCache>
                <c:formatCode>0.00%</c:formatCode>
                <c:ptCount val="13"/>
                <c:pt idx="0">
                  <c:v>0.107</c:v>
                </c:pt>
                <c:pt idx="1">
                  <c:v>0.104</c:v>
                </c:pt>
                <c:pt idx="2">
                  <c:v>0.108</c:v>
                </c:pt>
                <c:pt idx="3">
                  <c:v>0.11600000000000001</c:v>
                </c:pt>
                <c:pt idx="4">
                  <c:v>0.11700000000000001</c:v>
                </c:pt>
                <c:pt idx="5" formatCode="0%">
                  <c:v>0.13</c:v>
                </c:pt>
                <c:pt idx="6" formatCode="0%">
                  <c:v>0.12</c:v>
                </c:pt>
                <c:pt idx="7">
                  <c:v>0.10100000000000001</c:v>
                </c:pt>
                <c:pt idx="8">
                  <c:v>7.8E-2</c:v>
                </c:pt>
                <c:pt idx="9">
                  <c:v>8.2000000000000003E-2</c:v>
                </c:pt>
                <c:pt idx="10">
                  <c:v>7.6999999999999999E-2</c:v>
                </c:pt>
                <c:pt idx="11">
                  <c:v>7.0999999999999994E-2</c:v>
                </c:pt>
                <c:pt idx="12">
                  <c:v>6.8000000000000005E-2</c:v>
                </c:pt>
              </c:numCache>
            </c:numRef>
          </c:yVal>
          <c:smooth val="1"/>
        </c:ser>
        <c:dLbls>
          <c:showLegendKey val="0"/>
          <c:showVal val="0"/>
          <c:showCatName val="0"/>
          <c:showSerName val="0"/>
          <c:showPercent val="0"/>
          <c:showBubbleSize val="0"/>
        </c:dLbls>
        <c:axId val="91311104"/>
        <c:axId val="91325184"/>
      </c:scatterChart>
      <c:valAx>
        <c:axId val="91311104"/>
        <c:scaling>
          <c:orientation val="minMax"/>
        </c:scaling>
        <c:delete val="0"/>
        <c:axPos val="b"/>
        <c:numFmt formatCode="General" sourceLinked="1"/>
        <c:majorTickMark val="out"/>
        <c:minorTickMark val="none"/>
        <c:tickLblPos val="nextTo"/>
        <c:crossAx val="91325184"/>
        <c:crosses val="autoZero"/>
        <c:crossBetween val="midCat"/>
      </c:valAx>
      <c:valAx>
        <c:axId val="91325184"/>
        <c:scaling>
          <c:orientation val="minMax"/>
        </c:scaling>
        <c:delete val="0"/>
        <c:axPos val="l"/>
        <c:majorGridlines/>
        <c:numFmt formatCode="0.00%" sourceLinked="1"/>
        <c:majorTickMark val="out"/>
        <c:minorTickMark val="none"/>
        <c:tickLblPos val="nextTo"/>
        <c:crossAx val="91311104"/>
        <c:crosses val="autoZero"/>
        <c:crossBetween val="midCat"/>
      </c:valAx>
    </c:plotArea>
    <c:legend>
      <c:legendPos val="r"/>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scatterChart>
        <c:scatterStyle val="smoothMarker"/>
        <c:varyColors val="0"/>
        <c:ser>
          <c:idx val="0"/>
          <c:order val="0"/>
          <c:tx>
            <c:strRef>
              <c:f>Sheet3!$B$1</c:f>
              <c:strCache>
                <c:ptCount val="1"/>
                <c:pt idx="0">
                  <c:v>Stopa formiranja kapitala (% BDP-a) </c:v>
                </c:pt>
              </c:strCache>
            </c:strRef>
          </c:tx>
          <c:xVal>
            <c:numRef>
              <c:f>Sheet3!$A$2:$A$23</c:f>
              <c:numCache>
                <c:formatCode>General</c:formatCode>
                <c:ptCount val="22"/>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numCache>
            </c:numRef>
          </c:xVal>
          <c:yVal>
            <c:numRef>
              <c:f>Sheet3!$B$2:$B$23</c:f>
              <c:numCache>
                <c:formatCode>0%</c:formatCode>
                <c:ptCount val="22"/>
                <c:pt idx="0">
                  <c:v>0.24</c:v>
                </c:pt>
                <c:pt idx="1">
                  <c:v>0.23</c:v>
                </c:pt>
                <c:pt idx="2">
                  <c:v>0.22</c:v>
                </c:pt>
                <c:pt idx="3">
                  <c:v>0.22</c:v>
                </c:pt>
                <c:pt idx="4">
                  <c:v>0.22</c:v>
                </c:pt>
                <c:pt idx="5">
                  <c:v>0.21</c:v>
                </c:pt>
                <c:pt idx="6">
                  <c:v>0.21</c:v>
                </c:pt>
                <c:pt idx="7">
                  <c:v>0.22</c:v>
                </c:pt>
                <c:pt idx="8">
                  <c:v>0.22</c:v>
                </c:pt>
                <c:pt idx="9">
                  <c:v>0.22</c:v>
                </c:pt>
                <c:pt idx="10">
                  <c:v>0.2</c:v>
                </c:pt>
                <c:pt idx="11">
                  <c:v>0.18</c:v>
                </c:pt>
                <c:pt idx="12">
                  <c:v>0.18</c:v>
                </c:pt>
                <c:pt idx="13">
                  <c:v>0.18</c:v>
                </c:pt>
                <c:pt idx="14">
                  <c:v>0.17</c:v>
                </c:pt>
                <c:pt idx="15">
                  <c:v>0.18</c:v>
                </c:pt>
                <c:pt idx="16">
                  <c:v>0.19</c:v>
                </c:pt>
                <c:pt idx="17">
                  <c:v>0.19</c:v>
                </c:pt>
                <c:pt idx="18">
                  <c:v>0.16</c:v>
                </c:pt>
                <c:pt idx="19">
                  <c:v>0.17</c:v>
                </c:pt>
                <c:pt idx="20">
                  <c:v>0.18</c:v>
                </c:pt>
                <c:pt idx="21">
                  <c:v>0.17</c:v>
                </c:pt>
              </c:numCache>
            </c:numRef>
          </c:yVal>
          <c:smooth val="1"/>
        </c:ser>
        <c:dLbls>
          <c:showLegendKey val="0"/>
          <c:showVal val="0"/>
          <c:showCatName val="0"/>
          <c:showSerName val="0"/>
          <c:showPercent val="0"/>
          <c:showBubbleSize val="0"/>
        </c:dLbls>
        <c:axId val="91759744"/>
        <c:axId val="91761280"/>
      </c:scatterChart>
      <c:valAx>
        <c:axId val="91759744"/>
        <c:scaling>
          <c:orientation val="minMax"/>
        </c:scaling>
        <c:delete val="0"/>
        <c:axPos val="b"/>
        <c:numFmt formatCode="General" sourceLinked="1"/>
        <c:majorTickMark val="out"/>
        <c:minorTickMark val="none"/>
        <c:tickLblPos val="nextTo"/>
        <c:crossAx val="91761280"/>
        <c:crosses val="autoZero"/>
        <c:crossBetween val="midCat"/>
      </c:valAx>
      <c:valAx>
        <c:axId val="91761280"/>
        <c:scaling>
          <c:orientation val="minMax"/>
        </c:scaling>
        <c:delete val="0"/>
        <c:axPos val="l"/>
        <c:majorGridlines/>
        <c:numFmt formatCode="0%" sourceLinked="1"/>
        <c:majorTickMark val="out"/>
        <c:minorTickMark val="none"/>
        <c:tickLblPos val="nextTo"/>
        <c:crossAx val="91759744"/>
        <c:crosses val="autoZero"/>
        <c:crossBetween val="midCat"/>
      </c:valAx>
    </c:plotArea>
    <c:legend>
      <c:legendPos val="r"/>
      <c:layout/>
      <c:overlay val="0"/>
    </c:legend>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0.6994</cdr:x>
      <cdr:y>0.82108</cdr:y>
    </cdr:from>
    <cdr:to>
      <cdr:x>1</cdr:x>
      <cdr:y>0.99861</cdr:y>
    </cdr:to>
    <cdr:sp macro="" textlink="">
      <cdr:nvSpPr>
        <cdr:cNvPr id="2" name="Text Box 6"/>
        <cdr:cNvSpPr txBox="1">
          <a:spLocks xmlns:a="http://schemas.openxmlformats.org/drawingml/2006/main" noChangeArrowheads="1"/>
        </cdr:cNvSpPr>
      </cdr:nvSpPr>
      <cdr:spPr bwMode="auto">
        <a:xfrm xmlns:a="http://schemas.openxmlformats.org/drawingml/2006/main">
          <a:off x="4030980" y="1879600"/>
          <a:ext cx="1731645" cy="40640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endParaRPr lang="hr-HR" sz="10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0.70238</cdr:x>
      <cdr:y>0.85913</cdr:y>
    </cdr:from>
    <cdr:to>
      <cdr:x>1</cdr:x>
      <cdr:y>0.97365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048125" y="1966699"/>
          <a:ext cx="1714500" cy="262151"/>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0.69239</cdr:x>
      <cdr:y>0.84837</cdr:y>
    </cdr:from>
    <cdr:to>
      <cdr:x>1</cdr:x>
      <cdr:y>0.99836</cdr:y>
    </cdr:to>
    <cdr:sp macro="" textlink="">
      <cdr:nvSpPr>
        <cdr:cNvPr id="2" name="Text Box 6"/>
        <cdr:cNvSpPr txBox="1">
          <a:spLocks xmlns:a="http://schemas.openxmlformats.org/drawingml/2006/main" noChangeArrowheads="1"/>
        </cdr:cNvSpPr>
      </cdr:nvSpPr>
      <cdr:spPr bwMode="auto">
        <a:xfrm xmlns:a="http://schemas.openxmlformats.org/drawingml/2006/main">
          <a:off x="3897630" y="2298700"/>
          <a:ext cx="1731645" cy="40640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sp>
  </cdr:relSizeAnchor>
  <cdr:relSizeAnchor xmlns:cdr="http://schemas.openxmlformats.org/drawingml/2006/chartDrawing">
    <cdr:from>
      <cdr:x>0.69543</cdr:x>
      <cdr:y>0.87532</cdr:y>
    </cdr:from>
    <cdr:to>
      <cdr:x>1</cdr:x>
      <cdr:y>0.97207</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914775" y="2371725"/>
          <a:ext cx="1714500" cy="262151"/>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3A7B9-A451-4EE7-B225-3ECF200F3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14</Pages>
  <Words>4368</Words>
  <Characters>24898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Kristijan</dc:creator>
  <cp:lastModifiedBy>Kristijan</cp:lastModifiedBy>
  <cp:revision>64</cp:revision>
  <dcterms:created xsi:type="dcterms:W3CDTF">2013-10-24T07:31:00Z</dcterms:created>
  <dcterms:modified xsi:type="dcterms:W3CDTF">2013-10-30T21:21:00Z</dcterms:modified>
</cp:coreProperties>
</file>