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1E" w:rsidRPr="00542D33" w:rsidRDefault="003B487A" w:rsidP="00542D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D33">
        <w:rPr>
          <w:rFonts w:ascii="Times New Roman" w:hAnsi="Times New Roman" w:cs="Times New Roman"/>
          <w:b/>
          <w:sz w:val="28"/>
          <w:szCs w:val="28"/>
        </w:rPr>
        <w:t>Transfer znanja: Grafovi u različitim kontekstima</w:t>
      </w:r>
    </w:p>
    <w:p w:rsidR="003B487A" w:rsidRPr="00542D33" w:rsidRDefault="003B487A" w:rsidP="00354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D33">
        <w:rPr>
          <w:rFonts w:ascii="Times New Roman" w:hAnsi="Times New Roman" w:cs="Times New Roman"/>
          <w:sz w:val="24"/>
          <w:szCs w:val="24"/>
        </w:rPr>
        <w:t>Maja Planinić</w:t>
      </w:r>
      <w:r w:rsidRPr="00542D3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42D33">
        <w:rPr>
          <w:rFonts w:ascii="Times New Roman" w:hAnsi="Times New Roman" w:cs="Times New Roman"/>
          <w:sz w:val="24"/>
          <w:szCs w:val="24"/>
        </w:rPr>
        <w:t>, Lana Ivanjek</w:t>
      </w:r>
      <w:r w:rsidRPr="00542D3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42D33">
        <w:rPr>
          <w:rFonts w:ascii="Times New Roman" w:hAnsi="Times New Roman" w:cs="Times New Roman"/>
          <w:sz w:val="24"/>
          <w:szCs w:val="24"/>
        </w:rPr>
        <w:t>, Ana Sušac</w:t>
      </w:r>
      <w:r w:rsidRPr="00542D3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42D33">
        <w:rPr>
          <w:rFonts w:ascii="Times New Roman" w:hAnsi="Times New Roman" w:cs="Times New Roman"/>
          <w:sz w:val="24"/>
          <w:szCs w:val="24"/>
        </w:rPr>
        <w:t>, Željka Milin-Šipuš</w:t>
      </w:r>
      <w:r w:rsidRPr="00542D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B487A" w:rsidRPr="00542D33" w:rsidRDefault="003B487A" w:rsidP="00354E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2D33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542D33">
        <w:rPr>
          <w:rFonts w:ascii="Times New Roman" w:hAnsi="Times New Roman" w:cs="Times New Roman"/>
          <w:i/>
          <w:sz w:val="24"/>
          <w:szCs w:val="24"/>
        </w:rPr>
        <w:t>Fizički odsjek, Prirodoslovno – matematički fakultet, Zagreb</w:t>
      </w:r>
    </w:p>
    <w:p w:rsidR="003B487A" w:rsidRPr="00542D33" w:rsidRDefault="003B487A" w:rsidP="00354E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2D3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42D33">
        <w:rPr>
          <w:rFonts w:ascii="Times New Roman" w:hAnsi="Times New Roman" w:cs="Times New Roman"/>
          <w:i/>
          <w:sz w:val="24"/>
          <w:szCs w:val="24"/>
        </w:rPr>
        <w:t>Matematički  odsjek, Prirodoslovno – matematički fakultet, Zagreb</w:t>
      </w:r>
    </w:p>
    <w:p w:rsidR="008F4EB3" w:rsidRPr="00833964" w:rsidRDefault="008F4EB3" w:rsidP="00354EFB">
      <w:pPr>
        <w:spacing w:after="0" w:line="240" w:lineRule="auto"/>
        <w:rPr>
          <w:rFonts w:ascii="Times New Roman" w:hAnsi="Times New Roman" w:cs="Times New Roman"/>
        </w:rPr>
      </w:pPr>
    </w:p>
    <w:p w:rsidR="003B487A" w:rsidRPr="00542D33" w:rsidRDefault="006825D1" w:rsidP="00542D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D33">
        <w:rPr>
          <w:rFonts w:ascii="Times New Roman" w:hAnsi="Times New Roman" w:cs="Times New Roman"/>
          <w:b/>
          <w:sz w:val="24"/>
          <w:szCs w:val="24"/>
        </w:rPr>
        <w:t>Uvod</w:t>
      </w:r>
    </w:p>
    <w:p w:rsidR="006825D1" w:rsidRPr="00833964" w:rsidRDefault="005541A8" w:rsidP="00F42B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tab/>
      </w:r>
      <w:r w:rsidR="006825D1" w:rsidRPr="00833964">
        <w:rPr>
          <w:rFonts w:ascii="Times New Roman" w:hAnsi="Times New Roman" w:cs="Times New Roman"/>
        </w:rPr>
        <w:t>Mnogi istraživači smatraju transfer znanja jednim od g</w:t>
      </w:r>
      <w:r w:rsidR="000028DE" w:rsidRPr="00833964">
        <w:rPr>
          <w:rFonts w:ascii="Times New Roman" w:hAnsi="Times New Roman" w:cs="Times New Roman"/>
        </w:rPr>
        <w:t>lavnih ishoda obrazovanja</w:t>
      </w:r>
      <w:r w:rsidR="006825D1" w:rsidRPr="00833964">
        <w:rPr>
          <w:rFonts w:ascii="Times New Roman" w:hAnsi="Times New Roman" w:cs="Times New Roman"/>
        </w:rPr>
        <w:t xml:space="preserve">.  Transfer se često definira kao </w:t>
      </w:r>
      <w:r w:rsidR="00E22AC0" w:rsidRPr="00833964">
        <w:rPr>
          <w:rFonts w:ascii="Times New Roman" w:hAnsi="Times New Roman" w:cs="Times New Roman"/>
        </w:rPr>
        <w:t>sposobnost prenošenja znanja iz jednog ko</w:t>
      </w:r>
      <w:r w:rsidR="003766A3">
        <w:rPr>
          <w:rFonts w:ascii="Times New Roman" w:hAnsi="Times New Roman" w:cs="Times New Roman"/>
        </w:rPr>
        <w:t>nteksta u drugi (Bransford, Brown &amp; Cocking</w:t>
      </w:r>
      <w:r w:rsidR="00E22AC0" w:rsidRPr="00833964">
        <w:rPr>
          <w:rFonts w:ascii="Times New Roman" w:hAnsi="Times New Roman" w:cs="Times New Roman"/>
        </w:rPr>
        <w:t>, 1999)</w:t>
      </w:r>
      <w:r w:rsidR="000028DE" w:rsidRPr="00833964">
        <w:rPr>
          <w:rFonts w:ascii="Times New Roman" w:hAnsi="Times New Roman" w:cs="Times New Roman"/>
        </w:rPr>
        <w:t xml:space="preserve">, a vjera u mogućnost transfera znanja leži u samom srcu našeg obrazovnog sustava. </w:t>
      </w:r>
      <w:r w:rsidR="00E22AC0" w:rsidRPr="00833964">
        <w:rPr>
          <w:rFonts w:ascii="Times New Roman" w:hAnsi="Times New Roman" w:cs="Times New Roman"/>
        </w:rPr>
        <w:t xml:space="preserve"> </w:t>
      </w:r>
      <w:r w:rsidR="000028DE" w:rsidRPr="00833964">
        <w:rPr>
          <w:rFonts w:ascii="Times New Roman" w:hAnsi="Times New Roman" w:cs="Times New Roman"/>
        </w:rPr>
        <w:t>Cilj nam je da učenici ono što nauče prenesu u druga područja, iz jednog predmeta u drugi, iz osnovne škole u srednju i kasnije fakultet, a jednog dana  iz škole na radno mjesto i u svakodnevni život. No, koliko je to povjerenje u transfer doista opravdano? Koliko se on doista događa u našim školama?</w:t>
      </w:r>
    </w:p>
    <w:p w:rsidR="000028DE" w:rsidRPr="00833964" w:rsidRDefault="005541A8" w:rsidP="00F42B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tab/>
      </w:r>
      <w:r w:rsidR="000028DE" w:rsidRPr="00833964">
        <w:rPr>
          <w:rFonts w:ascii="Times New Roman" w:hAnsi="Times New Roman" w:cs="Times New Roman"/>
        </w:rPr>
        <w:t xml:space="preserve">Još </w:t>
      </w:r>
      <w:r w:rsidR="00833964" w:rsidRPr="00833964">
        <w:rPr>
          <w:rFonts w:ascii="Times New Roman" w:hAnsi="Times New Roman" w:cs="Times New Roman"/>
        </w:rPr>
        <w:t xml:space="preserve">su </w:t>
      </w:r>
      <w:r w:rsidR="000028DE" w:rsidRPr="00833964">
        <w:rPr>
          <w:rFonts w:ascii="Times New Roman" w:hAnsi="Times New Roman" w:cs="Times New Roman"/>
        </w:rPr>
        <w:t xml:space="preserve">istraživanja psihologa s početka 20-og stoljeća, poput </w:t>
      </w:r>
      <w:r w:rsidR="00F928E0">
        <w:rPr>
          <w:rFonts w:ascii="Times New Roman" w:hAnsi="Times New Roman" w:cs="Times New Roman"/>
        </w:rPr>
        <w:t>Thorndikea i njegovih suradnika</w:t>
      </w:r>
      <w:r w:rsidR="000028DE" w:rsidRPr="00833964">
        <w:rPr>
          <w:rFonts w:ascii="Times New Roman" w:hAnsi="Times New Roman" w:cs="Times New Roman"/>
        </w:rPr>
        <w:t xml:space="preserve">, dovela do dosta pesimističnog rezultata. Tako oni </w:t>
      </w:r>
      <w:r w:rsidR="000E1D8D" w:rsidRPr="00833964">
        <w:rPr>
          <w:rFonts w:ascii="Times New Roman" w:hAnsi="Times New Roman" w:cs="Times New Roman"/>
        </w:rPr>
        <w:t xml:space="preserve">su oni um prozvali </w:t>
      </w:r>
      <w:r w:rsidR="00B42BEA" w:rsidRPr="00833964">
        <w:rPr>
          <w:rFonts w:ascii="Times New Roman" w:hAnsi="Times New Roman" w:cs="Times New Roman"/>
        </w:rPr>
        <w:t>„</w:t>
      </w:r>
      <w:r w:rsidR="000E1D8D" w:rsidRPr="00833964">
        <w:rPr>
          <w:rFonts w:ascii="Times New Roman" w:hAnsi="Times New Roman" w:cs="Times New Roman"/>
        </w:rPr>
        <w:t>strojem koji stvara određene reakcije na određene situacije</w:t>
      </w:r>
      <w:r w:rsidR="00B42BEA" w:rsidRPr="00833964">
        <w:rPr>
          <w:rFonts w:ascii="Times New Roman" w:hAnsi="Times New Roman" w:cs="Times New Roman"/>
        </w:rPr>
        <w:t>“</w:t>
      </w:r>
      <w:r w:rsidR="003766A3">
        <w:rPr>
          <w:rFonts w:ascii="Times New Roman" w:hAnsi="Times New Roman" w:cs="Times New Roman"/>
        </w:rPr>
        <w:t xml:space="preserve"> (Thorndike &amp;</w:t>
      </w:r>
      <w:r w:rsidR="000E1D8D" w:rsidRPr="00833964">
        <w:rPr>
          <w:rFonts w:ascii="Times New Roman" w:hAnsi="Times New Roman" w:cs="Times New Roman"/>
        </w:rPr>
        <w:t xml:space="preserve"> Woodworth, 1901), te su smatrali da </w:t>
      </w:r>
      <w:r w:rsidR="00E34B0B" w:rsidRPr="00833964">
        <w:rPr>
          <w:rFonts w:ascii="Times New Roman" w:hAnsi="Times New Roman" w:cs="Times New Roman"/>
        </w:rPr>
        <w:t xml:space="preserve">je </w:t>
      </w:r>
      <w:r w:rsidR="000E1D8D" w:rsidRPr="00833964">
        <w:rPr>
          <w:rFonts w:ascii="Times New Roman" w:hAnsi="Times New Roman" w:cs="Times New Roman"/>
        </w:rPr>
        <w:t xml:space="preserve">rad </w:t>
      </w:r>
      <w:r w:rsidR="00E34B0B" w:rsidRPr="00833964">
        <w:rPr>
          <w:rFonts w:ascii="Times New Roman" w:hAnsi="Times New Roman" w:cs="Times New Roman"/>
        </w:rPr>
        <w:t>svake mentalne funkcije određen</w:t>
      </w:r>
      <w:r w:rsidR="000E1D8D" w:rsidRPr="00833964">
        <w:rPr>
          <w:rFonts w:ascii="Times New Roman" w:hAnsi="Times New Roman" w:cs="Times New Roman"/>
        </w:rPr>
        <w:t xml:space="preserve"> prirodom podataka svakog pojedinačnog slučaja. </w:t>
      </w:r>
    </w:p>
    <w:p w:rsidR="000E1D8D" w:rsidRPr="00833964" w:rsidRDefault="00D1363C" w:rsidP="00542D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E1D8D" w:rsidRPr="00833964">
        <w:rPr>
          <w:rFonts w:ascii="Times New Roman" w:hAnsi="Times New Roman" w:cs="Times New Roman"/>
        </w:rPr>
        <w:t>Prema Bransford</w:t>
      </w:r>
      <w:r w:rsidR="00F42B0B">
        <w:rPr>
          <w:rFonts w:ascii="Times New Roman" w:hAnsi="Times New Roman" w:cs="Times New Roman"/>
        </w:rPr>
        <w:t>u</w:t>
      </w:r>
      <w:r w:rsidR="003766A3">
        <w:rPr>
          <w:rFonts w:ascii="Times New Roman" w:hAnsi="Times New Roman" w:cs="Times New Roman"/>
        </w:rPr>
        <w:t xml:space="preserve"> i</w:t>
      </w:r>
      <w:r w:rsidR="00E34B0B" w:rsidRPr="00833964">
        <w:rPr>
          <w:rFonts w:ascii="Times New Roman" w:hAnsi="Times New Roman" w:cs="Times New Roman"/>
        </w:rPr>
        <w:t xml:space="preserve"> Schwartz</w:t>
      </w:r>
      <w:r w:rsidR="00F42B0B">
        <w:rPr>
          <w:rFonts w:ascii="Times New Roman" w:hAnsi="Times New Roman" w:cs="Times New Roman"/>
        </w:rPr>
        <w:t>u</w:t>
      </w:r>
      <w:r w:rsidR="00E34B0B" w:rsidRPr="00833964">
        <w:rPr>
          <w:rFonts w:ascii="Times New Roman" w:hAnsi="Times New Roman" w:cs="Times New Roman"/>
        </w:rPr>
        <w:t xml:space="preserve"> ( 2001) novija istraživanja transfera dala su sljedeće rezultate:</w:t>
      </w:r>
    </w:p>
    <w:p w:rsidR="00E34B0B" w:rsidRPr="00833964" w:rsidRDefault="00E34B0B" w:rsidP="00542D3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t>za uspješan transfer znanj</w:t>
      </w:r>
      <w:r w:rsidR="00C70003" w:rsidRPr="00833964">
        <w:rPr>
          <w:rFonts w:ascii="Times New Roman" w:hAnsi="Times New Roman" w:cs="Times New Roman"/>
        </w:rPr>
        <w:t>a</w:t>
      </w:r>
      <w:r w:rsidRPr="00833964">
        <w:rPr>
          <w:rFonts w:ascii="Times New Roman" w:hAnsi="Times New Roman" w:cs="Times New Roman"/>
        </w:rPr>
        <w:t xml:space="preserve"> potrebno je da znanje </w:t>
      </w:r>
      <w:r w:rsidR="00C70003" w:rsidRPr="00833964">
        <w:rPr>
          <w:rFonts w:ascii="Times New Roman" w:hAnsi="Times New Roman" w:cs="Times New Roman"/>
        </w:rPr>
        <w:t xml:space="preserve">početno </w:t>
      </w:r>
      <w:r w:rsidRPr="00833964">
        <w:rPr>
          <w:rFonts w:ascii="Times New Roman" w:hAnsi="Times New Roman" w:cs="Times New Roman"/>
        </w:rPr>
        <w:t>bude dobro usvojeno</w:t>
      </w:r>
      <w:r w:rsidR="00C70003" w:rsidRPr="00833964">
        <w:rPr>
          <w:rFonts w:ascii="Times New Roman" w:hAnsi="Times New Roman" w:cs="Times New Roman"/>
        </w:rPr>
        <w:t xml:space="preserve"> u prvom kontekstu u kojem se uči</w:t>
      </w:r>
      <w:r w:rsidR="00F928E0">
        <w:rPr>
          <w:rFonts w:ascii="Times New Roman" w:hAnsi="Times New Roman" w:cs="Times New Roman"/>
        </w:rPr>
        <w:t>,</w:t>
      </w:r>
      <w:r w:rsidRPr="00833964">
        <w:rPr>
          <w:rFonts w:ascii="Times New Roman" w:hAnsi="Times New Roman" w:cs="Times New Roman"/>
        </w:rPr>
        <w:t xml:space="preserve"> </w:t>
      </w:r>
    </w:p>
    <w:p w:rsidR="00C70003" w:rsidRPr="00833964" w:rsidRDefault="00C70003" w:rsidP="00542D3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t>način na koji se znanje usvaja također utječe na kasniji tra</w:t>
      </w:r>
      <w:r w:rsidR="00F42B0B">
        <w:rPr>
          <w:rFonts w:ascii="Times New Roman" w:hAnsi="Times New Roman" w:cs="Times New Roman"/>
        </w:rPr>
        <w:t>nsfer – učenje s razumijevanjem</w:t>
      </w:r>
      <w:r w:rsidRPr="00833964">
        <w:rPr>
          <w:rFonts w:ascii="Times New Roman" w:hAnsi="Times New Roman" w:cs="Times New Roman"/>
        </w:rPr>
        <w:t>, te konceptualni pristup</w:t>
      </w:r>
      <w:r w:rsidR="00F42B0B">
        <w:rPr>
          <w:rFonts w:ascii="Times New Roman" w:hAnsi="Times New Roman" w:cs="Times New Roman"/>
        </w:rPr>
        <w:t>,</w:t>
      </w:r>
      <w:r w:rsidRPr="00833964">
        <w:rPr>
          <w:rFonts w:ascii="Times New Roman" w:hAnsi="Times New Roman" w:cs="Times New Roman"/>
        </w:rPr>
        <w:t xml:space="preserve"> olakšavaju prenošenje znanja u druge kontekste</w:t>
      </w:r>
      <w:r w:rsidR="00F928E0">
        <w:rPr>
          <w:rFonts w:ascii="Times New Roman" w:hAnsi="Times New Roman" w:cs="Times New Roman"/>
        </w:rPr>
        <w:t>,</w:t>
      </w:r>
    </w:p>
    <w:p w:rsidR="00C70003" w:rsidRPr="00833964" w:rsidRDefault="00C70003" w:rsidP="00542D3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t>prezentiranje koncepata u različitim kontekstima tijekom učenja također olakšava kasniji transfer, kao i razmatranje problema iz različitih perspektiva</w:t>
      </w:r>
      <w:r w:rsidR="00F928E0">
        <w:rPr>
          <w:rFonts w:ascii="Times New Roman" w:hAnsi="Times New Roman" w:cs="Times New Roman"/>
        </w:rPr>
        <w:t>,</w:t>
      </w:r>
    </w:p>
    <w:p w:rsidR="00514829" w:rsidRPr="00833964" w:rsidRDefault="003055C8" w:rsidP="00542D3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t xml:space="preserve">naglasak u nastavi na metakognitivnim aktivnostima poput razmišljanja o vlastitim strategijama učenja i rješavanja zadataka povećava </w:t>
      </w:r>
      <w:r w:rsidR="00E837CD" w:rsidRPr="00833964">
        <w:rPr>
          <w:rFonts w:ascii="Times New Roman" w:hAnsi="Times New Roman" w:cs="Times New Roman"/>
        </w:rPr>
        <w:t xml:space="preserve">vjerojatnost </w:t>
      </w:r>
      <w:r w:rsidRPr="00833964">
        <w:rPr>
          <w:rFonts w:ascii="Times New Roman" w:hAnsi="Times New Roman" w:cs="Times New Roman"/>
        </w:rPr>
        <w:t>transfer</w:t>
      </w:r>
      <w:r w:rsidR="00E837CD" w:rsidRPr="00833964">
        <w:rPr>
          <w:rFonts w:ascii="Times New Roman" w:hAnsi="Times New Roman" w:cs="Times New Roman"/>
        </w:rPr>
        <w:t>a</w:t>
      </w:r>
      <w:r w:rsidR="00F928E0">
        <w:rPr>
          <w:rFonts w:ascii="Times New Roman" w:hAnsi="Times New Roman" w:cs="Times New Roman"/>
        </w:rPr>
        <w:t>.</w:t>
      </w:r>
    </w:p>
    <w:p w:rsidR="00514829" w:rsidRPr="00833964" w:rsidRDefault="00514829" w:rsidP="00542D33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514829" w:rsidRDefault="00511A7E" w:rsidP="00542D3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tab/>
      </w:r>
      <w:r w:rsidR="00514829" w:rsidRPr="00833964">
        <w:rPr>
          <w:rFonts w:ascii="Times New Roman" w:hAnsi="Times New Roman" w:cs="Times New Roman"/>
        </w:rPr>
        <w:t xml:space="preserve">Ipak, istraživači upozoravaju da je transfer zapravo relativno rijetka pojava, te postoji mnogo studija koje ukazuju na to da se očekivani transfer nije dogodio. Poneki istraživači čak </w:t>
      </w:r>
      <w:r w:rsidR="00720375" w:rsidRPr="00833964">
        <w:rPr>
          <w:rFonts w:ascii="Times New Roman" w:hAnsi="Times New Roman" w:cs="Times New Roman"/>
        </w:rPr>
        <w:t xml:space="preserve">smatraju da se o znanju i sposobnostima ne može govoriti kao o jedinicama koje se stječu, manipuliraju ili prenose kao cjeline, jer se one sastoje od mnoštva zasebnih resursa,  </w:t>
      </w:r>
      <w:r w:rsidR="00514829" w:rsidRPr="00833964">
        <w:rPr>
          <w:rFonts w:ascii="Times New Roman" w:hAnsi="Times New Roman" w:cs="Times New Roman"/>
        </w:rPr>
        <w:t>te umjesto toga govore o aktivaciji resursa (</w:t>
      </w:r>
      <w:r w:rsidR="00514829" w:rsidRPr="00833964">
        <w:rPr>
          <w:rFonts w:ascii="Times New Roman" w:hAnsi="Times New Roman" w:cs="Times New Roman"/>
          <w:lang w:val="en-US"/>
        </w:rPr>
        <w:t xml:space="preserve">Hammer, </w:t>
      </w:r>
      <w:proofErr w:type="spellStart"/>
      <w:r w:rsidR="00514829" w:rsidRPr="00833964">
        <w:rPr>
          <w:rFonts w:ascii="Times New Roman" w:hAnsi="Times New Roman" w:cs="Times New Roman"/>
          <w:lang w:val="en-US"/>
        </w:rPr>
        <w:t>Elby</w:t>
      </w:r>
      <w:proofErr w:type="spellEnd"/>
      <w:r w:rsidR="00514829" w:rsidRPr="00833964">
        <w:rPr>
          <w:rFonts w:ascii="Times New Roman" w:hAnsi="Times New Roman" w:cs="Times New Roman"/>
          <w:lang w:val="en-US"/>
        </w:rPr>
        <w:t xml:space="preserve">,  </w:t>
      </w:r>
      <w:proofErr w:type="spellStart"/>
      <w:r w:rsidR="00514829" w:rsidRPr="00833964">
        <w:rPr>
          <w:rFonts w:ascii="Times New Roman" w:hAnsi="Times New Roman" w:cs="Times New Roman"/>
          <w:lang w:val="en-US"/>
        </w:rPr>
        <w:t>Scherr</w:t>
      </w:r>
      <w:proofErr w:type="spellEnd"/>
      <w:r w:rsidR="00514829" w:rsidRPr="00833964">
        <w:rPr>
          <w:rFonts w:ascii="Times New Roman" w:hAnsi="Times New Roman" w:cs="Times New Roman"/>
          <w:lang w:val="en-US"/>
        </w:rPr>
        <w:t xml:space="preserve">, and </w:t>
      </w:r>
      <w:proofErr w:type="spellStart"/>
      <w:r w:rsidR="00514829" w:rsidRPr="00833964">
        <w:rPr>
          <w:rFonts w:ascii="Times New Roman" w:hAnsi="Times New Roman" w:cs="Times New Roman"/>
          <w:lang w:val="en-US"/>
        </w:rPr>
        <w:t>Redish</w:t>
      </w:r>
      <w:proofErr w:type="spellEnd"/>
      <w:r w:rsidR="00514829" w:rsidRPr="00833964">
        <w:rPr>
          <w:rFonts w:ascii="Times New Roman" w:hAnsi="Times New Roman" w:cs="Times New Roman"/>
          <w:lang w:val="en-US"/>
        </w:rPr>
        <w:t>, 2005)</w:t>
      </w:r>
      <w:r w:rsidR="007820CE" w:rsidRPr="00833964">
        <w:rPr>
          <w:rFonts w:ascii="Times New Roman" w:hAnsi="Times New Roman" w:cs="Times New Roman"/>
          <w:lang w:val="en-US"/>
        </w:rPr>
        <w:t xml:space="preserve">. </w:t>
      </w:r>
      <w:r w:rsidR="007820CE" w:rsidRPr="00833964">
        <w:rPr>
          <w:rFonts w:ascii="Times New Roman" w:hAnsi="Times New Roman" w:cs="Times New Roman"/>
        </w:rPr>
        <w:t>Pojam transfera zadržavaju samo za lokalno koherentne skupove resursa</w:t>
      </w:r>
      <w:r w:rsidR="00F42B0B">
        <w:rPr>
          <w:rFonts w:ascii="Times New Roman" w:hAnsi="Times New Roman" w:cs="Times New Roman"/>
        </w:rPr>
        <w:t>,</w:t>
      </w:r>
      <w:r w:rsidR="007820CE" w:rsidRPr="00833964">
        <w:rPr>
          <w:rFonts w:ascii="Times New Roman" w:hAnsi="Times New Roman" w:cs="Times New Roman"/>
        </w:rPr>
        <w:t xml:space="preserve"> koji se aktiviraju zajedno. Smatraju da </w:t>
      </w:r>
      <w:r w:rsidRPr="00833964">
        <w:rPr>
          <w:rFonts w:ascii="Times New Roman" w:hAnsi="Times New Roman" w:cs="Times New Roman"/>
        </w:rPr>
        <w:t>aktiviranje resursa u pojedinoj situaciji</w:t>
      </w:r>
      <w:r w:rsidR="007820CE" w:rsidRPr="00833964">
        <w:rPr>
          <w:rFonts w:ascii="Times New Roman" w:hAnsi="Times New Roman" w:cs="Times New Roman"/>
        </w:rPr>
        <w:t xml:space="preserve"> ovisi o tome kako učenici ili studenti prepoznaju određeni problem, te u koju </w:t>
      </w:r>
      <w:r w:rsidR="00F42B0B" w:rsidRPr="00833964">
        <w:rPr>
          <w:rFonts w:ascii="Times New Roman" w:hAnsi="Times New Roman" w:cs="Times New Roman"/>
        </w:rPr>
        <w:t xml:space="preserve">ga </w:t>
      </w:r>
      <w:r w:rsidR="007820CE" w:rsidRPr="00833964">
        <w:rPr>
          <w:rFonts w:ascii="Times New Roman" w:hAnsi="Times New Roman" w:cs="Times New Roman"/>
        </w:rPr>
        <w:t>grupu problema svrstaju (</w:t>
      </w:r>
      <w:r w:rsidR="007678FE" w:rsidRPr="00833964">
        <w:rPr>
          <w:rFonts w:ascii="Times New Roman" w:hAnsi="Times New Roman" w:cs="Times New Roman"/>
        </w:rPr>
        <w:t xml:space="preserve">engl. </w:t>
      </w:r>
      <w:r w:rsidR="007820CE" w:rsidRPr="00833964">
        <w:rPr>
          <w:rFonts w:ascii="Times New Roman" w:hAnsi="Times New Roman" w:cs="Times New Roman"/>
        </w:rPr>
        <w:t>framing)</w:t>
      </w:r>
      <w:r w:rsidR="00A521E0" w:rsidRPr="00833964">
        <w:rPr>
          <w:rFonts w:ascii="Times New Roman" w:hAnsi="Times New Roman" w:cs="Times New Roman"/>
        </w:rPr>
        <w:t xml:space="preserve">, </w:t>
      </w:r>
      <w:r w:rsidRPr="00833964">
        <w:rPr>
          <w:rFonts w:ascii="Times New Roman" w:hAnsi="Times New Roman" w:cs="Times New Roman"/>
        </w:rPr>
        <w:t xml:space="preserve">odnosno </w:t>
      </w:r>
      <w:r w:rsidR="00A521E0" w:rsidRPr="00833964">
        <w:rPr>
          <w:rFonts w:ascii="Times New Roman" w:hAnsi="Times New Roman" w:cs="Times New Roman"/>
        </w:rPr>
        <w:t>kako ga kategoriziraju</w:t>
      </w:r>
      <w:r w:rsidR="007820CE" w:rsidRPr="00833964">
        <w:rPr>
          <w:rFonts w:ascii="Times New Roman" w:hAnsi="Times New Roman" w:cs="Times New Roman"/>
        </w:rPr>
        <w:t>.</w:t>
      </w:r>
      <w:r w:rsidR="00720375" w:rsidRPr="00833964">
        <w:rPr>
          <w:rFonts w:ascii="Times New Roman" w:hAnsi="Times New Roman" w:cs="Times New Roman"/>
        </w:rPr>
        <w:t xml:space="preserve"> Učenici moraju prvo interpretirati situaciju i odlučiti koje vrste resursa zahtijeva određeni problem</w:t>
      </w:r>
      <w:r w:rsidR="0042728E" w:rsidRPr="00833964">
        <w:rPr>
          <w:rFonts w:ascii="Times New Roman" w:hAnsi="Times New Roman" w:cs="Times New Roman"/>
        </w:rPr>
        <w:t>, kako bi ih onda i aktivirali.</w:t>
      </w:r>
    </w:p>
    <w:p w:rsidR="007678FE" w:rsidRPr="00833964" w:rsidRDefault="00511A7E" w:rsidP="00542D3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lastRenderedPageBreak/>
        <w:tab/>
      </w:r>
      <w:r w:rsidR="007678FE" w:rsidRPr="00833964">
        <w:rPr>
          <w:rFonts w:ascii="Times New Roman" w:hAnsi="Times New Roman" w:cs="Times New Roman"/>
        </w:rPr>
        <w:t>No, Bransford i Schwartz sugeriraju da se transfer znanja može manifestirati ne samo kroz njihovu direktnu primjenu u  rješavanju problema u drugom kontekstu</w:t>
      </w:r>
      <w:r w:rsidR="00833964" w:rsidRPr="00833964">
        <w:rPr>
          <w:rFonts w:ascii="Times New Roman" w:hAnsi="Times New Roman" w:cs="Times New Roman"/>
        </w:rPr>
        <w:t>,</w:t>
      </w:r>
      <w:r w:rsidR="007678FE" w:rsidRPr="00833964">
        <w:rPr>
          <w:rFonts w:ascii="Times New Roman" w:hAnsi="Times New Roman" w:cs="Times New Roman"/>
        </w:rPr>
        <w:t xml:space="preserve"> nego i kao poveć</w:t>
      </w:r>
      <w:r w:rsidR="00A521E0" w:rsidRPr="00833964">
        <w:rPr>
          <w:rFonts w:ascii="Times New Roman" w:hAnsi="Times New Roman" w:cs="Times New Roman"/>
        </w:rPr>
        <w:t>avanje sposobnosti</w:t>
      </w:r>
      <w:r w:rsidR="00F42B0B">
        <w:rPr>
          <w:rFonts w:ascii="Times New Roman" w:hAnsi="Times New Roman" w:cs="Times New Roman"/>
        </w:rPr>
        <w:t xml:space="preserve"> za učenje</w:t>
      </w:r>
      <w:r w:rsidR="00A521E0" w:rsidRPr="00833964">
        <w:rPr>
          <w:rFonts w:ascii="Times New Roman" w:hAnsi="Times New Roman" w:cs="Times New Roman"/>
        </w:rPr>
        <w:t xml:space="preserve">  ili pripremu</w:t>
      </w:r>
      <w:r w:rsidR="007678FE" w:rsidRPr="00833964">
        <w:rPr>
          <w:rFonts w:ascii="Times New Roman" w:hAnsi="Times New Roman" w:cs="Times New Roman"/>
        </w:rPr>
        <w:t xml:space="preserve"> za buduće učenje. </w:t>
      </w:r>
      <w:r w:rsidR="009B5F01" w:rsidRPr="00833964">
        <w:rPr>
          <w:rFonts w:ascii="Times New Roman" w:hAnsi="Times New Roman" w:cs="Times New Roman"/>
        </w:rPr>
        <w:t xml:space="preserve"> Često puta učenici padaju na testu direktne primjene znanja, ali to ne znači da učenje uopće </w:t>
      </w:r>
      <w:r w:rsidR="00F42B0B" w:rsidRPr="00833964">
        <w:rPr>
          <w:rFonts w:ascii="Times New Roman" w:hAnsi="Times New Roman" w:cs="Times New Roman"/>
        </w:rPr>
        <w:t xml:space="preserve">nije </w:t>
      </w:r>
      <w:r w:rsidR="009B5F01" w:rsidRPr="00833964">
        <w:rPr>
          <w:rFonts w:ascii="Times New Roman" w:hAnsi="Times New Roman" w:cs="Times New Roman"/>
        </w:rPr>
        <w:t xml:space="preserve">bilo uspješno. Njihovo </w:t>
      </w:r>
      <w:r w:rsidR="00A521E0" w:rsidRPr="00833964">
        <w:rPr>
          <w:rFonts w:ascii="Times New Roman" w:hAnsi="Times New Roman" w:cs="Times New Roman"/>
        </w:rPr>
        <w:t xml:space="preserve">se </w:t>
      </w:r>
      <w:r w:rsidR="009B5F01" w:rsidRPr="00833964">
        <w:rPr>
          <w:rFonts w:ascii="Times New Roman" w:hAnsi="Times New Roman" w:cs="Times New Roman"/>
        </w:rPr>
        <w:t>znanje može očitovati kroz postavljanje pravih pitanja, potrage za dodatnim znanjima</w:t>
      </w:r>
      <w:r w:rsidR="00A521E0" w:rsidRPr="00833964">
        <w:rPr>
          <w:rFonts w:ascii="Times New Roman" w:hAnsi="Times New Roman" w:cs="Times New Roman"/>
        </w:rPr>
        <w:t>,</w:t>
      </w:r>
      <w:r w:rsidR="009B5F01" w:rsidRPr="00833964">
        <w:rPr>
          <w:rFonts w:ascii="Times New Roman" w:hAnsi="Times New Roman" w:cs="Times New Roman"/>
        </w:rPr>
        <w:t xml:space="preserve"> jednom riječju sposobnosti da krenu u daljnje učenje.  Transfer se tada očituje kao svojevrsno preobražavanje krajolika uma (</w:t>
      </w:r>
      <w:r w:rsidRPr="00833964">
        <w:rPr>
          <w:rFonts w:ascii="Times New Roman" w:hAnsi="Times New Roman" w:cs="Times New Roman"/>
        </w:rPr>
        <w:t xml:space="preserve">engl. </w:t>
      </w:r>
      <w:r w:rsidR="009B5F01" w:rsidRPr="00833964">
        <w:rPr>
          <w:rFonts w:ascii="Times New Roman" w:hAnsi="Times New Roman" w:cs="Times New Roman"/>
        </w:rPr>
        <w:t>mindscape), koje omogućava uspješnije daljnje učenje.</w:t>
      </w:r>
    </w:p>
    <w:p w:rsidR="00A521E0" w:rsidRPr="00833964" w:rsidRDefault="00511A7E" w:rsidP="00542D3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tab/>
      </w:r>
      <w:r w:rsidR="00A521E0" w:rsidRPr="00833964">
        <w:rPr>
          <w:rFonts w:ascii="Times New Roman" w:hAnsi="Times New Roman" w:cs="Times New Roman"/>
        </w:rPr>
        <w:t>Grafovi su zanimljivi za pr</w:t>
      </w:r>
      <w:r w:rsidR="0015195E" w:rsidRPr="00833964">
        <w:rPr>
          <w:rFonts w:ascii="Times New Roman" w:hAnsi="Times New Roman" w:cs="Times New Roman"/>
        </w:rPr>
        <w:t>oučavanje transfera znanja</w:t>
      </w:r>
      <w:r w:rsidR="00F42B0B">
        <w:rPr>
          <w:rFonts w:ascii="Times New Roman" w:hAnsi="Times New Roman" w:cs="Times New Roman"/>
        </w:rPr>
        <w:t xml:space="preserve">, </w:t>
      </w:r>
      <w:r w:rsidR="0015195E" w:rsidRPr="00833964">
        <w:rPr>
          <w:rFonts w:ascii="Times New Roman" w:hAnsi="Times New Roman" w:cs="Times New Roman"/>
        </w:rPr>
        <w:t xml:space="preserve">a i dobar </w:t>
      </w:r>
      <w:r w:rsidR="00F42B0B">
        <w:rPr>
          <w:rFonts w:ascii="Times New Roman" w:hAnsi="Times New Roman" w:cs="Times New Roman"/>
        </w:rPr>
        <w:t xml:space="preserve">su </w:t>
      </w:r>
      <w:r w:rsidR="0015195E" w:rsidRPr="00833964">
        <w:rPr>
          <w:rFonts w:ascii="Times New Roman" w:hAnsi="Times New Roman" w:cs="Times New Roman"/>
        </w:rPr>
        <w:t xml:space="preserve">primjer interdisciplinarnosti, </w:t>
      </w:r>
      <w:r w:rsidR="00A521E0" w:rsidRPr="00833964">
        <w:rPr>
          <w:rFonts w:ascii="Times New Roman" w:hAnsi="Times New Roman" w:cs="Times New Roman"/>
        </w:rPr>
        <w:t xml:space="preserve">jer  se uče </w:t>
      </w:r>
      <w:r w:rsidR="00AD0DAD" w:rsidRPr="00833964">
        <w:rPr>
          <w:rFonts w:ascii="Times New Roman" w:hAnsi="Times New Roman" w:cs="Times New Roman"/>
        </w:rPr>
        <w:t xml:space="preserve">i </w:t>
      </w:r>
      <w:r w:rsidR="00A521E0" w:rsidRPr="00833964">
        <w:rPr>
          <w:rFonts w:ascii="Times New Roman" w:hAnsi="Times New Roman" w:cs="Times New Roman"/>
        </w:rPr>
        <w:t>u matematici i u fizici, a koriste se i u brojnim drugim disciplinama, pa i u svakodnevnom životu. Grupa z</w:t>
      </w:r>
      <w:r w:rsidR="00873614">
        <w:rPr>
          <w:rFonts w:ascii="Times New Roman" w:hAnsi="Times New Roman" w:cs="Times New Roman"/>
        </w:rPr>
        <w:t>a metodiku nastave fizike pri Fizičkom odsjeku</w:t>
      </w:r>
      <w:r w:rsidR="00A521E0" w:rsidRPr="00833964">
        <w:rPr>
          <w:rFonts w:ascii="Times New Roman" w:hAnsi="Times New Roman" w:cs="Times New Roman"/>
        </w:rPr>
        <w:t xml:space="preserve"> PMF-a u Zagrebu </w:t>
      </w:r>
      <w:r w:rsidR="00873614">
        <w:rPr>
          <w:rFonts w:ascii="Times New Roman" w:hAnsi="Times New Roman" w:cs="Times New Roman"/>
        </w:rPr>
        <w:t xml:space="preserve">u suradnji s prof. dr. sc. </w:t>
      </w:r>
      <w:r w:rsidR="00F928E0">
        <w:rPr>
          <w:rFonts w:ascii="Times New Roman" w:hAnsi="Times New Roman" w:cs="Times New Roman"/>
        </w:rPr>
        <w:t xml:space="preserve">Ž. </w:t>
      </w:r>
      <w:r w:rsidR="00873614">
        <w:rPr>
          <w:rFonts w:ascii="Times New Roman" w:hAnsi="Times New Roman" w:cs="Times New Roman"/>
        </w:rPr>
        <w:t xml:space="preserve">Milin-Šipuš s Matematičkog odsjeka PMF-a u Zagrebu </w:t>
      </w:r>
      <w:r w:rsidR="00A521E0" w:rsidRPr="00833964">
        <w:rPr>
          <w:rFonts w:ascii="Times New Roman" w:hAnsi="Times New Roman" w:cs="Times New Roman"/>
        </w:rPr>
        <w:t xml:space="preserve">provela je istraživanje na </w:t>
      </w:r>
      <w:r w:rsidR="008554D6" w:rsidRPr="00833964">
        <w:rPr>
          <w:rFonts w:ascii="Times New Roman" w:hAnsi="Times New Roman" w:cs="Times New Roman"/>
        </w:rPr>
        <w:t xml:space="preserve">114 </w:t>
      </w:r>
      <w:r w:rsidR="00A521E0" w:rsidRPr="00833964">
        <w:rPr>
          <w:rFonts w:ascii="Times New Roman" w:hAnsi="Times New Roman" w:cs="Times New Roman"/>
        </w:rPr>
        <w:t>uč</w:t>
      </w:r>
      <w:r w:rsidR="008554D6" w:rsidRPr="00833964">
        <w:rPr>
          <w:rFonts w:ascii="Times New Roman" w:hAnsi="Times New Roman" w:cs="Times New Roman"/>
        </w:rPr>
        <w:t>enika</w:t>
      </w:r>
      <w:r w:rsidR="00A521E0" w:rsidRPr="00833964">
        <w:rPr>
          <w:rFonts w:ascii="Times New Roman" w:hAnsi="Times New Roman" w:cs="Times New Roman"/>
        </w:rPr>
        <w:t xml:space="preserve"> </w:t>
      </w:r>
      <w:r w:rsidR="008554D6" w:rsidRPr="00833964">
        <w:rPr>
          <w:rFonts w:ascii="Times New Roman" w:hAnsi="Times New Roman" w:cs="Times New Roman"/>
        </w:rPr>
        <w:t>(</w:t>
      </w:r>
      <w:r w:rsidRPr="00833964">
        <w:rPr>
          <w:rFonts w:ascii="Times New Roman" w:hAnsi="Times New Roman" w:cs="Times New Roman"/>
        </w:rPr>
        <w:t xml:space="preserve">93 učenika drugog razreda gimnazija i </w:t>
      </w:r>
      <w:r w:rsidR="008554D6" w:rsidRPr="00833964">
        <w:rPr>
          <w:rFonts w:ascii="Times New Roman" w:hAnsi="Times New Roman" w:cs="Times New Roman"/>
        </w:rPr>
        <w:t>21 učenik iz srednje</w:t>
      </w:r>
      <w:r w:rsidR="00A521E0" w:rsidRPr="00833964">
        <w:rPr>
          <w:rFonts w:ascii="Times New Roman" w:hAnsi="Times New Roman" w:cs="Times New Roman"/>
        </w:rPr>
        <w:t xml:space="preserve"> </w:t>
      </w:r>
      <w:r w:rsidR="008554D6" w:rsidRPr="00833964">
        <w:rPr>
          <w:rFonts w:ascii="Times New Roman" w:hAnsi="Times New Roman" w:cs="Times New Roman"/>
        </w:rPr>
        <w:t xml:space="preserve">tehničke </w:t>
      </w:r>
      <w:r w:rsidR="00A521E0" w:rsidRPr="00833964">
        <w:rPr>
          <w:rFonts w:ascii="Times New Roman" w:hAnsi="Times New Roman" w:cs="Times New Roman"/>
        </w:rPr>
        <w:t>škole</w:t>
      </w:r>
      <w:r w:rsidR="008554D6" w:rsidRPr="00833964">
        <w:rPr>
          <w:rFonts w:ascii="Times New Roman" w:hAnsi="Times New Roman" w:cs="Times New Roman"/>
        </w:rPr>
        <w:t>)</w:t>
      </w:r>
      <w:r w:rsidR="00A521E0" w:rsidRPr="00833964">
        <w:rPr>
          <w:rFonts w:ascii="Times New Roman" w:hAnsi="Times New Roman" w:cs="Times New Roman"/>
        </w:rPr>
        <w:t xml:space="preserve">. Sastavljeni su parovi paralelnih zadataka iz matematike i fizike – očekivani matematički postupak u oba zadatka koja su činila par bio je jednak, no kontekst je bio različit. </w:t>
      </w:r>
      <w:r w:rsidR="00F42B0B">
        <w:rPr>
          <w:rFonts w:ascii="Times New Roman" w:hAnsi="Times New Roman" w:cs="Times New Roman"/>
        </w:rPr>
        <w:t>Jedan primjer</w:t>
      </w:r>
      <w:r w:rsidR="00393644" w:rsidRPr="00833964">
        <w:rPr>
          <w:rFonts w:ascii="Times New Roman" w:hAnsi="Times New Roman" w:cs="Times New Roman"/>
        </w:rPr>
        <w:t xml:space="preserve"> takvog para zadataka</w:t>
      </w:r>
      <w:r w:rsidR="00AD0DAD" w:rsidRPr="00833964">
        <w:rPr>
          <w:rFonts w:ascii="Times New Roman" w:hAnsi="Times New Roman" w:cs="Times New Roman"/>
        </w:rPr>
        <w:t xml:space="preserve"> </w:t>
      </w:r>
      <w:r w:rsidR="00F42B0B">
        <w:rPr>
          <w:rFonts w:ascii="Times New Roman" w:hAnsi="Times New Roman" w:cs="Times New Roman"/>
        </w:rPr>
        <w:t xml:space="preserve">dan je </w:t>
      </w:r>
      <w:r w:rsidR="00AD0DAD" w:rsidRPr="00833964">
        <w:rPr>
          <w:rFonts w:ascii="Times New Roman" w:hAnsi="Times New Roman" w:cs="Times New Roman"/>
        </w:rPr>
        <w:t>na Slici 1</w:t>
      </w:r>
      <w:r w:rsidR="00393644" w:rsidRPr="00833964">
        <w:rPr>
          <w:rFonts w:ascii="Times New Roman" w:hAnsi="Times New Roman" w:cs="Times New Roman"/>
        </w:rPr>
        <w:t xml:space="preserve"> (Planinić i sur., 2012)</w:t>
      </w:r>
      <w:r w:rsidR="00AD0DAD" w:rsidRPr="00833964">
        <w:rPr>
          <w:rFonts w:ascii="Times New Roman" w:hAnsi="Times New Roman" w:cs="Times New Roman"/>
        </w:rPr>
        <w:t xml:space="preserve">. </w:t>
      </w:r>
      <w:r w:rsidR="008554D6" w:rsidRPr="00833964">
        <w:rPr>
          <w:rFonts w:ascii="Times New Roman" w:hAnsi="Times New Roman" w:cs="Times New Roman"/>
        </w:rPr>
        <w:t xml:space="preserve">Oba se zadatka odnose na nagib grafa, no fizikalni zadatak osim opisa nagiba zahtijeva od učenika  i interpretaciju nagiba </w:t>
      </w:r>
      <w:r w:rsidR="00F42B0B">
        <w:rPr>
          <w:rFonts w:ascii="Times New Roman" w:hAnsi="Times New Roman" w:cs="Times New Roman"/>
        </w:rPr>
        <w:t xml:space="preserve">grafa </w:t>
      </w:r>
      <w:r w:rsidR="008554D6" w:rsidRPr="00833964">
        <w:rPr>
          <w:rFonts w:ascii="Times New Roman" w:hAnsi="Times New Roman" w:cs="Times New Roman"/>
        </w:rPr>
        <w:t>kao akceleracije</w:t>
      </w:r>
      <w:r w:rsidR="008B1EAC" w:rsidRPr="00833964">
        <w:rPr>
          <w:rFonts w:ascii="Times New Roman" w:hAnsi="Times New Roman" w:cs="Times New Roman"/>
        </w:rPr>
        <w:t>.  Na prošlom smo simpoziju zamolili nastavnike da ispune upitnik u kojem su trebali procijeniti očekivane težine ovi</w:t>
      </w:r>
      <w:r w:rsidRPr="00833964">
        <w:rPr>
          <w:rFonts w:ascii="Times New Roman" w:hAnsi="Times New Roman" w:cs="Times New Roman"/>
        </w:rPr>
        <w:t>h zadataka . Većina se njih</w:t>
      </w:r>
      <w:r w:rsidR="008B1EAC" w:rsidRPr="00833964">
        <w:rPr>
          <w:rFonts w:ascii="Times New Roman" w:hAnsi="Times New Roman" w:cs="Times New Roman"/>
        </w:rPr>
        <w:t xml:space="preserve"> odlučila staviti matematički zadatak ispred fizikalnog po težini, uz </w:t>
      </w:r>
      <w:r w:rsidR="0015195E" w:rsidRPr="00833964">
        <w:rPr>
          <w:rFonts w:ascii="Times New Roman" w:hAnsi="Times New Roman" w:cs="Times New Roman"/>
        </w:rPr>
        <w:t xml:space="preserve">često </w:t>
      </w:r>
      <w:r w:rsidR="008B1EAC" w:rsidRPr="00833964">
        <w:rPr>
          <w:rFonts w:ascii="Times New Roman" w:hAnsi="Times New Roman" w:cs="Times New Roman"/>
        </w:rPr>
        <w:t>obrazloženje da je matematika apstraktnija, a time i teža, dok je fizika zbog konteksta koji je učenicima bliži (gibanje)</w:t>
      </w:r>
      <w:r w:rsidR="000B0DB0" w:rsidRPr="00833964">
        <w:rPr>
          <w:rFonts w:ascii="Times New Roman" w:hAnsi="Times New Roman" w:cs="Times New Roman"/>
        </w:rPr>
        <w:t xml:space="preserve"> očekivano lakša</w:t>
      </w:r>
      <w:r w:rsidRPr="00833964">
        <w:rPr>
          <w:rFonts w:ascii="Times New Roman" w:hAnsi="Times New Roman" w:cs="Times New Roman"/>
        </w:rPr>
        <w:t xml:space="preserve"> (Plan</w:t>
      </w:r>
      <w:r w:rsidR="003766A3">
        <w:rPr>
          <w:rFonts w:ascii="Times New Roman" w:hAnsi="Times New Roman" w:cs="Times New Roman"/>
        </w:rPr>
        <w:t>inić i sur.</w:t>
      </w:r>
      <w:r w:rsidRPr="00833964">
        <w:rPr>
          <w:rFonts w:ascii="Times New Roman" w:hAnsi="Times New Roman" w:cs="Times New Roman"/>
        </w:rPr>
        <w:t>, 2012)</w:t>
      </w:r>
      <w:r w:rsidR="000B0DB0" w:rsidRPr="00833964">
        <w:rPr>
          <w:rFonts w:ascii="Times New Roman" w:hAnsi="Times New Roman" w:cs="Times New Roman"/>
        </w:rPr>
        <w:t>.</w:t>
      </w:r>
    </w:p>
    <w:p w:rsidR="002D6708" w:rsidRDefault="00B85002" w:rsidP="00542D3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tab/>
      </w:r>
      <w:r w:rsidR="00507B19" w:rsidRPr="00833964">
        <w:rPr>
          <w:rFonts w:ascii="Times New Roman" w:hAnsi="Times New Roman" w:cs="Times New Roman"/>
        </w:rPr>
        <w:t>Koliko</w:t>
      </w:r>
      <w:r w:rsidR="008B1EAC" w:rsidRPr="00833964">
        <w:rPr>
          <w:rFonts w:ascii="Times New Roman" w:hAnsi="Times New Roman" w:cs="Times New Roman"/>
        </w:rPr>
        <w:t xml:space="preserve"> su </w:t>
      </w:r>
      <w:r w:rsidR="00507B19" w:rsidRPr="00833964">
        <w:rPr>
          <w:rFonts w:ascii="Times New Roman" w:hAnsi="Times New Roman" w:cs="Times New Roman"/>
        </w:rPr>
        <w:t>uspješno ovi zadaci bili riješeni? Iznenađujuće, z</w:t>
      </w:r>
      <w:r w:rsidR="008B1EAC" w:rsidRPr="00833964">
        <w:rPr>
          <w:rFonts w:ascii="Times New Roman" w:hAnsi="Times New Roman" w:cs="Times New Roman"/>
        </w:rPr>
        <w:t xml:space="preserve">adatak iz matematike </w:t>
      </w:r>
      <w:r w:rsidR="00507B19" w:rsidRPr="00833964">
        <w:rPr>
          <w:rFonts w:ascii="Times New Roman" w:hAnsi="Times New Roman" w:cs="Times New Roman"/>
        </w:rPr>
        <w:t xml:space="preserve">točno je </w:t>
      </w:r>
      <w:r w:rsidR="008B1EAC" w:rsidRPr="00833964">
        <w:rPr>
          <w:rFonts w:ascii="Times New Roman" w:hAnsi="Times New Roman" w:cs="Times New Roman"/>
        </w:rPr>
        <w:t xml:space="preserve">riješilo 60% učenika, dok je zadatak iz fizike točno riješilo 24% učenika. </w:t>
      </w:r>
      <w:r w:rsidR="00954155" w:rsidRPr="00833964">
        <w:rPr>
          <w:rFonts w:ascii="Times New Roman" w:hAnsi="Times New Roman" w:cs="Times New Roman"/>
        </w:rPr>
        <w:t xml:space="preserve"> Glavna pogreška koju su učenici radili bila je ista u oba konteksta, a sastojala se u tome da su zamijenili nagib visinom grafa, te odabrali odgovor da se nagib/akceleracija stalno smanjuje. Ovu je pogrešku u matematici načinilo 33 %</w:t>
      </w:r>
      <w:r w:rsidR="002D6708" w:rsidRPr="00833964">
        <w:rPr>
          <w:rFonts w:ascii="Times New Roman" w:hAnsi="Times New Roman" w:cs="Times New Roman"/>
        </w:rPr>
        <w:t xml:space="preserve"> učenika, ali </w:t>
      </w:r>
      <w:r w:rsidR="00281614" w:rsidRPr="00833964">
        <w:rPr>
          <w:rFonts w:ascii="Times New Roman" w:hAnsi="Times New Roman" w:cs="Times New Roman"/>
        </w:rPr>
        <w:t xml:space="preserve">čak </w:t>
      </w:r>
      <w:r w:rsidR="002D6708" w:rsidRPr="00833964">
        <w:rPr>
          <w:rFonts w:ascii="Times New Roman" w:hAnsi="Times New Roman" w:cs="Times New Roman"/>
        </w:rPr>
        <w:t xml:space="preserve">68% </w:t>
      </w:r>
      <w:r w:rsidR="00281614" w:rsidRPr="00833964">
        <w:rPr>
          <w:rFonts w:ascii="Times New Roman" w:hAnsi="Times New Roman" w:cs="Times New Roman"/>
        </w:rPr>
        <w:t>učenika u fizici.</w:t>
      </w:r>
      <w:r w:rsidR="002D6708" w:rsidRPr="00833964">
        <w:rPr>
          <w:rFonts w:ascii="Times New Roman" w:hAnsi="Times New Roman" w:cs="Times New Roman"/>
        </w:rPr>
        <w:t xml:space="preserve"> Čak 40% učenika je </w:t>
      </w:r>
      <w:r w:rsidR="00281614" w:rsidRPr="00833964">
        <w:rPr>
          <w:rFonts w:ascii="Times New Roman" w:hAnsi="Times New Roman" w:cs="Times New Roman"/>
        </w:rPr>
        <w:t xml:space="preserve">istovremeno </w:t>
      </w:r>
      <w:r w:rsidR="002D6708" w:rsidRPr="00833964">
        <w:rPr>
          <w:rFonts w:ascii="Times New Roman" w:hAnsi="Times New Roman" w:cs="Times New Roman"/>
        </w:rPr>
        <w:t xml:space="preserve">točno riješilo matematički zadatak, ali pogrešno fizikalni. </w:t>
      </w:r>
      <w:r w:rsidR="00281614" w:rsidRPr="00833964">
        <w:rPr>
          <w:rFonts w:ascii="Times New Roman" w:hAnsi="Times New Roman" w:cs="Times New Roman"/>
        </w:rPr>
        <w:t>K</w:t>
      </w:r>
      <w:r w:rsidR="002D6708" w:rsidRPr="00833964">
        <w:rPr>
          <w:rFonts w:ascii="Times New Roman" w:hAnsi="Times New Roman" w:cs="Times New Roman"/>
        </w:rPr>
        <w:t>ako to objasniti?</w:t>
      </w:r>
    </w:p>
    <w:p w:rsidR="00752770" w:rsidRPr="00833964" w:rsidRDefault="00B85002" w:rsidP="00542D3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tab/>
      </w:r>
      <w:r w:rsidR="00281614" w:rsidRPr="00833964">
        <w:rPr>
          <w:rFonts w:ascii="Times New Roman" w:hAnsi="Times New Roman" w:cs="Times New Roman"/>
        </w:rPr>
        <w:t>Moguće je da uzrok ovoj a</w:t>
      </w:r>
      <w:r w:rsidR="00752770" w:rsidRPr="00833964">
        <w:rPr>
          <w:rFonts w:ascii="Times New Roman" w:hAnsi="Times New Roman" w:cs="Times New Roman"/>
        </w:rPr>
        <w:t xml:space="preserve">simetriji leži u tome što učenici nemaju dovoljno konceptualnog znanja iz fizike, tj. ne prepoznaju akceleraciju kao nagib </w:t>
      </w:r>
      <w:r w:rsidR="00752770" w:rsidRPr="00833964">
        <w:rPr>
          <w:rFonts w:ascii="Times New Roman" w:hAnsi="Times New Roman" w:cs="Times New Roman"/>
          <w:i/>
        </w:rPr>
        <w:t xml:space="preserve">v-t </w:t>
      </w:r>
      <w:r w:rsidR="00752770" w:rsidRPr="00833964">
        <w:rPr>
          <w:rFonts w:ascii="Times New Roman" w:hAnsi="Times New Roman" w:cs="Times New Roman"/>
        </w:rPr>
        <w:t xml:space="preserve">grafa. </w:t>
      </w:r>
      <w:r w:rsidR="00281614" w:rsidRPr="00833964">
        <w:rPr>
          <w:rFonts w:ascii="Times New Roman" w:hAnsi="Times New Roman" w:cs="Times New Roman"/>
        </w:rPr>
        <w:t xml:space="preserve">No, možda je uzrok </w:t>
      </w:r>
      <w:r w:rsidR="00752770" w:rsidRPr="00833964">
        <w:rPr>
          <w:rFonts w:ascii="Times New Roman" w:hAnsi="Times New Roman" w:cs="Times New Roman"/>
        </w:rPr>
        <w:t>u dodanom kontekstu. Pitanje je u matematici izravno postavljeno i učenici znaju što ih se pita, dok se u fizici moraju probiti kroz još jedan sloj konteksta kako bi uopće došli do matematičkog problema. Također, kontekst je kod mnogih mogao izazvati aktivaciju drugih resursa, što se najčešće i događalo (učenici su problem iz fizike najčešće pokušavali riješiti korištenjem formula, a ne preko nagiba grafa).</w:t>
      </w:r>
    </w:p>
    <w:p w:rsidR="00642626" w:rsidRPr="00833964" w:rsidRDefault="00642626" w:rsidP="00542D3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7820CE" w:rsidRPr="00833964" w:rsidRDefault="007C66D6" w:rsidP="0012714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>
            <wp:extent cx="3943350" cy="281574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646" cy="281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5C8" w:rsidRPr="00833964" w:rsidRDefault="00AD0DAD" w:rsidP="00127149">
      <w:pPr>
        <w:spacing w:line="240" w:lineRule="auto"/>
        <w:jc w:val="center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t>Slika 1. Primjer jednog para paralelnih zadataka</w:t>
      </w:r>
      <w:r w:rsidR="003766A3">
        <w:rPr>
          <w:rFonts w:ascii="Times New Roman" w:hAnsi="Times New Roman" w:cs="Times New Roman"/>
        </w:rPr>
        <w:t xml:space="preserve"> iz fizike i matematike.</w:t>
      </w:r>
      <w:r w:rsidRPr="00833964">
        <w:rPr>
          <w:rFonts w:ascii="Times New Roman" w:hAnsi="Times New Roman" w:cs="Times New Roman"/>
        </w:rPr>
        <w:t xml:space="preserve"> </w:t>
      </w:r>
    </w:p>
    <w:p w:rsidR="00282362" w:rsidRPr="00833964" w:rsidRDefault="00D1363C" w:rsidP="00542D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0958" w:rsidRPr="00833964">
        <w:rPr>
          <w:rFonts w:ascii="Times New Roman" w:hAnsi="Times New Roman" w:cs="Times New Roman"/>
        </w:rPr>
        <w:t>Interesantan je primjer još jednog istraživanja (Woolnough, 2000)</w:t>
      </w:r>
      <w:r>
        <w:rPr>
          <w:rFonts w:ascii="Times New Roman" w:hAnsi="Times New Roman" w:cs="Times New Roman"/>
        </w:rPr>
        <w:t xml:space="preserve">, </w:t>
      </w:r>
      <w:r w:rsidR="0015195E" w:rsidRPr="00833964">
        <w:rPr>
          <w:rFonts w:ascii="Times New Roman" w:hAnsi="Times New Roman" w:cs="Times New Roman"/>
        </w:rPr>
        <w:t>u kojem je autor</w:t>
      </w:r>
      <w:r w:rsidR="000B3617" w:rsidRPr="00833964">
        <w:rPr>
          <w:rFonts w:ascii="Times New Roman" w:hAnsi="Times New Roman" w:cs="Times New Roman"/>
        </w:rPr>
        <w:t xml:space="preserve"> primijetio otpor kod učenika prema korištenju matematičkih pojmova u fizici. Uočio je</w:t>
      </w:r>
      <w:r w:rsidR="002B13CF">
        <w:rPr>
          <w:rFonts w:ascii="Times New Roman" w:hAnsi="Times New Roman" w:cs="Times New Roman"/>
        </w:rPr>
        <w:t xml:space="preserve"> </w:t>
      </w:r>
      <w:r w:rsidR="000B3617" w:rsidRPr="00833964">
        <w:rPr>
          <w:rFonts w:ascii="Times New Roman" w:hAnsi="Times New Roman" w:cs="Times New Roman"/>
        </w:rPr>
        <w:t xml:space="preserve">kroz intervjue da učenici funkcioniraju u tri odvojena kognitivna svijeta, koje je nazvao matematičkim, fizikalnim i stvarnim svijetom. Svaki </w:t>
      </w:r>
      <w:r w:rsidR="00281614" w:rsidRPr="00833964">
        <w:rPr>
          <w:rFonts w:ascii="Times New Roman" w:hAnsi="Times New Roman" w:cs="Times New Roman"/>
        </w:rPr>
        <w:t xml:space="preserve">je </w:t>
      </w:r>
      <w:r w:rsidR="000B3617" w:rsidRPr="00833964">
        <w:rPr>
          <w:rFonts w:ascii="Times New Roman" w:hAnsi="Times New Roman" w:cs="Times New Roman"/>
        </w:rPr>
        <w:t>od ta tri svijeta imao za njih odvojen i zaseban skup pravila, a veze među svjetovima bile su vrlo slabe (Slika 2).</w:t>
      </w:r>
      <w:r w:rsidR="00C8022D" w:rsidRPr="00833964">
        <w:rPr>
          <w:rFonts w:ascii="Times New Roman" w:hAnsi="Times New Roman" w:cs="Times New Roman"/>
        </w:rPr>
        <w:t xml:space="preserve"> </w:t>
      </w:r>
    </w:p>
    <w:p w:rsidR="000B3617" w:rsidRPr="00833964" w:rsidRDefault="005D4192" w:rsidP="00127149">
      <w:pPr>
        <w:spacing w:line="240" w:lineRule="auto"/>
        <w:jc w:val="center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3505200" cy="268456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8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54E" w:rsidRDefault="00E276E3" w:rsidP="00127149">
      <w:pPr>
        <w:spacing w:line="240" w:lineRule="auto"/>
        <w:jc w:val="center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t>Slika 2. Učeni</w:t>
      </w:r>
      <w:r w:rsidR="00C8022D" w:rsidRPr="00833964">
        <w:rPr>
          <w:rFonts w:ascii="Times New Roman" w:hAnsi="Times New Roman" w:cs="Times New Roman"/>
        </w:rPr>
        <w:t>č</w:t>
      </w:r>
      <w:r w:rsidRPr="00833964">
        <w:rPr>
          <w:rFonts w:ascii="Times New Roman" w:hAnsi="Times New Roman" w:cs="Times New Roman"/>
        </w:rPr>
        <w:t>ki kognitivni svjetovi</w:t>
      </w:r>
      <w:r w:rsidR="009E7F98">
        <w:rPr>
          <w:rFonts w:ascii="Times New Roman" w:hAnsi="Times New Roman" w:cs="Times New Roman"/>
        </w:rPr>
        <w:t>.</w:t>
      </w:r>
    </w:p>
    <w:p w:rsidR="0007051B" w:rsidRPr="00833964" w:rsidRDefault="00AB4E91" w:rsidP="00542D33">
      <w:pPr>
        <w:spacing w:line="240" w:lineRule="auto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lastRenderedPageBreak/>
        <w:tab/>
      </w:r>
      <w:r w:rsidR="00A100A2" w:rsidRPr="00833964">
        <w:rPr>
          <w:rFonts w:ascii="Times New Roman" w:hAnsi="Times New Roman" w:cs="Times New Roman"/>
        </w:rPr>
        <w:t>Sve nas je to potak</w:t>
      </w:r>
      <w:r w:rsidR="0007051B" w:rsidRPr="00833964">
        <w:rPr>
          <w:rFonts w:ascii="Times New Roman" w:hAnsi="Times New Roman" w:cs="Times New Roman"/>
        </w:rPr>
        <w:t>nu</w:t>
      </w:r>
      <w:r w:rsidR="00A100A2" w:rsidRPr="00833964">
        <w:rPr>
          <w:rFonts w:ascii="Times New Roman" w:hAnsi="Times New Roman" w:cs="Times New Roman"/>
        </w:rPr>
        <w:t xml:space="preserve">lo da krenemo u novo istraživanje </w:t>
      </w:r>
      <w:r w:rsidR="0007051B" w:rsidRPr="00833964">
        <w:rPr>
          <w:rFonts w:ascii="Times New Roman" w:hAnsi="Times New Roman" w:cs="Times New Roman"/>
        </w:rPr>
        <w:t>kako bismo istražili utjecaj konteksta na učeničko i studentsko rješavanje grafova, te kako bismo bolje mogli razumjeti porijeklo njihovih poteškoća s grafovima u fizici.</w:t>
      </w:r>
    </w:p>
    <w:p w:rsidR="00F11E92" w:rsidRPr="00542D33" w:rsidRDefault="00F11E92" w:rsidP="00542D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D33">
        <w:rPr>
          <w:rFonts w:ascii="Times New Roman" w:hAnsi="Times New Roman" w:cs="Times New Roman"/>
          <w:b/>
          <w:sz w:val="24"/>
          <w:szCs w:val="24"/>
        </w:rPr>
        <w:t>Metodologija istraživanja</w:t>
      </w:r>
    </w:p>
    <w:p w:rsidR="00F11E92" w:rsidRPr="00833964" w:rsidRDefault="00AB4E91" w:rsidP="00542D33">
      <w:pPr>
        <w:spacing w:line="240" w:lineRule="auto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tab/>
      </w:r>
      <w:r w:rsidR="0007051B" w:rsidRPr="00833964">
        <w:rPr>
          <w:rFonts w:ascii="Times New Roman" w:hAnsi="Times New Roman" w:cs="Times New Roman"/>
        </w:rPr>
        <w:t xml:space="preserve">Istraživanje je prošireno </w:t>
      </w:r>
      <w:r w:rsidR="008E1070" w:rsidRPr="00833964">
        <w:rPr>
          <w:rFonts w:ascii="Times New Roman" w:hAnsi="Times New Roman" w:cs="Times New Roman"/>
        </w:rPr>
        <w:t xml:space="preserve"> s matematike i fizike još i na druge kontekste, poput ekonomije, svakodnevnog života, biologije itd, ali</w:t>
      </w:r>
      <w:r w:rsidR="0007051B" w:rsidRPr="00833964">
        <w:rPr>
          <w:rFonts w:ascii="Times New Roman" w:hAnsi="Times New Roman" w:cs="Times New Roman"/>
        </w:rPr>
        <w:t xml:space="preserve"> zadacima za čije rješavanje</w:t>
      </w:r>
      <w:r w:rsidR="008E1070" w:rsidRPr="00833964">
        <w:rPr>
          <w:rFonts w:ascii="Times New Roman" w:hAnsi="Times New Roman" w:cs="Times New Roman"/>
        </w:rPr>
        <w:t xml:space="preserve"> nije bilo potrebno imati specijalna dodatna znanja iz tih područja. To bi se p</w:t>
      </w:r>
      <w:r w:rsidR="0007051B" w:rsidRPr="00833964">
        <w:rPr>
          <w:rFonts w:ascii="Times New Roman" w:hAnsi="Times New Roman" w:cs="Times New Roman"/>
        </w:rPr>
        <w:t>odručje moglo nazvati i matematikom</w:t>
      </w:r>
      <w:r w:rsidR="008E1070" w:rsidRPr="00833964">
        <w:rPr>
          <w:rFonts w:ascii="Times New Roman" w:hAnsi="Times New Roman" w:cs="Times New Roman"/>
        </w:rPr>
        <w:t xml:space="preserve"> u kontekstu</w:t>
      </w:r>
      <w:r w:rsidR="0007051B" w:rsidRPr="00833964">
        <w:rPr>
          <w:rFonts w:ascii="Times New Roman" w:hAnsi="Times New Roman" w:cs="Times New Roman"/>
        </w:rPr>
        <w:t>, za razliku od direktnih matematičkih pitanja  koja ne sadrže dodatni kontekst</w:t>
      </w:r>
      <w:r w:rsidR="008E1070" w:rsidRPr="00833964">
        <w:rPr>
          <w:rFonts w:ascii="Times New Roman" w:hAnsi="Times New Roman" w:cs="Times New Roman"/>
        </w:rPr>
        <w:t xml:space="preserve">.  Konstruirano je osam skupina pitanja, a svaka je skupina sadržavala po tri paralelna pitanja – jedno iz čiste matematike, jedno u kontekstu fizike, a jedno u nekom drugom, nefizikalnom kontekstu. </w:t>
      </w:r>
      <w:r w:rsidR="00A7512C" w:rsidRPr="00833964">
        <w:rPr>
          <w:rFonts w:ascii="Times New Roman" w:hAnsi="Times New Roman" w:cs="Times New Roman"/>
        </w:rPr>
        <w:t xml:space="preserve"> Slika 3 daje primjer jednog takvo</w:t>
      </w:r>
      <w:r w:rsidR="00C21238">
        <w:rPr>
          <w:rFonts w:ascii="Times New Roman" w:hAnsi="Times New Roman" w:cs="Times New Roman"/>
        </w:rPr>
        <w:t>g skupa pitanja (Planinić, Ivanjek, Sušac &amp; Milin - Šipuš</w:t>
      </w:r>
      <w:r w:rsidR="00A7512C" w:rsidRPr="00833964">
        <w:rPr>
          <w:rFonts w:ascii="Times New Roman" w:hAnsi="Times New Roman" w:cs="Times New Roman"/>
        </w:rPr>
        <w:t>, 2013).</w:t>
      </w:r>
    </w:p>
    <w:p w:rsidR="00A7512C" w:rsidRPr="00833964" w:rsidRDefault="00A7512C" w:rsidP="00127149">
      <w:pPr>
        <w:spacing w:line="240" w:lineRule="auto"/>
        <w:jc w:val="center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4429125" cy="4543425"/>
            <wp:effectExtent l="19050" t="0" r="0" b="0"/>
            <wp:docPr id="6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48264" cy="7181839"/>
                      <a:chOff x="1763688" y="0"/>
                      <a:chExt cx="6948264" cy="7181839"/>
                    </a:xfrm>
                  </a:grpSpPr>
                  <a:grpSp>
                    <a:nvGrpSpPr>
                      <a:cNvPr id="1027" name="Group 3"/>
                      <a:cNvGrpSpPr>
                        <a:grpSpLocks noChangeAspect="1"/>
                      </a:cNvGrpSpPr>
                    </a:nvGrpSpPr>
                    <a:grpSpPr bwMode="auto">
                      <a:xfrm>
                        <a:off x="1763688" y="0"/>
                        <a:ext cx="6948264" cy="7181839"/>
                        <a:chOff x="1474" y="1777"/>
                        <a:chExt cx="8484" cy="9840"/>
                      </a:xfrm>
                    </a:grpSpPr>
                    <a:sp>
                      <a:nvSpPr>
                        <a:cNvPr id="1032" name="AutoShape 8"/>
                        <a:cNvSpPr>
                          <a:spLocks noChangeAspect="1" noChangeArrowheads="1" noTextEdit="1"/>
                        </a:cNvSpPr>
                      </a:nvSpPr>
                      <a:spPr bwMode="auto">
                        <a:xfrm>
                          <a:off x="1474" y="1777"/>
                          <a:ext cx="8484" cy="984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r-Latn-C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hr-HR"/>
                          </a:p>
                        </a:txBody>
                        <a:useSpRect/>
                      </a:txSp>
                    </a:sp>
                    <a:pic>
                      <a:nvPicPr>
                        <a:cNvPr id="1031" name="Picture 7"/>
                        <a:cNvPicPr>
                          <a:picLocks noChangeAspect="1" noChangeArrowheads="1"/>
                        </a:cNvPicPr>
                      </a:nvPicPr>
                      <a:blipFill>
                        <a:blip r:embed="rId7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474" y="1891"/>
                          <a:ext cx="3678" cy="2809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030" name="Picture 6"/>
                        <a:cNvPicPr>
                          <a:picLocks noChangeAspect="1" noChangeArrowheads="1"/>
                        </a:cNvPicPr>
                      </a:nvPicPr>
                      <a:blipFill>
                        <a:blip r:embed="rId8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474" y="5068"/>
                          <a:ext cx="3678" cy="2811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029" name="Picture 5"/>
                        <a:cNvPicPr>
                          <a:picLocks noChangeAspect="1" noChangeArrowheads="1"/>
                        </a:cNvPicPr>
                      </a:nvPicPr>
                      <a:blipFill>
                        <a:blip r:embed="rId9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474" y="8396"/>
                          <a:ext cx="3699" cy="282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1028" name="Text Box 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253" y="1777"/>
                          <a:ext cx="4705" cy="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r-Latn-C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sr-Latn-CS" sz="12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M-S2: </a:t>
                            </a:r>
                            <a:endParaRPr kumimoji="0" lang="sr-Latn-CS" sz="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sr-Latn-CS" sz="1200" dirty="0" err="1" smtClean="0"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Usporedite</a:t>
                            </a:r>
                            <a:r>
                              <a:rPr lang="sr-Latn-CS" sz="1200" dirty="0" smtClean="0"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kumimoji="0" lang="sr-Latn-CS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nagibe (koeficijente smjera) pravaca prikazanih u koordinatnom sustavu.</a:t>
                            </a: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sr-Latn-CS" sz="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sr-Latn-CS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a) Nagib pravca </a:t>
                            </a:r>
                            <a:r>
                              <a:rPr kumimoji="0" lang="sr-Latn-CS" sz="1200" b="0" i="1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p</a:t>
                            </a:r>
                            <a:r>
                              <a:rPr kumimoji="0" lang="sr-Latn-CS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 manji je od nagiba pravca </a:t>
                            </a:r>
                            <a:r>
                              <a:rPr kumimoji="0" lang="sr-Latn-CS" sz="1200" b="0" i="1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q</a:t>
                            </a:r>
                            <a:r>
                              <a:rPr kumimoji="0" lang="sr-Latn-CS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.</a:t>
                            </a: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sr-Latn-CS" sz="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sr-Latn-CS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b) Nagib pravca </a:t>
                            </a:r>
                            <a:r>
                              <a:rPr kumimoji="0" lang="sr-Latn-CS" sz="1200" b="0" i="1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p</a:t>
                            </a:r>
                            <a:r>
                              <a:rPr kumimoji="0" lang="sr-Latn-CS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 jednak je nagibu pravca </a:t>
                            </a:r>
                            <a:r>
                              <a:rPr kumimoji="0" lang="sr-Latn-CS" sz="1200" b="0" i="1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q</a:t>
                            </a:r>
                            <a:r>
                              <a:rPr kumimoji="0" lang="sr-Latn-CS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.</a:t>
                            </a: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sr-Latn-CS" sz="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sr-Latn-CS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c) Nagib pravca </a:t>
                            </a:r>
                            <a:r>
                              <a:rPr kumimoji="0" lang="sr-Latn-CS" sz="1200" b="0" i="1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p</a:t>
                            </a:r>
                            <a:r>
                              <a:rPr kumimoji="0" lang="sr-Latn-CS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 veći je od nagiba pravca </a:t>
                            </a:r>
                            <a:r>
                              <a:rPr kumimoji="0" lang="sr-Latn-CS" sz="1200" b="0" i="1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q</a:t>
                            </a:r>
                            <a:r>
                              <a:rPr kumimoji="0" lang="sr-Latn-CS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.</a:t>
                            </a: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lang="sr-Latn-CS" sz="1200" dirty="0">
                              <a:latin typeface="Calibri" pitchFamily="34" charset="0"/>
                              <a:cs typeface="Times New Roman" pitchFamily="18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lang="sr-Latn-CS" sz="1200" dirty="0" smtClean="0">
                              <a:latin typeface="Calibri" pitchFamily="34" charset="0"/>
                              <a:cs typeface="Times New Roman" pitchFamily="18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lang="sr-Latn-CS" sz="1200" dirty="0" smtClean="0">
                              <a:latin typeface="Calibri" pitchFamily="34" charset="0"/>
                              <a:cs typeface="Times New Roman" pitchFamily="18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lang="sr-Latn-CS" sz="1200" dirty="0" smtClean="0">
                              <a:latin typeface="Calibri" pitchFamily="34" charset="0"/>
                              <a:cs typeface="Times New Roman" pitchFamily="18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lang="sr-Latn-CS" sz="1200" dirty="0">
                              <a:latin typeface="Calibri" pitchFamily="34" charset="0"/>
                              <a:cs typeface="Times New Roman" pitchFamily="18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sr-Latn-CS" sz="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sr-Latn-CS" sz="12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F-S2:</a:t>
                            </a:r>
                            <a:endParaRPr kumimoji="0" lang="sr-Latn-CS" sz="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sr-Latn-CS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Gibanja tijela A i B prikazana su </a:t>
                            </a:r>
                            <a:r>
                              <a:rPr kumimoji="0" lang="sr-Latn-CS" sz="1200" b="0" i="1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v – t</a:t>
                            </a:r>
                            <a:r>
                              <a:rPr kumimoji="0" lang="sr-Latn-CS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 grafom. Usporedite akceleracije tijela u </a:t>
                            </a:r>
                            <a:r>
                              <a:rPr kumimoji="0" lang="sr-Latn-CS" sz="1200" b="0" i="1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t</a:t>
                            </a:r>
                            <a:r>
                              <a:rPr kumimoji="0" lang="sr-Latn-CS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 = 2 s.</a:t>
                            </a: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sr-Latn-CS" sz="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sr-Latn-CS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a) Akceleracija tijela A  manja je od akceleracije tijela B.</a:t>
                            </a: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sr-Latn-CS" sz="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sr-Latn-CS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b) Akceleracije tijela A i B su jednake.</a:t>
                            </a: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sr-Latn-CS" sz="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sr-Latn-CS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c) Akceleracija tijela A veća je od akceleracije tijela B.</a:t>
                            </a: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lang="sr-Latn-CS" sz="1200" dirty="0" smtClean="0">
                              <a:latin typeface="Calibri" pitchFamily="34" charset="0"/>
                              <a:cs typeface="Times New Roman" pitchFamily="18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sr-Latn-CS" sz="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lang="sr-Latn-CS" sz="6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sr-Latn-CS" sz="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lang="sr-Latn-CS" sz="6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sr-Latn-CS" sz="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lang="sr-Latn-CS" sz="6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lang="sr-Latn-CS" sz="6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sr-Latn-CS" sz="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sr-Latn-CS" sz="12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K-S2: </a:t>
                            </a:r>
                            <a:endParaRPr kumimoji="0" lang="sr-Latn-CS" sz="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sr-Latn-CS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Na grafu su prikazane cijene dionica ING i EXP u ovisnosti o vremenu. Usporedite brzinu rasta cijene dionica u  </a:t>
                            </a:r>
                            <a:r>
                              <a:rPr kumimoji="0" lang="sr-Latn-CS" sz="1200" b="0" i="1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t</a:t>
                            </a:r>
                            <a:r>
                              <a:rPr kumimoji="0" lang="sr-Latn-CS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 = 3 mjeseca. </a:t>
                            </a: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sr-Latn-CS" sz="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sr-Latn-CS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a) Brzina rasta cijene dionice ING manja je od brzine rasta cijene dionice EXP.</a:t>
                            </a: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sr-Latn-CS" sz="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sr-Latn-CS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b) Brzina rasta cijene dionice ING jednaka je brzini rasta cijene dionice EXP.</a:t>
                            </a: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sr-Latn-CS" sz="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sr-Latn-CS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c) Brzina rasta cijene dionice ING veća je od brzine rasta cijene dionice EXP.</a:t>
                            </a:r>
                            <a:endParaRPr kumimoji="0" lang="sr-Latn-CS" sz="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sr-Latn-CS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7512C" w:rsidRPr="00833964" w:rsidRDefault="00A7512C" w:rsidP="00127149">
      <w:pPr>
        <w:spacing w:line="240" w:lineRule="auto"/>
        <w:jc w:val="center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t>Slika 3. Primjer paralelnog skupa zadataka</w:t>
      </w:r>
      <w:r w:rsidR="003766A3">
        <w:rPr>
          <w:rFonts w:ascii="Times New Roman" w:hAnsi="Times New Roman" w:cs="Times New Roman"/>
        </w:rPr>
        <w:t xml:space="preserve"> iz matematike, fizike i drugih konteksta.</w:t>
      </w:r>
      <w:r w:rsidRPr="00833964">
        <w:rPr>
          <w:rFonts w:ascii="Times New Roman" w:hAnsi="Times New Roman" w:cs="Times New Roman"/>
        </w:rPr>
        <w:t xml:space="preserve"> </w:t>
      </w:r>
    </w:p>
    <w:p w:rsidR="00B427A3" w:rsidRPr="00833964" w:rsidRDefault="00AB4E91" w:rsidP="002B13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lastRenderedPageBreak/>
        <w:tab/>
      </w:r>
      <w:r w:rsidR="00B427A3" w:rsidRPr="00833964">
        <w:rPr>
          <w:rFonts w:ascii="Times New Roman" w:hAnsi="Times New Roman" w:cs="Times New Roman"/>
        </w:rPr>
        <w:t>Test koji je sadržavao tih osam skup</w:t>
      </w:r>
      <w:r w:rsidR="00BA675B" w:rsidRPr="00833964">
        <w:rPr>
          <w:rFonts w:ascii="Times New Roman" w:hAnsi="Times New Roman" w:cs="Times New Roman"/>
        </w:rPr>
        <w:t>ina pitanja d</w:t>
      </w:r>
      <w:r w:rsidR="0007051B" w:rsidRPr="00833964">
        <w:rPr>
          <w:rFonts w:ascii="Times New Roman" w:hAnsi="Times New Roman" w:cs="Times New Roman"/>
        </w:rPr>
        <w:t>an je uzorku od 385</w:t>
      </w:r>
      <w:r w:rsidR="00B427A3" w:rsidRPr="00833964">
        <w:rPr>
          <w:rFonts w:ascii="Times New Roman" w:hAnsi="Times New Roman" w:cs="Times New Roman"/>
        </w:rPr>
        <w:t xml:space="preserve"> studenata prve godine </w:t>
      </w:r>
      <w:r w:rsidR="00BA675B" w:rsidRPr="00833964">
        <w:rPr>
          <w:rFonts w:ascii="Times New Roman" w:hAnsi="Times New Roman" w:cs="Times New Roman"/>
        </w:rPr>
        <w:t xml:space="preserve">fizike ili matematike istraživakih i nastavničkih smjerova </w:t>
      </w:r>
      <w:r w:rsidR="00B427A3" w:rsidRPr="00833964">
        <w:rPr>
          <w:rFonts w:ascii="Times New Roman" w:hAnsi="Times New Roman" w:cs="Times New Roman"/>
        </w:rPr>
        <w:t>na Fizičkom i Matematičkom odsjeku PMF-a u Zagrebu na samom početku prvog semestra</w:t>
      </w:r>
      <w:r w:rsidR="00BA675B" w:rsidRPr="00833964">
        <w:rPr>
          <w:rFonts w:ascii="Times New Roman" w:hAnsi="Times New Roman" w:cs="Times New Roman"/>
        </w:rPr>
        <w:t xml:space="preserve">. Studenti su test rješavali 60 minuta, a u svakom su zadatku osim odgovora trebali i prikazati postupak ili dati obrazloženje odgovora. Četiri skupine zadataka činili su zadaci višestrukog izbora, a četiri skupine zadaci otvorenog tipa. </w:t>
      </w:r>
    </w:p>
    <w:p w:rsidR="0099018E" w:rsidRDefault="00AB4E91" w:rsidP="002B13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tab/>
      </w:r>
      <w:r w:rsidR="0099018E" w:rsidRPr="00833964">
        <w:rPr>
          <w:rFonts w:ascii="Times New Roman" w:hAnsi="Times New Roman" w:cs="Times New Roman"/>
        </w:rPr>
        <w:t>Autori su bodovali odgovore, a potom su dobiveni zadaci analizirani pom</w:t>
      </w:r>
      <w:r w:rsidR="001621B8" w:rsidRPr="00833964">
        <w:rPr>
          <w:rFonts w:ascii="Times New Roman" w:hAnsi="Times New Roman" w:cs="Times New Roman"/>
        </w:rPr>
        <w:t>oću Winsteps softvera za Ra</w:t>
      </w:r>
      <w:r w:rsidR="0099018E" w:rsidRPr="00833964">
        <w:rPr>
          <w:rFonts w:ascii="Times New Roman" w:hAnsi="Times New Roman" w:cs="Times New Roman"/>
        </w:rPr>
        <w:t>schovu analizu (Linacre, 2006)</w:t>
      </w:r>
      <w:r w:rsidR="001621B8" w:rsidRPr="00833964">
        <w:rPr>
          <w:rFonts w:ascii="Times New Roman" w:hAnsi="Times New Roman" w:cs="Times New Roman"/>
        </w:rPr>
        <w:t xml:space="preserve">. Ta je analiza omogućila procjenu </w:t>
      </w:r>
      <w:r w:rsidR="0007051B" w:rsidRPr="00833964">
        <w:rPr>
          <w:rFonts w:ascii="Times New Roman" w:hAnsi="Times New Roman" w:cs="Times New Roman"/>
        </w:rPr>
        <w:t xml:space="preserve">kvalitete </w:t>
      </w:r>
      <w:r w:rsidR="001621B8" w:rsidRPr="00833964">
        <w:rPr>
          <w:rFonts w:ascii="Times New Roman" w:hAnsi="Times New Roman" w:cs="Times New Roman"/>
        </w:rPr>
        <w:t>funkcioniranja testa i zadataka, te dobivanje linearnih mjera za težine zadataka pomoću kojih se moglo prijeći na daljnju analizu težina pojedinih konceptualnih područja u testu. Osim toga, analizirana su i kategorizirana studentska obrazloženja, koja su dala uvid u studentske strategije pristupa zadacima, kao i u njihove načine razmišljanja i zaključivanja.</w:t>
      </w:r>
      <w:r w:rsidR="002B13CF">
        <w:rPr>
          <w:rFonts w:ascii="Times New Roman" w:hAnsi="Times New Roman" w:cs="Times New Roman"/>
        </w:rPr>
        <w:t>Model definira jedinicu logit (engl. skraćeno od log odds unit, tj. jedinica logaritamske šanse) pomoću koje su izraženi svi rezultati.</w:t>
      </w:r>
    </w:p>
    <w:p w:rsidR="002B13CF" w:rsidRPr="00833964" w:rsidRDefault="002B13CF" w:rsidP="002B13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21B8" w:rsidRPr="00542D33" w:rsidRDefault="001621B8" w:rsidP="00542D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D33">
        <w:rPr>
          <w:rFonts w:ascii="Times New Roman" w:hAnsi="Times New Roman" w:cs="Times New Roman"/>
          <w:b/>
          <w:sz w:val="24"/>
          <w:szCs w:val="24"/>
        </w:rPr>
        <w:t>Rezultati i diskusija</w:t>
      </w:r>
    </w:p>
    <w:p w:rsidR="001621B8" w:rsidRPr="00833964" w:rsidRDefault="00AB4E91" w:rsidP="002B13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tab/>
      </w:r>
      <w:r w:rsidR="0011153B" w:rsidRPr="00833964">
        <w:rPr>
          <w:rFonts w:ascii="Times New Roman" w:hAnsi="Times New Roman" w:cs="Times New Roman"/>
        </w:rPr>
        <w:t xml:space="preserve">Raschova </w:t>
      </w:r>
      <w:r w:rsidRPr="00833964">
        <w:rPr>
          <w:rFonts w:ascii="Times New Roman" w:hAnsi="Times New Roman" w:cs="Times New Roman"/>
        </w:rPr>
        <w:t xml:space="preserve">je </w:t>
      </w:r>
      <w:r w:rsidR="0011153B" w:rsidRPr="00833964">
        <w:rPr>
          <w:rFonts w:ascii="Times New Roman" w:hAnsi="Times New Roman" w:cs="Times New Roman"/>
        </w:rPr>
        <w:t xml:space="preserve">analiza potvrdila da je test vrlo dobro centriran na populaciju, </w:t>
      </w:r>
      <w:r w:rsidR="0007051B" w:rsidRPr="00833964">
        <w:rPr>
          <w:rFonts w:ascii="Times New Roman" w:hAnsi="Times New Roman" w:cs="Times New Roman"/>
        </w:rPr>
        <w:t>da ima dovoljno velik raspon težina za ispitivani uzorak</w:t>
      </w:r>
      <w:r w:rsidR="0011153B" w:rsidRPr="00833964">
        <w:rPr>
          <w:rFonts w:ascii="Times New Roman" w:hAnsi="Times New Roman" w:cs="Times New Roman"/>
        </w:rPr>
        <w:t xml:space="preserve">, te da </w:t>
      </w:r>
      <w:r w:rsidRPr="00833964">
        <w:rPr>
          <w:rFonts w:ascii="Times New Roman" w:hAnsi="Times New Roman" w:cs="Times New Roman"/>
        </w:rPr>
        <w:t xml:space="preserve">su </w:t>
      </w:r>
      <w:r w:rsidR="0011153B" w:rsidRPr="00833964">
        <w:rPr>
          <w:rFonts w:ascii="Times New Roman" w:hAnsi="Times New Roman" w:cs="Times New Roman"/>
        </w:rPr>
        <w:t xml:space="preserve">svi zadaci </w:t>
      </w:r>
      <w:r w:rsidRPr="00833964">
        <w:rPr>
          <w:rFonts w:ascii="Times New Roman" w:hAnsi="Times New Roman" w:cs="Times New Roman"/>
        </w:rPr>
        <w:t xml:space="preserve">dovoljno </w:t>
      </w:r>
      <w:r w:rsidR="0007051B" w:rsidRPr="00833964">
        <w:rPr>
          <w:rFonts w:ascii="Times New Roman" w:hAnsi="Times New Roman" w:cs="Times New Roman"/>
        </w:rPr>
        <w:t>u skladu s modelom</w:t>
      </w:r>
      <w:r w:rsidRPr="00833964">
        <w:rPr>
          <w:rFonts w:ascii="Times New Roman" w:hAnsi="Times New Roman" w:cs="Times New Roman"/>
        </w:rPr>
        <w:t xml:space="preserve"> kako bi</w:t>
      </w:r>
      <w:r w:rsidR="00BD6246" w:rsidRPr="00833964">
        <w:rPr>
          <w:rFonts w:ascii="Times New Roman" w:hAnsi="Times New Roman" w:cs="Times New Roman"/>
        </w:rPr>
        <w:t xml:space="preserve"> se mogli upotrijebiti za daljnje analize.</w:t>
      </w:r>
    </w:p>
    <w:p w:rsidR="00BD6246" w:rsidRDefault="00DD4401" w:rsidP="002B13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tab/>
      </w:r>
      <w:r w:rsidR="00BD6246" w:rsidRPr="00833964">
        <w:rPr>
          <w:rFonts w:ascii="Times New Roman" w:hAnsi="Times New Roman" w:cs="Times New Roman"/>
        </w:rPr>
        <w:t>Kako bi se procijenio uspjeh studenata na pojedinim konceptualnim područjima unutar testa, izračunate su srednje vrijednosti težina zadataka u pojedinim područjima i njihove pripadne neodređenosti.  Dobiveni r</w:t>
      </w:r>
      <w:r w:rsidR="002D157A" w:rsidRPr="00833964">
        <w:rPr>
          <w:rFonts w:ascii="Times New Roman" w:hAnsi="Times New Roman" w:cs="Times New Roman"/>
        </w:rPr>
        <w:t>ezultati prikazani su na Slici 4 i Slici 5</w:t>
      </w:r>
      <w:r w:rsidR="004277B4">
        <w:rPr>
          <w:rFonts w:ascii="Times New Roman" w:hAnsi="Times New Roman" w:cs="Times New Roman"/>
        </w:rPr>
        <w:t xml:space="preserve"> </w:t>
      </w:r>
      <w:r w:rsidR="00C21238">
        <w:rPr>
          <w:rFonts w:ascii="Times New Roman" w:hAnsi="Times New Roman" w:cs="Times New Roman"/>
        </w:rPr>
        <w:t>(Planinić Ivanjek, Sušac &amp; Milin - Šipuš</w:t>
      </w:r>
      <w:r w:rsidR="004277B4">
        <w:rPr>
          <w:rFonts w:ascii="Times New Roman" w:hAnsi="Times New Roman" w:cs="Times New Roman"/>
        </w:rPr>
        <w:t>, 2013).</w:t>
      </w:r>
    </w:p>
    <w:p w:rsidR="002B13CF" w:rsidRPr="00833964" w:rsidRDefault="002B13CF" w:rsidP="002B13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246" w:rsidRPr="00833964" w:rsidRDefault="00081777" w:rsidP="00542D33">
      <w:pPr>
        <w:spacing w:line="240" w:lineRule="auto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4581525" cy="2638425"/>
            <wp:effectExtent l="19050" t="0" r="9525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043C9" w:rsidRPr="00833964" w:rsidRDefault="002D157A" w:rsidP="00542D33">
      <w:pPr>
        <w:spacing w:line="240" w:lineRule="auto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t>Slika 4</w:t>
      </w:r>
      <w:r w:rsidR="006043C9" w:rsidRPr="00833964">
        <w:rPr>
          <w:rFonts w:ascii="Times New Roman" w:hAnsi="Times New Roman" w:cs="Times New Roman"/>
        </w:rPr>
        <w:t xml:space="preserve">. Srednje težine konceptualnih područja </w:t>
      </w:r>
      <w:r w:rsidR="00E26B29">
        <w:rPr>
          <w:rFonts w:ascii="Times New Roman" w:hAnsi="Times New Roman" w:cs="Times New Roman"/>
        </w:rPr>
        <w:t>u testu (</w:t>
      </w:r>
      <w:r w:rsidR="00606586">
        <w:rPr>
          <w:rFonts w:ascii="Times New Roman" w:hAnsi="Times New Roman" w:cs="Times New Roman"/>
        </w:rPr>
        <w:t>nagiba grafa i površine ispod grafa u matematici (M), fizici (F) i drugim kontekstima (K)</w:t>
      </w:r>
      <w:r w:rsidR="00E26B29">
        <w:rPr>
          <w:rFonts w:ascii="Times New Roman" w:hAnsi="Times New Roman" w:cs="Times New Roman"/>
        </w:rPr>
        <w:t>)</w:t>
      </w:r>
      <w:r w:rsidR="00606586">
        <w:rPr>
          <w:rFonts w:ascii="Times New Roman" w:hAnsi="Times New Roman" w:cs="Times New Roman"/>
        </w:rPr>
        <w:t>.</w:t>
      </w:r>
    </w:p>
    <w:p w:rsidR="00945DAD" w:rsidRPr="00833964" w:rsidRDefault="00945DAD" w:rsidP="00542D33">
      <w:pPr>
        <w:spacing w:line="240" w:lineRule="auto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>
            <wp:extent cx="4638675" cy="2762250"/>
            <wp:effectExtent l="19050" t="0" r="9525" b="0"/>
            <wp:docPr id="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5DAD" w:rsidRDefault="006043C9" w:rsidP="00542D33">
      <w:pPr>
        <w:spacing w:line="240" w:lineRule="auto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t>Slika</w:t>
      </w:r>
      <w:r w:rsidR="002D157A" w:rsidRPr="00833964">
        <w:rPr>
          <w:rFonts w:ascii="Times New Roman" w:hAnsi="Times New Roman" w:cs="Times New Roman"/>
        </w:rPr>
        <w:t xml:space="preserve"> 5</w:t>
      </w:r>
      <w:r w:rsidRPr="00833964">
        <w:rPr>
          <w:rFonts w:ascii="Times New Roman" w:hAnsi="Times New Roman" w:cs="Times New Roman"/>
        </w:rPr>
        <w:t>. Srednje težine ispitivanih područja</w:t>
      </w:r>
      <w:r w:rsidR="004277B4">
        <w:rPr>
          <w:rFonts w:ascii="Times New Roman" w:hAnsi="Times New Roman" w:cs="Times New Roman"/>
        </w:rPr>
        <w:t>.</w:t>
      </w:r>
      <w:r w:rsidRPr="00833964">
        <w:rPr>
          <w:rFonts w:ascii="Times New Roman" w:hAnsi="Times New Roman" w:cs="Times New Roman"/>
        </w:rPr>
        <w:t xml:space="preserve"> </w:t>
      </w:r>
    </w:p>
    <w:p w:rsidR="004277B4" w:rsidRPr="00833964" w:rsidRDefault="004277B4" w:rsidP="00542D33">
      <w:pPr>
        <w:spacing w:line="240" w:lineRule="auto"/>
        <w:jc w:val="both"/>
        <w:rPr>
          <w:rFonts w:ascii="Times New Roman" w:hAnsi="Times New Roman" w:cs="Times New Roman"/>
        </w:rPr>
      </w:pPr>
    </w:p>
    <w:p w:rsidR="00E8045F" w:rsidRPr="00833964" w:rsidRDefault="009F67E6" w:rsidP="00542D33">
      <w:pPr>
        <w:spacing w:line="240" w:lineRule="auto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4638675" cy="2752725"/>
            <wp:effectExtent l="19050" t="0" r="9525" b="0"/>
            <wp:docPr id="10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67E6" w:rsidRPr="00833964" w:rsidRDefault="002D157A" w:rsidP="00542D33">
      <w:pPr>
        <w:spacing w:line="240" w:lineRule="auto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t>Slika 6</w:t>
      </w:r>
      <w:r w:rsidR="003703D7" w:rsidRPr="00833964">
        <w:rPr>
          <w:rFonts w:ascii="Times New Roman" w:hAnsi="Times New Roman" w:cs="Times New Roman"/>
        </w:rPr>
        <w:t>.</w:t>
      </w:r>
      <w:r w:rsidR="00081B30" w:rsidRPr="00833964">
        <w:rPr>
          <w:rFonts w:ascii="Times New Roman" w:hAnsi="Times New Roman" w:cs="Times New Roman"/>
        </w:rPr>
        <w:t xml:space="preserve"> Usporedba broja studenata koji su riješili zadatak iz matematike (M), broja studenata koji su riješili zadatak iz matematike i fizike (M&amp;F), te broja studenata koji su riješili zadatak iz matematike i nefizikalnog konteksta (M&amp;K). Svaki skup zadataka iz nagiba predstavljen je svojim osn</w:t>
      </w:r>
      <w:r w:rsidR="00327589" w:rsidRPr="00833964">
        <w:rPr>
          <w:rFonts w:ascii="Times New Roman" w:hAnsi="Times New Roman" w:cs="Times New Roman"/>
        </w:rPr>
        <w:t>ovnim pitanjem</w:t>
      </w:r>
      <w:r w:rsidR="00081B30" w:rsidRPr="00833964">
        <w:rPr>
          <w:rFonts w:ascii="Times New Roman" w:hAnsi="Times New Roman" w:cs="Times New Roman"/>
        </w:rPr>
        <w:t xml:space="preserve">, dok su zadaci s površinom ispod grafa </w:t>
      </w:r>
      <w:r w:rsidR="00B870A3" w:rsidRPr="00833964">
        <w:rPr>
          <w:rFonts w:ascii="Times New Roman" w:hAnsi="Times New Roman" w:cs="Times New Roman"/>
        </w:rPr>
        <w:t>samo numerirani.</w:t>
      </w:r>
    </w:p>
    <w:p w:rsidR="00B80F8F" w:rsidRPr="00833964" w:rsidRDefault="00327589" w:rsidP="00542D33">
      <w:pPr>
        <w:spacing w:line="240" w:lineRule="auto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lastRenderedPageBreak/>
        <w:tab/>
      </w:r>
      <w:r w:rsidR="002D157A" w:rsidRPr="00833964">
        <w:rPr>
          <w:rFonts w:ascii="Times New Roman" w:hAnsi="Times New Roman" w:cs="Times New Roman"/>
        </w:rPr>
        <w:t>Na Slici 6</w:t>
      </w:r>
      <w:r w:rsidR="00E26B29">
        <w:rPr>
          <w:rFonts w:ascii="Times New Roman" w:hAnsi="Times New Roman" w:cs="Times New Roman"/>
        </w:rPr>
        <w:t>.</w:t>
      </w:r>
      <w:r w:rsidR="003703D7" w:rsidRPr="00833964">
        <w:rPr>
          <w:rFonts w:ascii="Times New Roman" w:hAnsi="Times New Roman" w:cs="Times New Roman"/>
        </w:rPr>
        <w:t xml:space="preserve"> možemo u</w:t>
      </w:r>
      <w:r w:rsidR="0092631D" w:rsidRPr="00833964">
        <w:rPr>
          <w:rFonts w:ascii="Times New Roman" w:hAnsi="Times New Roman" w:cs="Times New Roman"/>
        </w:rPr>
        <w:t>sporediti broj studenata koji su riješili</w:t>
      </w:r>
      <w:r w:rsidR="003703D7" w:rsidRPr="00833964">
        <w:rPr>
          <w:rFonts w:ascii="Times New Roman" w:hAnsi="Times New Roman" w:cs="Times New Roman"/>
        </w:rPr>
        <w:t xml:space="preserve"> pojedini zadatak iz matematike s brojem onih koji su riješili oba paralelna zadatka iz matematike i f</w:t>
      </w:r>
      <w:r w:rsidR="0092631D" w:rsidRPr="00833964">
        <w:rPr>
          <w:rFonts w:ascii="Times New Roman" w:hAnsi="Times New Roman" w:cs="Times New Roman"/>
        </w:rPr>
        <w:t>izike ili iz matematike i nefizikalnog</w:t>
      </w:r>
      <w:r w:rsidR="003703D7" w:rsidRPr="00833964">
        <w:rPr>
          <w:rFonts w:ascii="Times New Roman" w:hAnsi="Times New Roman" w:cs="Times New Roman"/>
        </w:rPr>
        <w:t xml:space="preserve"> konteksta.  </w:t>
      </w:r>
      <w:r w:rsidR="002D157A" w:rsidRPr="00833964">
        <w:rPr>
          <w:rFonts w:ascii="Times New Roman" w:hAnsi="Times New Roman" w:cs="Times New Roman"/>
        </w:rPr>
        <w:t>Premda se samo na osnovi ovoga grafa ne može tvrditi da se transfer dogodio, m</w:t>
      </w:r>
      <w:r w:rsidR="0092631D" w:rsidRPr="00833964">
        <w:rPr>
          <w:rFonts w:ascii="Times New Roman" w:hAnsi="Times New Roman" w:cs="Times New Roman"/>
        </w:rPr>
        <w:t>ože se uočiti da je mogućnost postojanja direktnog</w:t>
      </w:r>
      <w:r w:rsidR="003703D7" w:rsidRPr="00833964">
        <w:rPr>
          <w:rFonts w:ascii="Times New Roman" w:hAnsi="Times New Roman" w:cs="Times New Roman"/>
        </w:rPr>
        <w:t xml:space="preserve"> transfer</w:t>
      </w:r>
      <w:r w:rsidR="0092631D" w:rsidRPr="00833964">
        <w:rPr>
          <w:rFonts w:ascii="Times New Roman" w:hAnsi="Times New Roman" w:cs="Times New Roman"/>
        </w:rPr>
        <w:t>a izraženija</w:t>
      </w:r>
      <w:r w:rsidR="003703D7" w:rsidRPr="00833964">
        <w:rPr>
          <w:rFonts w:ascii="Times New Roman" w:hAnsi="Times New Roman" w:cs="Times New Roman"/>
        </w:rPr>
        <w:t xml:space="preserve"> kod koncepta nagiba nego kod koncepta površine ispod grafa. </w:t>
      </w:r>
      <w:r w:rsidR="002D157A" w:rsidRPr="00833964">
        <w:rPr>
          <w:rFonts w:ascii="Times New Roman" w:hAnsi="Times New Roman" w:cs="Times New Roman"/>
        </w:rPr>
        <w:t xml:space="preserve"> Tek </w:t>
      </w:r>
      <w:r w:rsidR="00B80F8F" w:rsidRPr="00833964">
        <w:rPr>
          <w:rFonts w:ascii="Times New Roman" w:hAnsi="Times New Roman" w:cs="Times New Roman"/>
        </w:rPr>
        <w:t xml:space="preserve">će </w:t>
      </w:r>
      <w:r w:rsidR="002D157A" w:rsidRPr="00833964">
        <w:rPr>
          <w:rFonts w:ascii="Times New Roman" w:hAnsi="Times New Roman" w:cs="Times New Roman"/>
        </w:rPr>
        <w:t xml:space="preserve">analiza svih pojedinačnih studentskih odgovora i obrazloženja (koja </w:t>
      </w:r>
      <w:r w:rsidR="00E26B29">
        <w:rPr>
          <w:rFonts w:ascii="Times New Roman" w:hAnsi="Times New Roman" w:cs="Times New Roman"/>
        </w:rPr>
        <w:t>je još u tijeku</w:t>
      </w:r>
      <w:r w:rsidR="002D157A" w:rsidRPr="00833964">
        <w:rPr>
          <w:rFonts w:ascii="Times New Roman" w:hAnsi="Times New Roman" w:cs="Times New Roman"/>
        </w:rPr>
        <w:t>) dati odgovor na pitanje koliko se direktnog transfera doista dogodilo</w:t>
      </w:r>
      <w:r w:rsidR="00B80F8F" w:rsidRPr="00833964">
        <w:rPr>
          <w:rFonts w:ascii="Times New Roman" w:hAnsi="Times New Roman" w:cs="Times New Roman"/>
        </w:rPr>
        <w:t>, ali već je do sada uočeno da je takvih primjera bilo, poput sljedećeg:</w:t>
      </w:r>
    </w:p>
    <w:p w:rsidR="00CC5A26" w:rsidRPr="00833964" w:rsidRDefault="002D157A" w:rsidP="00542D33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t xml:space="preserve"> </w:t>
      </w:r>
      <w:r w:rsidR="00046697" w:rsidRPr="00833964">
        <w:rPr>
          <w:rFonts w:ascii="Times New Roman" w:hAnsi="Times New Roman" w:cs="Times New Roman"/>
          <w:bCs/>
        </w:rPr>
        <w:t>M (točan odgovor)</w:t>
      </w:r>
      <w:r w:rsidR="00046697" w:rsidRPr="00833964">
        <w:rPr>
          <w:rFonts w:ascii="Times New Roman" w:hAnsi="Times New Roman" w:cs="Times New Roman"/>
          <w:b/>
          <w:bCs/>
        </w:rPr>
        <w:t xml:space="preserve">: </w:t>
      </w:r>
      <w:r w:rsidR="00046697" w:rsidRPr="00833964">
        <w:rPr>
          <w:rFonts w:ascii="Times New Roman" w:hAnsi="Times New Roman" w:cs="Times New Roman"/>
        </w:rPr>
        <w:t xml:space="preserve">Grafički možemo zaključiti da je nagib </w:t>
      </w:r>
      <w:r w:rsidR="00046697" w:rsidRPr="00833964">
        <w:rPr>
          <w:rFonts w:ascii="Times New Roman" w:hAnsi="Times New Roman" w:cs="Times New Roman"/>
          <w:i/>
          <w:iCs/>
        </w:rPr>
        <w:t xml:space="preserve">p </w:t>
      </w:r>
      <w:r w:rsidR="00046697" w:rsidRPr="00833964">
        <w:rPr>
          <w:rFonts w:ascii="Times New Roman" w:hAnsi="Times New Roman" w:cs="Times New Roman"/>
        </w:rPr>
        <w:t xml:space="preserve">u </w:t>
      </w:r>
      <w:r w:rsidR="004277B4">
        <w:rPr>
          <w:rFonts w:ascii="Times New Roman" w:hAnsi="Times New Roman" w:cs="Times New Roman"/>
        </w:rPr>
        <w:t xml:space="preserve"> </w:t>
      </w:r>
      <w:r w:rsidR="00046697" w:rsidRPr="00833964">
        <w:rPr>
          <w:rFonts w:ascii="Times New Roman" w:hAnsi="Times New Roman" w:cs="Times New Roman"/>
          <w:i/>
          <w:iCs/>
        </w:rPr>
        <w:t>x</w:t>
      </w:r>
      <w:r w:rsidR="004277B4">
        <w:rPr>
          <w:rFonts w:ascii="Times New Roman" w:hAnsi="Times New Roman" w:cs="Times New Roman"/>
          <w:i/>
          <w:iCs/>
        </w:rPr>
        <w:t xml:space="preserve"> </w:t>
      </w:r>
      <w:r w:rsidR="00046697" w:rsidRPr="00833964">
        <w:rPr>
          <w:rFonts w:ascii="Times New Roman" w:hAnsi="Times New Roman" w:cs="Times New Roman"/>
        </w:rPr>
        <w:t>=</w:t>
      </w:r>
      <w:r w:rsidR="004277B4">
        <w:rPr>
          <w:rFonts w:ascii="Times New Roman" w:hAnsi="Times New Roman" w:cs="Times New Roman"/>
        </w:rPr>
        <w:t xml:space="preserve"> </w:t>
      </w:r>
      <w:r w:rsidR="00046697" w:rsidRPr="00833964">
        <w:rPr>
          <w:rFonts w:ascii="Times New Roman" w:hAnsi="Times New Roman" w:cs="Times New Roman"/>
        </w:rPr>
        <w:t xml:space="preserve">1 veći nego nagib od </w:t>
      </w:r>
      <w:r w:rsidR="00046697" w:rsidRPr="00833964">
        <w:rPr>
          <w:rFonts w:ascii="Times New Roman" w:hAnsi="Times New Roman" w:cs="Times New Roman"/>
          <w:i/>
          <w:iCs/>
        </w:rPr>
        <w:t>q</w:t>
      </w:r>
      <w:r w:rsidR="00046697" w:rsidRPr="00833964">
        <w:rPr>
          <w:rFonts w:ascii="Times New Roman" w:hAnsi="Times New Roman" w:cs="Times New Roman"/>
        </w:rPr>
        <w:t xml:space="preserve"> (</w:t>
      </w:r>
      <w:r w:rsidR="00E26B29">
        <w:rPr>
          <w:rFonts w:ascii="Times New Roman" w:hAnsi="Times New Roman" w:cs="Times New Roman"/>
        </w:rPr>
        <w:t xml:space="preserve">student </w:t>
      </w:r>
      <w:r w:rsidR="00046697" w:rsidRPr="00833964">
        <w:rPr>
          <w:rFonts w:ascii="Times New Roman" w:hAnsi="Times New Roman" w:cs="Times New Roman"/>
        </w:rPr>
        <w:t xml:space="preserve">označava na pravcima </w:t>
      </w:r>
      <w:r w:rsidR="00046697" w:rsidRPr="00833964">
        <w:rPr>
          <w:rFonts w:ascii="Times New Roman" w:hAnsi="Times New Roman" w:cs="Times New Roman"/>
          <w:lang w:val="el-GR"/>
        </w:rPr>
        <w:t>Δ</w:t>
      </w:r>
      <w:r w:rsidR="00046697" w:rsidRPr="00833964">
        <w:rPr>
          <w:rFonts w:ascii="Times New Roman" w:hAnsi="Times New Roman" w:cs="Times New Roman"/>
          <w:i/>
          <w:iCs/>
        </w:rPr>
        <w:t xml:space="preserve">y </w:t>
      </w:r>
      <w:r w:rsidR="00046697" w:rsidRPr="00833964">
        <w:rPr>
          <w:rFonts w:ascii="Times New Roman" w:hAnsi="Times New Roman" w:cs="Times New Roman"/>
        </w:rPr>
        <w:t xml:space="preserve">i </w:t>
      </w:r>
      <w:r w:rsidR="00046697" w:rsidRPr="00833964">
        <w:rPr>
          <w:rFonts w:ascii="Times New Roman" w:hAnsi="Times New Roman" w:cs="Times New Roman"/>
          <w:lang w:val="el-GR"/>
        </w:rPr>
        <w:t>Δ</w:t>
      </w:r>
      <w:r w:rsidR="00046697" w:rsidRPr="00833964">
        <w:rPr>
          <w:rFonts w:ascii="Times New Roman" w:hAnsi="Times New Roman" w:cs="Times New Roman"/>
          <w:i/>
          <w:iCs/>
        </w:rPr>
        <w:t>x</w:t>
      </w:r>
      <w:r w:rsidR="00046697" w:rsidRPr="00833964">
        <w:rPr>
          <w:rFonts w:ascii="Times New Roman" w:hAnsi="Times New Roman" w:cs="Times New Roman"/>
        </w:rPr>
        <w:t xml:space="preserve"> ). </w:t>
      </w:r>
    </w:p>
    <w:p w:rsidR="00CC5A26" w:rsidRPr="00833964" w:rsidRDefault="00046697" w:rsidP="00542D33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  <w:bCs/>
        </w:rPr>
        <w:t>F (točan odgovor):</w:t>
      </w:r>
      <w:r w:rsidRPr="00833964">
        <w:rPr>
          <w:rFonts w:ascii="Times New Roman" w:hAnsi="Times New Roman" w:cs="Times New Roman"/>
          <w:b/>
          <w:bCs/>
        </w:rPr>
        <w:t xml:space="preserve"> </w:t>
      </w:r>
      <w:r w:rsidRPr="00833964">
        <w:rPr>
          <w:rFonts w:ascii="Times New Roman" w:hAnsi="Times New Roman" w:cs="Times New Roman"/>
        </w:rPr>
        <w:t xml:space="preserve">Nagib = akceleracija; Akceleraciju možemo gledati preko nagiba, tj. budući da se radi o </w:t>
      </w:r>
      <w:r w:rsidRPr="00833964">
        <w:rPr>
          <w:rFonts w:ascii="Times New Roman" w:hAnsi="Times New Roman" w:cs="Times New Roman"/>
          <w:i/>
          <w:iCs/>
        </w:rPr>
        <w:t>v-t</w:t>
      </w:r>
      <w:r w:rsidRPr="00833964">
        <w:rPr>
          <w:rFonts w:ascii="Times New Roman" w:hAnsi="Times New Roman" w:cs="Times New Roman"/>
        </w:rPr>
        <w:t xml:space="preserve"> dijagramu u </w:t>
      </w:r>
      <w:r w:rsidRPr="00833964">
        <w:rPr>
          <w:rFonts w:ascii="Times New Roman" w:hAnsi="Times New Roman" w:cs="Times New Roman"/>
          <w:i/>
          <w:iCs/>
        </w:rPr>
        <w:t xml:space="preserve">t </w:t>
      </w:r>
      <w:r w:rsidRPr="00833964">
        <w:rPr>
          <w:rFonts w:ascii="Times New Roman" w:hAnsi="Times New Roman" w:cs="Times New Roman"/>
        </w:rPr>
        <w:t>=</w:t>
      </w:r>
      <w:r w:rsidR="00E26B29">
        <w:rPr>
          <w:rFonts w:ascii="Times New Roman" w:hAnsi="Times New Roman" w:cs="Times New Roman"/>
        </w:rPr>
        <w:t xml:space="preserve"> </w:t>
      </w:r>
      <w:r w:rsidRPr="00833964">
        <w:rPr>
          <w:rFonts w:ascii="Times New Roman" w:hAnsi="Times New Roman" w:cs="Times New Roman"/>
        </w:rPr>
        <w:t>2</w:t>
      </w:r>
      <w:r w:rsidR="00B80F8F" w:rsidRPr="00833964">
        <w:rPr>
          <w:rFonts w:ascii="Times New Roman" w:hAnsi="Times New Roman" w:cs="Times New Roman"/>
        </w:rPr>
        <w:t xml:space="preserve"> </w:t>
      </w:r>
      <w:r w:rsidRPr="00833964">
        <w:rPr>
          <w:rFonts w:ascii="Times New Roman" w:hAnsi="Times New Roman" w:cs="Times New Roman"/>
        </w:rPr>
        <w:t>s tijelo B ima veći nagib na grafu</w:t>
      </w:r>
      <w:r w:rsidR="00B80F8F" w:rsidRPr="00833964">
        <w:rPr>
          <w:rFonts w:ascii="Times New Roman" w:hAnsi="Times New Roman" w:cs="Times New Roman"/>
        </w:rPr>
        <w:t xml:space="preserve"> </w:t>
      </w:r>
      <w:r w:rsidRPr="00833964">
        <w:rPr>
          <w:rFonts w:ascii="Times New Roman" w:hAnsi="Times New Roman" w:cs="Times New Roman"/>
        </w:rPr>
        <w:t xml:space="preserve">(veću promjenu brzine), time mu je i akceleracija veća. </w:t>
      </w:r>
    </w:p>
    <w:p w:rsidR="00CC5A26" w:rsidRPr="00833964" w:rsidRDefault="00046697" w:rsidP="00542D33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  <w:bCs/>
        </w:rPr>
        <w:t>K (točan odgovor):</w:t>
      </w:r>
      <w:r w:rsidRPr="00833964">
        <w:rPr>
          <w:rFonts w:ascii="Times New Roman" w:hAnsi="Times New Roman" w:cs="Times New Roman"/>
          <w:b/>
          <w:bCs/>
        </w:rPr>
        <w:t xml:space="preserve"> </w:t>
      </w:r>
      <w:r w:rsidRPr="00833964">
        <w:rPr>
          <w:rFonts w:ascii="Times New Roman" w:hAnsi="Times New Roman" w:cs="Times New Roman"/>
        </w:rPr>
        <w:t>Ponovo gledamo koja funkcija ima veći kut (nagib) u t</w:t>
      </w:r>
      <w:r w:rsidR="004277B4">
        <w:rPr>
          <w:rFonts w:ascii="Times New Roman" w:hAnsi="Times New Roman" w:cs="Times New Roman"/>
        </w:rPr>
        <w:t xml:space="preserve"> </w:t>
      </w:r>
      <w:r w:rsidRPr="00833964">
        <w:rPr>
          <w:rFonts w:ascii="Times New Roman" w:hAnsi="Times New Roman" w:cs="Times New Roman"/>
        </w:rPr>
        <w:t>=</w:t>
      </w:r>
      <w:r w:rsidR="004277B4">
        <w:rPr>
          <w:rFonts w:ascii="Times New Roman" w:hAnsi="Times New Roman" w:cs="Times New Roman"/>
        </w:rPr>
        <w:t xml:space="preserve"> </w:t>
      </w:r>
      <w:r w:rsidRPr="00833964">
        <w:rPr>
          <w:rFonts w:ascii="Times New Roman" w:hAnsi="Times New Roman" w:cs="Times New Roman"/>
        </w:rPr>
        <w:t>3</w:t>
      </w:r>
      <w:r w:rsidR="004277B4">
        <w:rPr>
          <w:rFonts w:ascii="Times New Roman" w:hAnsi="Times New Roman" w:cs="Times New Roman"/>
        </w:rPr>
        <w:t xml:space="preserve"> </w:t>
      </w:r>
      <w:r w:rsidRPr="00833964">
        <w:rPr>
          <w:rFonts w:ascii="Times New Roman" w:hAnsi="Times New Roman" w:cs="Times New Roman"/>
        </w:rPr>
        <w:t xml:space="preserve">mj i prema tome zaključujemo. </w:t>
      </w:r>
    </w:p>
    <w:p w:rsidR="00EE7F10" w:rsidRPr="00833964" w:rsidRDefault="00B83841" w:rsidP="00E26B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tab/>
        <w:t>Analiza rezultata i studentskih obrazloženja vodi na zaključak</w:t>
      </w:r>
      <w:r w:rsidR="003703D7" w:rsidRPr="00833964">
        <w:rPr>
          <w:rFonts w:ascii="Times New Roman" w:hAnsi="Times New Roman" w:cs="Times New Roman"/>
        </w:rPr>
        <w:t xml:space="preserve"> da je koncept nagiba grafa bolje usvojen i </w:t>
      </w:r>
      <w:r w:rsidR="00E26B29">
        <w:rPr>
          <w:rFonts w:ascii="Times New Roman" w:hAnsi="Times New Roman" w:cs="Times New Roman"/>
        </w:rPr>
        <w:t xml:space="preserve">da </w:t>
      </w:r>
      <w:r w:rsidR="00E26B29" w:rsidRPr="00833964">
        <w:rPr>
          <w:rFonts w:ascii="Times New Roman" w:hAnsi="Times New Roman" w:cs="Times New Roman"/>
        </w:rPr>
        <w:t xml:space="preserve">se </w:t>
      </w:r>
      <w:r w:rsidR="003703D7" w:rsidRPr="00833964">
        <w:rPr>
          <w:rFonts w:ascii="Times New Roman" w:hAnsi="Times New Roman" w:cs="Times New Roman"/>
        </w:rPr>
        <w:t>više transferira nego koncept površine ispod grafa. Koncept nagiba je slične tež</w:t>
      </w:r>
      <w:r w:rsidR="002D157A" w:rsidRPr="00833964">
        <w:rPr>
          <w:rFonts w:ascii="Times New Roman" w:hAnsi="Times New Roman" w:cs="Times New Roman"/>
        </w:rPr>
        <w:t>ine u sva tri područja (Slika 4</w:t>
      </w:r>
      <w:r w:rsidR="003703D7" w:rsidRPr="00833964">
        <w:rPr>
          <w:rFonts w:ascii="Times New Roman" w:hAnsi="Times New Roman" w:cs="Times New Roman"/>
        </w:rPr>
        <w:t xml:space="preserve">), dok je površina ispod grafa vrlo lagana u matematici, ali vrlo teška u fizici </w:t>
      </w:r>
      <w:r w:rsidRPr="00833964">
        <w:rPr>
          <w:rFonts w:ascii="Times New Roman" w:hAnsi="Times New Roman" w:cs="Times New Roman"/>
        </w:rPr>
        <w:t xml:space="preserve">ili drugim kontekstima. To može </w:t>
      </w:r>
      <w:r w:rsidR="002D157A" w:rsidRPr="00833964">
        <w:rPr>
          <w:rFonts w:ascii="Times New Roman" w:hAnsi="Times New Roman" w:cs="Times New Roman"/>
        </w:rPr>
        <w:t xml:space="preserve">dijelom </w:t>
      </w:r>
      <w:r w:rsidRPr="00833964">
        <w:rPr>
          <w:rFonts w:ascii="Times New Roman" w:hAnsi="Times New Roman" w:cs="Times New Roman"/>
        </w:rPr>
        <w:t>biti posljedica toga što je</w:t>
      </w:r>
      <w:r w:rsidR="003703D7" w:rsidRPr="00833964">
        <w:rPr>
          <w:rFonts w:ascii="Times New Roman" w:hAnsi="Times New Roman" w:cs="Times New Roman"/>
        </w:rPr>
        <w:t xml:space="preserve"> u nastavi </w:t>
      </w:r>
      <w:r w:rsidRPr="00833964">
        <w:rPr>
          <w:rFonts w:ascii="Times New Roman" w:hAnsi="Times New Roman" w:cs="Times New Roman"/>
        </w:rPr>
        <w:t xml:space="preserve">i matematike i fizike </w:t>
      </w:r>
      <w:r w:rsidR="002D157A" w:rsidRPr="00833964">
        <w:rPr>
          <w:rFonts w:ascii="Times New Roman" w:hAnsi="Times New Roman" w:cs="Times New Roman"/>
        </w:rPr>
        <w:t xml:space="preserve">naglasak </w:t>
      </w:r>
      <w:r w:rsidRPr="00833964">
        <w:rPr>
          <w:rFonts w:ascii="Times New Roman" w:hAnsi="Times New Roman" w:cs="Times New Roman"/>
        </w:rPr>
        <w:t xml:space="preserve">tipično puno više </w:t>
      </w:r>
      <w:r w:rsidR="003703D7" w:rsidRPr="00833964">
        <w:rPr>
          <w:rFonts w:ascii="Times New Roman" w:hAnsi="Times New Roman" w:cs="Times New Roman"/>
        </w:rPr>
        <w:t>na konceptu nagiba i njegovoj interpretaciji, nego na konceptu površine</w:t>
      </w:r>
      <w:r w:rsidR="00117C40" w:rsidRPr="00833964">
        <w:rPr>
          <w:rFonts w:ascii="Times New Roman" w:hAnsi="Times New Roman" w:cs="Times New Roman"/>
        </w:rPr>
        <w:t xml:space="preserve"> ispod grafa</w:t>
      </w:r>
      <w:r w:rsidR="003703D7" w:rsidRPr="00833964">
        <w:rPr>
          <w:rFonts w:ascii="Times New Roman" w:hAnsi="Times New Roman" w:cs="Times New Roman"/>
        </w:rPr>
        <w:t xml:space="preserve">. </w:t>
      </w:r>
      <w:r w:rsidR="00EE7F10" w:rsidRPr="00833964">
        <w:rPr>
          <w:rFonts w:ascii="Times New Roman" w:hAnsi="Times New Roman" w:cs="Times New Roman"/>
        </w:rPr>
        <w:t>Bilo je očekivano da će zadaci iz matematike biti lakši od zadataka iz fizike i</w:t>
      </w:r>
      <w:r w:rsidR="00E26B29">
        <w:rPr>
          <w:rFonts w:ascii="Times New Roman" w:hAnsi="Times New Roman" w:cs="Times New Roman"/>
        </w:rPr>
        <w:t xml:space="preserve"> zadataka</w:t>
      </w:r>
      <w:r w:rsidR="00EE7F10" w:rsidRPr="00833964">
        <w:rPr>
          <w:rFonts w:ascii="Times New Roman" w:hAnsi="Times New Roman" w:cs="Times New Roman"/>
        </w:rPr>
        <w:t xml:space="preserve"> </w:t>
      </w:r>
      <w:r w:rsidR="002D157A" w:rsidRPr="00833964">
        <w:rPr>
          <w:rFonts w:ascii="Times New Roman" w:hAnsi="Times New Roman" w:cs="Times New Roman"/>
        </w:rPr>
        <w:t xml:space="preserve">iz </w:t>
      </w:r>
      <w:r w:rsidR="00EE7F10" w:rsidRPr="00833964">
        <w:rPr>
          <w:rFonts w:ascii="Times New Roman" w:hAnsi="Times New Roman" w:cs="Times New Roman"/>
        </w:rPr>
        <w:t xml:space="preserve">drugih konteksta, no iznenađujuće je da </w:t>
      </w:r>
      <w:r w:rsidR="00C75106" w:rsidRPr="00833964">
        <w:rPr>
          <w:rFonts w:ascii="Times New Roman" w:hAnsi="Times New Roman" w:cs="Times New Roman"/>
        </w:rPr>
        <w:t xml:space="preserve">su studenti otprilike podjednako </w:t>
      </w:r>
      <w:r w:rsidRPr="00833964">
        <w:rPr>
          <w:rFonts w:ascii="Times New Roman" w:hAnsi="Times New Roman" w:cs="Times New Roman"/>
        </w:rPr>
        <w:t xml:space="preserve">uspješno </w:t>
      </w:r>
      <w:r w:rsidR="00C75106" w:rsidRPr="00833964">
        <w:rPr>
          <w:rFonts w:ascii="Times New Roman" w:hAnsi="Times New Roman" w:cs="Times New Roman"/>
        </w:rPr>
        <w:t>rješavali njima poznate zadatke iz fizike ka</w:t>
      </w:r>
      <w:r w:rsidR="002D157A" w:rsidRPr="00833964">
        <w:rPr>
          <w:rFonts w:ascii="Times New Roman" w:hAnsi="Times New Roman" w:cs="Times New Roman"/>
        </w:rPr>
        <w:t>o i zadatke iz drugih konteksta</w:t>
      </w:r>
      <w:r w:rsidR="00C75106" w:rsidRPr="00833964">
        <w:rPr>
          <w:rFonts w:ascii="Times New Roman" w:hAnsi="Times New Roman" w:cs="Times New Roman"/>
        </w:rPr>
        <w:t xml:space="preserve"> s kojima se prije nisu p</w:t>
      </w:r>
      <w:r w:rsidR="00756BF7" w:rsidRPr="00833964">
        <w:rPr>
          <w:rFonts w:ascii="Times New Roman" w:hAnsi="Times New Roman" w:cs="Times New Roman"/>
        </w:rPr>
        <w:t>uno susretali.  To</w:t>
      </w:r>
      <w:r w:rsidR="001026C8" w:rsidRPr="00833964">
        <w:rPr>
          <w:rFonts w:ascii="Times New Roman" w:hAnsi="Times New Roman" w:cs="Times New Roman"/>
        </w:rPr>
        <w:t xml:space="preserve"> sugerira</w:t>
      </w:r>
      <w:r w:rsidR="00756BF7" w:rsidRPr="00833964">
        <w:rPr>
          <w:rFonts w:ascii="Times New Roman" w:hAnsi="Times New Roman" w:cs="Times New Roman"/>
        </w:rPr>
        <w:t xml:space="preserve"> da </w:t>
      </w:r>
      <w:r w:rsidR="00C75106" w:rsidRPr="00833964">
        <w:rPr>
          <w:rFonts w:ascii="Times New Roman" w:hAnsi="Times New Roman" w:cs="Times New Roman"/>
        </w:rPr>
        <w:t>kinematika</w:t>
      </w:r>
      <w:r w:rsidR="00756BF7" w:rsidRPr="00833964">
        <w:rPr>
          <w:rFonts w:ascii="Times New Roman" w:hAnsi="Times New Roman" w:cs="Times New Roman"/>
        </w:rPr>
        <w:t xml:space="preserve"> učenicima i studentima</w:t>
      </w:r>
      <w:r w:rsidR="00C75106" w:rsidRPr="00833964">
        <w:rPr>
          <w:rFonts w:ascii="Times New Roman" w:hAnsi="Times New Roman" w:cs="Times New Roman"/>
        </w:rPr>
        <w:t xml:space="preserve"> i dalje ostaje zahtjevan kontekst usprkos prethodnom učenju. </w:t>
      </w:r>
    </w:p>
    <w:p w:rsidR="00B17FE7" w:rsidRPr="00833964" w:rsidRDefault="00756BF7" w:rsidP="00E26B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tab/>
      </w:r>
      <w:r w:rsidR="00B17FE7" w:rsidRPr="00833964">
        <w:rPr>
          <w:rFonts w:ascii="Times New Roman" w:hAnsi="Times New Roman" w:cs="Times New Roman"/>
        </w:rPr>
        <w:t xml:space="preserve">Studenti su </w:t>
      </w:r>
      <w:r w:rsidR="00E26B29">
        <w:rPr>
          <w:rFonts w:ascii="Times New Roman" w:hAnsi="Times New Roman" w:cs="Times New Roman"/>
        </w:rPr>
        <w:t>uz od</w:t>
      </w:r>
      <w:r w:rsidRPr="00833964">
        <w:rPr>
          <w:rFonts w:ascii="Times New Roman" w:hAnsi="Times New Roman" w:cs="Times New Roman"/>
        </w:rPr>
        <w:t>govore dali i</w:t>
      </w:r>
      <w:r w:rsidR="00B17FE7" w:rsidRPr="00833964">
        <w:rPr>
          <w:rFonts w:ascii="Times New Roman" w:hAnsi="Times New Roman" w:cs="Times New Roman"/>
        </w:rPr>
        <w:t xml:space="preserve"> obrazloženja iz kojih su se mogle iščitati njihove najčešće strategije. </w:t>
      </w:r>
      <w:r w:rsidR="00E26B29">
        <w:rPr>
          <w:rFonts w:ascii="Times New Roman" w:hAnsi="Times New Roman" w:cs="Times New Roman"/>
        </w:rPr>
        <w:t>Iz nji</w:t>
      </w:r>
      <w:r w:rsidRPr="00833964">
        <w:rPr>
          <w:rFonts w:ascii="Times New Roman" w:hAnsi="Times New Roman" w:cs="Times New Roman"/>
        </w:rPr>
        <w:t xml:space="preserve">h </w:t>
      </w:r>
      <w:r w:rsidR="00B17FE7" w:rsidRPr="00833964">
        <w:rPr>
          <w:rFonts w:ascii="Times New Roman" w:hAnsi="Times New Roman" w:cs="Times New Roman"/>
        </w:rPr>
        <w:t xml:space="preserve">je uočeno da strategije rješavanja doista bitno ovise o kontekstu. U matematici  studenti znaju što ih se pita i daju odgovore pomoću procedura koje su ondje usvojili. Premda je udio točnih odgovora ovdje najveći, ipak treba napomenuti da ima </w:t>
      </w:r>
      <w:r w:rsidR="001026C8" w:rsidRPr="00833964">
        <w:rPr>
          <w:rFonts w:ascii="Times New Roman" w:hAnsi="Times New Roman" w:cs="Times New Roman"/>
        </w:rPr>
        <w:t>i studenata koji imaju problema pri određivanju</w:t>
      </w:r>
      <w:r w:rsidR="00B17FE7" w:rsidRPr="00833964">
        <w:rPr>
          <w:rFonts w:ascii="Times New Roman" w:hAnsi="Times New Roman" w:cs="Times New Roman"/>
        </w:rPr>
        <w:t xml:space="preserve"> nagib</w:t>
      </w:r>
      <w:r w:rsidR="001026C8" w:rsidRPr="00833964">
        <w:rPr>
          <w:rFonts w:ascii="Times New Roman" w:hAnsi="Times New Roman" w:cs="Times New Roman"/>
        </w:rPr>
        <w:t>a pravca ili površine</w:t>
      </w:r>
      <w:r w:rsidR="00B17FE7" w:rsidRPr="00833964">
        <w:rPr>
          <w:rFonts w:ascii="Times New Roman" w:hAnsi="Times New Roman" w:cs="Times New Roman"/>
        </w:rPr>
        <w:t xml:space="preserve"> geometrijskih likova.  U fizici je uočeno jako oslanjanje na formule, što je često blokiralo druge načine zaključivanja koje studenti imaju u svom repertoaru. U drugim kontekstima, gdje se nisu mogli osloniti na uvježbane procedure ili formule, studenti su razmišljali</w:t>
      </w:r>
      <w:r w:rsidR="00C75106" w:rsidRPr="00833964">
        <w:rPr>
          <w:rFonts w:ascii="Times New Roman" w:hAnsi="Times New Roman" w:cs="Times New Roman"/>
        </w:rPr>
        <w:t xml:space="preserve"> na druge</w:t>
      </w:r>
      <w:r w:rsidR="00B17FE7" w:rsidRPr="00833964">
        <w:rPr>
          <w:rFonts w:ascii="Times New Roman" w:hAnsi="Times New Roman" w:cs="Times New Roman"/>
        </w:rPr>
        <w:t xml:space="preserve"> načine</w:t>
      </w:r>
      <w:r w:rsidR="00C75106" w:rsidRPr="00833964">
        <w:rPr>
          <w:rFonts w:ascii="Times New Roman" w:hAnsi="Times New Roman" w:cs="Times New Roman"/>
        </w:rPr>
        <w:t>. On</w:t>
      </w:r>
      <w:r w:rsidR="00453D5A" w:rsidRPr="00833964">
        <w:rPr>
          <w:rFonts w:ascii="Times New Roman" w:hAnsi="Times New Roman" w:cs="Times New Roman"/>
        </w:rPr>
        <w:t xml:space="preserve">dje su </w:t>
      </w:r>
      <w:r w:rsidR="00F97708" w:rsidRPr="00833964">
        <w:rPr>
          <w:rFonts w:ascii="Times New Roman" w:hAnsi="Times New Roman" w:cs="Times New Roman"/>
        </w:rPr>
        <w:t xml:space="preserve">se </w:t>
      </w:r>
      <w:r w:rsidR="00453D5A" w:rsidRPr="00833964">
        <w:rPr>
          <w:rFonts w:ascii="Times New Roman" w:hAnsi="Times New Roman" w:cs="Times New Roman"/>
        </w:rPr>
        <w:t>naj</w:t>
      </w:r>
      <w:r w:rsidR="00F97708" w:rsidRPr="00833964">
        <w:rPr>
          <w:rFonts w:ascii="Times New Roman" w:hAnsi="Times New Roman" w:cs="Times New Roman"/>
        </w:rPr>
        <w:t>više</w:t>
      </w:r>
      <w:r w:rsidR="00453D5A" w:rsidRPr="00833964">
        <w:rPr>
          <w:rFonts w:ascii="Times New Roman" w:hAnsi="Times New Roman" w:cs="Times New Roman"/>
        </w:rPr>
        <w:t xml:space="preserve"> </w:t>
      </w:r>
      <w:r w:rsidR="00F97708" w:rsidRPr="00833964">
        <w:rPr>
          <w:rFonts w:ascii="Times New Roman" w:hAnsi="Times New Roman" w:cs="Times New Roman"/>
        </w:rPr>
        <w:t>izražavali riječima, premda je bilo i pokušaja konstruiranja formula</w:t>
      </w:r>
      <w:r w:rsidR="00467901" w:rsidRPr="00833964">
        <w:rPr>
          <w:rFonts w:ascii="Times New Roman" w:hAnsi="Times New Roman" w:cs="Times New Roman"/>
        </w:rPr>
        <w:t xml:space="preserve"> po analogiji s fizikom ili preko dimenzionalne analize. </w:t>
      </w:r>
      <w:r w:rsidR="00E26B29">
        <w:rPr>
          <w:rFonts w:ascii="Times New Roman" w:hAnsi="Times New Roman" w:cs="Times New Roman"/>
        </w:rPr>
        <w:t>S</w:t>
      </w:r>
      <w:r w:rsidR="00E26B29" w:rsidRPr="00833964">
        <w:rPr>
          <w:rFonts w:ascii="Times New Roman" w:hAnsi="Times New Roman" w:cs="Times New Roman"/>
        </w:rPr>
        <w:t xml:space="preserve">tudenti su u ovom području pokazali </w:t>
      </w:r>
      <w:r w:rsidR="00E26B29">
        <w:rPr>
          <w:rFonts w:ascii="Times New Roman" w:hAnsi="Times New Roman" w:cs="Times New Roman"/>
        </w:rPr>
        <w:t>o</w:t>
      </w:r>
      <w:r w:rsidR="00467901" w:rsidRPr="00833964">
        <w:rPr>
          <w:rFonts w:ascii="Times New Roman" w:hAnsi="Times New Roman" w:cs="Times New Roman"/>
        </w:rPr>
        <w:t xml:space="preserve">sobito kod nagiba </w:t>
      </w:r>
      <w:r w:rsidRPr="00833964">
        <w:rPr>
          <w:rFonts w:ascii="Times New Roman" w:hAnsi="Times New Roman" w:cs="Times New Roman"/>
        </w:rPr>
        <w:t>da su sposobni i za</w:t>
      </w:r>
      <w:r w:rsidR="00467901" w:rsidRPr="00833964">
        <w:rPr>
          <w:rFonts w:ascii="Times New Roman" w:hAnsi="Times New Roman" w:cs="Times New Roman"/>
        </w:rPr>
        <w:t xml:space="preserve"> načine zaključivanja o nagibu koji se ne oslanjaju na formule. To možemo ilustrirati sl</w:t>
      </w:r>
      <w:r w:rsidR="00315A08" w:rsidRPr="00833964">
        <w:rPr>
          <w:rFonts w:ascii="Times New Roman" w:hAnsi="Times New Roman" w:cs="Times New Roman"/>
        </w:rPr>
        <w:t>jedećim primjerim</w:t>
      </w:r>
      <w:r w:rsidR="00EE7F10" w:rsidRPr="00833964">
        <w:rPr>
          <w:rFonts w:ascii="Times New Roman" w:hAnsi="Times New Roman" w:cs="Times New Roman"/>
        </w:rPr>
        <w:t>a</w:t>
      </w:r>
      <w:r w:rsidR="00467901" w:rsidRPr="00833964">
        <w:rPr>
          <w:rFonts w:ascii="Times New Roman" w:hAnsi="Times New Roman" w:cs="Times New Roman"/>
        </w:rPr>
        <w:t xml:space="preserve"> obrazloženja danih uz odgovore na skup pitanja S2</w:t>
      </w:r>
      <w:r w:rsidR="001026C8" w:rsidRPr="00833964">
        <w:rPr>
          <w:rFonts w:ascii="Times New Roman" w:hAnsi="Times New Roman" w:cs="Times New Roman"/>
        </w:rPr>
        <w:t xml:space="preserve"> (Slika 3)</w:t>
      </w:r>
      <w:r w:rsidR="00467901" w:rsidRPr="00833964">
        <w:rPr>
          <w:rFonts w:ascii="Times New Roman" w:hAnsi="Times New Roman" w:cs="Times New Roman"/>
        </w:rPr>
        <w:t>.</w:t>
      </w:r>
    </w:p>
    <w:p w:rsidR="005530F7" w:rsidRDefault="005530F7" w:rsidP="00542D33">
      <w:pPr>
        <w:spacing w:line="240" w:lineRule="auto"/>
        <w:jc w:val="both"/>
        <w:rPr>
          <w:rFonts w:ascii="Times New Roman" w:hAnsi="Times New Roman" w:cs="Times New Roman"/>
        </w:rPr>
      </w:pPr>
    </w:p>
    <w:p w:rsidR="00D3346C" w:rsidRDefault="00D3346C" w:rsidP="00542D33">
      <w:pPr>
        <w:spacing w:line="240" w:lineRule="auto"/>
        <w:jc w:val="both"/>
        <w:rPr>
          <w:rFonts w:ascii="Times New Roman" w:hAnsi="Times New Roman" w:cs="Times New Roman"/>
        </w:rPr>
      </w:pPr>
    </w:p>
    <w:p w:rsidR="00315A08" w:rsidRPr="005530F7" w:rsidRDefault="00315A08" w:rsidP="00FC227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530F7">
        <w:rPr>
          <w:rFonts w:ascii="Times New Roman" w:hAnsi="Times New Roman" w:cs="Times New Roman"/>
          <w:i/>
        </w:rPr>
        <w:lastRenderedPageBreak/>
        <w:t>Student 1</w:t>
      </w:r>
    </w:p>
    <w:p w:rsidR="00467901" w:rsidRPr="00833964" w:rsidRDefault="00467901" w:rsidP="00FC2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t xml:space="preserve">M (točan odgovor): Pravac </w:t>
      </w:r>
      <w:r w:rsidR="00FF2282" w:rsidRPr="00833964">
        <w:rPr>
          <w:rFonts w:ascii="Times New Roman" w:hAnsi="Times New Roman" w:cs="Times New Roman"/>
          <w:i/>
        </w:rPr>
        <w:t>p</w:t>
      </w:r>
      <w:r w:rsidR="00FF2282" w:rsidRPr="00833964">
        <w:rPr>
          <w:rFonts w:ascii="Times New Roman" w:hAnsi="Times New Roman" w:cs="Times New Roman"/>
        </w:rPr>
        <w:t xml:space="preserve"> je strmiji, to vidimo isto iz tg </w:t>
      </w:r>
      <w:r w:rsidR="00FF2282" w:rsidRPr="00833964">
        <w:rPr>
          <w:rFonts w:ascii="Times New Roman" w:hAnsi="Times New Roman" w:cs="Times New Roman"/>
          <w:i/>
        </w:rPr>
        <w:t>α</w:t>
      </w:r>
      <w:r w:rsidR="00FF2282" w:rsidRPr="00833964">
        <w:rPr>
          <w:rFonts w:ascii="Times New Roman" w:hAnsi="Times New Roman" w:cs="Times New Roman"/>
        </w:rPr>
        <w:t xml:space="preserve"> = 2/1 =</w:t>
      </w:r>
      <w:r w:rsidR="004277B4">
        <w:rPr>
          <w:rFonts w:ascii="Times New Roman" w:hAnsi="Times New Roman" w:cs="Times New Roman"/>
        </w:rPr>
        <w:t xml:space="preserve"> </w:t>
      </w:r>
      <w:r w:rsidR="00FF2282" w:rsidRPr="00833964">
        <w:rPr>
          <w:rFonts w:ascii="Times New Roman" w:hAnsi="Times New Roman" w:cs="Times New Roman"/>
        </w:rPr>
        <w:t xml:space="preserve">2 za </w:t>
      </w:r>
      <w:r w:rsidR="00FF2282" w:rsidRPr="00833964">
        <w:rPr>
          <w:rFonts w:ascii="Times New Roman" w:hAnsi="Times New Roman" w:cs="Times New Roman"/>
          <w:i/>
        </w:rPr>
        <w:t>p</w:t>
      </w:r>
      <w:r w:rsidR="00FF2282" w:rsidRPr="00833964">
        <w:rPr>
          <w:rFonts w:ascii="Times New Roman" w:hAnsi="Times New Roman" w:cs="Times New Roman"/>
        </w:rPr>
        <w:t xml:space="preserve"> i tg </w:t>
      </w:r>
      <w:r w:rsidR="00FF2282" w:rsidRPr="00833964">
        <w:rPr>
          <w:rFonts w:ascii="Times New Roman" w:hAnsi="Times New Roman" w:cs="Times New Roman"/>
          <w:i/>
        </w:rPr>
        <w:t>α</w:t>
      </w:r>
      <w:r w:rsidR="00FF2282" w:rsidRPr="00833964">
        <w:rPr>
          <w:rFonts w:ascii="Times New Roman" w:hAnsi="Times New Roman" w:cs="Times New Roman"/>
        </w:rPr>
        <w:t xml:space="preserve"> = 1/1 za </w:t>
      </w:r>
      <w:r w:rsidR="00FF2282" w:rsidRPr="00833964">
        <w:rPr>
          <w:rFonts w:ascii="Times New Roman" w:hAnsi="Times New Roman" w:cs="Times New Roman"/>
          <w:i/>
        </w:rPr>
        <w:t>q</w:t>
      </w:r>
      <w:r w:rsidR="00FF2282" w:rsidRPr="00833964">
        <w:rPr>
          <w:rFonts w:ascii="Times New Roman" w:hAnsi="Times New Roman" w:cs="Times New Roman"/>
        </w:rPr>
        <w:t>.</w:t>
      </w:r>
    </w:p>
    <w:p w:rsidR="00FF2282" w:rsidRPr="00833964" w:rsidRDefault="00FF2282" w:rsidP="00FC2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t xml:space="preserve">K (točan odgovor): ING </w:t>
      </w:r>
      <w:r w:rsidRPr="00833964">
        <w:rPr>
          <w:rFonts w:ascii="Times New Roman" w:hAnsi="Times New Roman" w:cs="Times New Roman"/>
          <w:i/>
        </w:rPr>
        <w:t>t</w:t>
      </w:r>
      <w:r w:rsidRPr="00833964">
        <w:rPr>
          <w:rFonts w:ascii="Times New Roman" w:hAnsi="Times New Roman" w:cs="Times New Roman"/>
        </w:rPr>
        <w:t xml:space="preserve"> = 3 mjeseca od 100 do 300 = 200, EXP </w:t>
      </w:r>
      <w:r w:rsidRPr="00833964">
        <w:rPr>
          <w:rFonts w:ascii="Times New Roman" w:hAnsi="Times New Roman" w:cs="Times New Roman"/>
          <w:i/>
        </w:rPr>
        <w:t>t</w:t>
      </w:r>
      <w:r w:rsidRPr="00833964">
        <w:rPr>
          <w:rFonts w:ascii="Times New Roman" w:hAnsi="Times New Roman" w:cs="Times New Roman"/>
        </w:rPr>
        <w:t xml:space="preserve"> = 3 mjeseca, od 300 do 450 = 150</w:t>
      </w:r>
    </w:p>
    <w:p w:rsidR="00FF2282" w:rsidRDefault="00FF2282" w:rsidP="00FC2273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833964">
        <w:rPr>
          <w:rFonts w:ascii="Times New Roman" w:hAnsi="Times New Roman" w:cs="Times New Roman"/>
        </w:rPr>
        <w:t xml:space="preserve">F (netočan odgovor): </w:t>
      </w:r>
      <w:r w:rsidRPr="00833964">
        <w:rPr>
          <w:rFonts w:ascii="Times New Roman" w:hAnsi="Times New Roman" w:cs="Times New Roman"/>
          <w:i/>
          <w:iCs/>
          <w:lang w:val="en-US"/>
        </w:rPr>
        <w:t>a</w:t>
      </w:r>
      <w:r w:rsidRPr="00833964">
        <w:rPr>
          <w:rFonts w:ascii="Times New Roman" w:hAnsi="Times New Roman" w:cs="Times New Roman"/>
          <w:i/>
          <w:lang w:val="en-US"/>
        </w:rPr>
        <w:t xml:space="preserve"> = </w:t>
      </w:r>
      <w:r w:rsidRPr="00833964">
        <w:rPr>
          <w:rFonts w:ascii="Times New Roman" w:hAnsi="Times New Roman" w:cs="Times New Roman"/>
          <w:i/>
          <w:iCs/>
          <w:lang w:val="en-US"/>
        </w:rPr>
        <w:t>v</w:t>
      </w:r>
      <w:r w:rsidRPr="00833964">
        <w:rPr>
          <w:rFonts w:ascii="Times New Roman" w:hAnsi="Times New Roman" w:cs="Times New Roman"/>
          <w:i/>
          <w:lang w:val="en-US"/>
        </w:rPr>
        <w:t>/</w:t>
      </w:r>
      <w:r w:rsidRPr="00833964">
        <w:rPr>
          <w:rFonts w:ascii="Times New Roman" w:hAnsi="Times New Roman" w:cs="Times New Roman"/>
          <w:i/>
          <w:iCs/>
          <w:lang w:val="en-US"/>
        </w:rPr>
        <w:t>t</w:t>
      </w:r>
      <w:r w:rsidRPr="00833964">
        <w:rPr>
          <w:rFonts w:ascii="Times New Roman" w:hAnsi="Times New Roman" w:cs="Times New Roman"/>
          <w:i/>
          <w:lang w:val="en-US"/>
        </w:rPr>
        <w:t xml:space="preserve"> = 3/2   (B); a = </w:t>
      </w:r>
      <w:r w:rsidRPr="00833964">
        <w:rPr>
          <w:rFonts w:ascii="Times New Roman" w:hAnsi="Times New Roman" w:cs="Times New Roman"/>
          <w:i/>
          <w:iCs/>
          <w:lang w:val="en-US"/>
        </w:rPr>
        <w:t>v</w:t>
      </w:r>
      <w:r w:rsidRPr="00833964">
        <w:rPr>
          <w:rFonts w:ascii="Times New Roman" w:hAnsi="Times New Roman" w:cs="Times New Roman"/>
          <w:i/>
          <w:lang w:val="en-US"/>
        </w:rPr>
        <w:t>/</w:t>
      </w:r>
      <w:r w:rsidRPr="00833964">
        <w:rPr>
          <w:rFonts w:ascii="Times New Roman" w:hAnsi="Times New Roman" w:cs="Times New Roman"/>
          <w:i/>
          <w:iCs/>
          <w:lang w:val="en-US"/>
        </w:rPr>
        <w:t>t</w:t>
      </w:r>
      <w:r w:rsidRPr="00833964">
        <w:rPr>
          <w:rFonts w:ascii="Times New Roman" w:hAnsi="Times New Roman" w:cs="Times New Roman"/>
          <w:i/>
          <w:lang w:val="en-US"/>
        </w:rPr>
        <w:t xml:space="preserve"> = 2.25  (A)</w:t>
      </w:r>
    </w:p>
    <w:p w:rsidR="005530F7" w:rsidRPr="00833964" w:rsidRDefault="005530F7" w:rsidP="00FC2273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</w:p>
    <w:p w:rsidR="00315A08" w:rsidRPr="005530F7" w:rsidRDefault="00315A08" w:rsidP="00FC227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530F7">
        <w:rPr>
          <w:rFonts w:ascii="Times New Roman" w:hAnsi="Times New Roman" w:cs="Times New Roman"/>
          <w:i/>
        </w:rPr>
        <w:t>Student 2</w:t>
      </w:r>
    </w:p>
    <w:p w:rsidR="008B0333" w:rsidRPr="00833964" w:rsidRDefault="008B0333" w:rsidP="00FC2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t xml:space="preserve">M (točan odgovor): </w:t>
      </w:r>
      <w:r w:rsidRPr="00833964">
        <w:rPr>
          <w:rFonts w:ascii="Times New Roman" w:hAnsi="Times New Roman" w:cs="Times New Roman"/>
          <w:i/>
        </w:rPr>
        <w:t xml:space="preserve">y = kx + l </w:t>
      </w:r>
      <w:r w:rsidRPr="00833964">
        <w:rPr>
          <w:rFonts w:ascii="Times New Roman" w:hAnsi="Times New Roman" w:cs="Times New Roman"/>
        </w:rPr>
        <w:t>(računa</w:t>
      </w:r>
      <w:r w:rsidR="00315A08" w:rsidRPr="00833964">
        <w:rPr>
          <w:rFonts w:ascii="Times New Roman" w:hAnsi="Times New Roman" w:cs="Times New Roman"/>
        </w:rPr>
        <w:t xml:space="preserve"> </w:t>
      </w:r>
      <w:r w:rsidR="00315A08" w:rsidRPr="00833964">
        <w:rPr>
          <w:rFonts w:ascii="Times New Roman" w:hAnsi="Times New Roman" w:cs="Times New Roman"/>
          <w:i/>
        </w:rPr>
        <w:t>k</w:t>
      </w:r>
      <w:r w:rsidR="00315A08" w:rsidRPr="00833964">
        <w:rPr>
          <w:rFonts w:ascii="Times New Roman" w:hAnsi="Times New Roman" w:cs="Times New Roman"/>
        </w:rPr>
        <w:t xml:space="preserve"> za oba pravca</w:t>
      </w:r>
      <w:r w:rsidRPr="00833964">
        <w:rPr>
          <w:rFonts w:ascii="Times New Roman" w:hAnsi="Times New Roman" w:cs="Times New Roman"/>
        </w:rPr>
        <w:t>)</w:t>
      </w:r>
    </w:p>
    <w:p w:rsidR="008B0333" w:rsidRPr="00833964" w:rsidRDefault="008B0333" w:rsidP="00FC227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33964">
        <w:rPr>
          <w:rFonts w:ascii="Times New Roman" w:hAnsi="Times New Roman" w:cs="Times New Roman"/>
        </w:rPr>
        <w:t>K (točan odgovor):</w:t>
      </w:r>
      <w:r w:rsidRPr="0083396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33964">
        <w:rPr>
          <w:rFonts w:ascii="Times New Roman" w:hAnsi="Times New Roman" w:cs="Times New Roman"/>
          <w:lang w:val="en-US"/>
        </w:rPr>
        <w:t>Dionica</w:t>
      </w:r>
      <w:proofErr w:type="spellEnd"/>
      <w:r w:rsidRPr="00833964">
        <w:rPr>
          <w:rFonts w:ascii="Times New Roman" w:hAnsi="Times New Roman" w:cs="Times New Roman"/>
          <w:lang w:val="en-US"/>
        </w:rPr>
        <w:t xml:space="preserve"> ING je s </w:t>
      </w:r>
      <w:proofErr w:type="spellStart"/>
      <w:r w:rsidRPr="00833964">
        <w:rPr>
          <w:rFonts w:ascii="Times New Roman" w:hAnsi="Times New Roman" w:cs="Times New Roman"/>
          <w:lang w:val="en-US"/>
        </w:rPr>
        <w:t>manjim</w:t>
      </w:r>
      <w:proofErr w:type="spellEnd"/>
      <w:r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964">
        <w:rPr>
          <w:rFonts w:ascii="Times New Roman" w:hAnsi="Times New Roman" w:cs="Times New Roman"/>
          <w:lang w:val="en-US"/>
        </w:rPr>
        <w:t>startom</w:t>
      </w:r>
      <w:proofErr w:type="spellEnd"/>
      <w:r w:rsidRPr="00833964">
        <w:rPr>
          <w:rFonts w:ascii="Times New Roman" w:hAnsi="Times New Roman" w:cs="Times New Roman"/>
          <w:lang w:val="en-US"/>
        </w:rPr>
        <w:t xml:space="preserve"> u 10 </w:t>
      </w:r>
      <w:proofErr w:type="spellStart"/>
      <w:r w:rsidRPr="00833964">
        <w:rPr>
          <w:rFonts w:ascii="Times New Roman" w:hAnsi="Times New Roman" w:cs="Times New Roman"/>
          <w:lang w:val="en-US"/>
        </w:rPr>
        <w:t>mjeseci</w:t>
      </w:r>
      <w:proofErr w:type="spellEnd"/>
      <w:r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964">
        <w:rPr>
          <w:rFonts w:ascii="Times New Roman" w:hAnsi="Times New Roman" w:cs="Times New Roman"/>
          <w:lang w:val="en-US"/>
        </w:rPr>
        <w:t>postigla</w:t>
      </w:r>
      <w:proofErr w:type="spellEnd"/>
      <w:r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964">
        <w:rPr>
          <w:rFonts w:ascii="Times New Roman" w:hAnsi="Times New Roman" w:cs="Times New Roman"/>
          <w:lang w:val="en-US"/>
        </w:rPr>
        <w:t>veću</w:t>
      </w:r>
      <w:proofErr w:type="spellEnd"/>
      <w:r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964">
        <w:rPr>
          <w:rFonts w:ascii="Times New Roman" w:hAnsi="Times New Roman" w:cs="Times New Roman"/>
          <w:lang w:val="en-US"/>
        </w:rPr>
        <w:t>cijenu</w:t>
      </w:r>
      <w:proofErr w:type="spellEnd"/>
      <w:r w:rsidRPr="00833964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33964">
        <w:rPr>
          <w:rFonts w:ascii="Times New Roman" w:hAnsi="Times New Roman" w:cs="Times New Roman"/>
          <w:lang w:val="en-US"/>
        </w:rPr>
        <w:t>nego</w:t>
      </w:r>
      <w:proofErr w:type="spellEnd"/>
      <w:r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964">
        <w:rPr>
          <w:rFonts w:ascii="Times New Roman" w:hAnsi="Times New Roman" w:cs="Times New Roman"/>
          <w:lang w:val="en-US"/>
        </w:rPr>
        <w:t>dionica</w:t>
      </w:r>
      <w:proofErr w:type="spellEnd"/>
      <w:r w:rsidRPr="00833964">
        <w:rPr>
          <w:rFonts w:ascii="Times New Roman" w:hAnsi="Times New Roman" w:cs="Times New Roman"/>
          <w:lang w:val="en-US"/>
        </w:rPr>
        <w:t xml:space="preserve"> EXP </w:t>
      </w:r>
      <w:proofErr w:type="spellStart"/>
      <w:r w:rsidRPr="00833964">
        <w:rPr>
          <w:rFonts w:ascii="Times New Roman" w:hAnsi="Times New Roman" w:cs="Times New Roman"/>
          <w:lang w:val="en-US"/>
        </w:rPr>
        <w:t>iz</w:t>
      </w:r>
      <w:proofErr w:type="spellEnd"/>
      <w:r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964">
        <w:rPr>
          <w:rFonts w:ascii="Times New Roman" w:hAnsi="Times New Roman" w:cs="Times New Roman"/>
          <w:lang w:val="en-US"/>
        </w:rPr>
        <w:t>čega</w:t>
      </w:r>
      <w:proofErr w:type="spellEnd"/>
      <w:r w:rsidRPr="00833964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833964">
        <w:rPr>
          <w:rFonts w:ascii="Times New Roman" w:hAnsi="Times New Roman" w:cs="Times New Roman"/>
          <w:lang w:val="en-US"/>
        </w:rPr>
        <w:t>da</w:t>
      </w:r>
      <w:proofErr w:type="spellEnd"/>
      <w:r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964">
        <w:rPr>
          <w:rFonts w:ascii="Times New Roman" w:hAnsi="Times New Roman" w:cs="Times New Roman"/>
          <w:lang w:val="en-US"/>
        </w:rPr>
        <w:t>zaključiti</w:t>
      </w:r>
      <w:proofErr w:type="spellEnd"/>
      <w:r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964">
        <w:rPr>
          <w:rFonts w:ascii="Times New Roman" w:hAnsi="Times New Roman" w:cs="Times New Roman"/>
          <w:lang w:val="en-US"/>
        </w:rPr>
        <w:t>da</w:t>
      </w:r>
      <w:proofErr w:type="spellEnd"/>
      <w:r w:rsidRPr="00833964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833964">
        <w:rPr>
          <w:rFonts w:ascii="Times New Roman" w:hAnsi="Times New Roman" w:cs="Times New Roman"/>
          <w:lang w:val="en-US"/>
        </w:rPr>
        <w:t>brzina</w:t>
      </w:r>
      <w:proofErr w:type="spellEnd"/>
      <w:r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964">
        <w:rPr>
          <w:rFonts w:ascii="Times New Roman" w:hAnsi="Times New Roman" w:cs="Times New Roman"/>
          <w:lang w:val="en-US"/>
        </w:rPr>
        <w:t>rasta</w:t>
      </w:r>
      <w:proofErr w:type="spellEnd"/>
      <w:r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964">
        <w:rPr>
          <w:rFonts w:ascii="Times New Roman" w:hAnsi="Times New Roman" w:cs="Times New Roman"/>
          <w:lang w:val="en-US"/>
        </w:rPr>
        <w:t>cijene</w:t>
      </w:r>
      <w:proofErr w:type="spellEnd"/>
      <w:r w:rsidRPr="00833964">
        <w:rPr>
          <w:rFonts w:ascii="Times New Roman" w:hAnsi="Times New Roman" w:cs="Times New Roman"/>
          <w:lang w:val="en-US"/>
        </w:rPr>
        <w:t xml:space="preserve"> ING </w:t>
      </w:r>
      <w:proofErr w:type="spellStart"/>
      <w:r w:rsidRPr="00833964">
        <w:rPr>
          <w:rFonts w:ascii="Times New Roman" w:hAnsi="Times New Roman" w:cs="Times New Roman"/>
          <w:lang w:val="en-US"/>
        </w:rPr>
        <w:t>veća</w:t>
      </w:r>
      <w:proofErr w:type="spellEnd"/>
      <w:r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964">
        <w:rPr>
          <w:rFonts w:ascii="Times New Roman" w:hAnsi="Times New Roman" w:cs="Times New Roman"/>
          <w:lang w:val="en-US"/>
        </w:rPr>
        <w:t>od</w:t>
      </w:r>
      <w:proofErr w:type="spellEnd"/>
      <w:r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964">
        <w:rPr>
          <w:rFonts w:ascii="Times New Roman" w:hAnsi="Times New Roman" w:cs="Times New Roman"/>
          <w:lang w:val="en-US"/>
        </w:rPr>
        <w:t>brzine</w:t>
      </w:r>
      <w:proofErr w:type="spellEnd"/>
      <w:r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964">
        <w:rPr>
          <w:rFonts w:ascii="Times New Roman" w:hAnsi="Times New Roman" w:cs="Times New Roman"/>
          <w:lang w:val="en-US"/>
        </w:rPr>
        <w:t>rasta</w:t>
      </w:r>
      <w:proofErr w:type="spellEnd"/>
      <w:r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964">
        <w:rPr>
          <w:rFonts w:ascii="Times New Roman" w:hAnsi="Times New Roman" w:cs="Times New Roman"/>
          <w:lang w:val="en-US"/>
        </w:rPr>
        <w:t>cijene</w:t>
      </w:r>
      <w:proofErr w:type="spellEnd"/>
      <w:r w:rsidRPr="00833964">
        <w:rPr>
          <w:rFonts w:ascii="Times New Roman" w:hAnsi="Times New Roman" w:cs="Times New Roman"/>
          <w:lang w:val="en-US"/>
        </w:rPr>
        <w:t xml:space="preserve"> EXP.</w:t>
      </w:r>
    </w:p>
    <w:p w:rsidR="008B0333" w:rsidRDefault="008B0333" w:rsidP="00FC227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33964">
        <w:rPr>
          <w:rFonts w:ascii="Times New Roman" w:hAnsi="Times New Roman" w:cs="Times New Roman"/>
        </w:rPr>
        <w:t>F (netočan odgovor):</w:t>
      </w:r>
      <w:r w:rsidR="00315A08" w:rsidRPr="00833964">
        <w:rPr>
          <w:rFonts w:ascii="Times New Roman" w:hAnsi="Times New Roman" w:cs="Times New Roman"/>
        </w:rPr>
        <w:t xml:space="preserve"> </w:t>
      </w:r>
      <w:r w:rsidR="00315A08" w:rsidRPr="00833964">
        <w:rPr>
          <w:rFonts w:ascii="Times New Roman" w:hAnsi="Times New Roman" w:cs="Times New Roman"/>
          <w:i/>
        </w:rPr>
        <w:t>a = v/t</w:t>
      </w:r>
    </w:p>
    <w:p w:rsidR="00FC2273" w:rsidRDefault="00FC2273" w:rsidP="00FC227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F8F" w:rsidRDefault="001026C8" w:rsidP="00FC227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33964">
        <w:rPr>
          <w:rFonts w:ascii="Times New Roman" w:hAnsi="Times New Roman" w:cs="Times New Roman"/>
        </w:rPr>
        <w:tab/>
        <w:t xml:space="preserve">Ova dva primjera pokazuju da studenti koji raspolažu znanjem o nagibu pravca, što se vidi iz odgovora na matematička pitanja, kao i sposobnošću kvalitativnog zaključivanja o nagibu, kako pokazuju odgovori na pitanja iz drugog konteksta, u fizici griješe zbog oslanjanja na krivu formulu </w:t>
      </w:r>
      <w:r w:rsidRPr="00833964">
        <w:rPr>
          <w:rFonts w:ascii="Times New Roman" w:hAnsi="Times New Roman" w:cs="Times New Roman"/>
          <w:i/>
        </w:rPr>
        <w:t>a = v/t.</w:t>
      </w:r>
    </w:p>
    <w:p w:rsidR="005530F7" w:rsidRPr="00833964" w:rsidRDefault="005530F7" w:rsidP="00542D33">
      <w:pPr>
        <w:spacing w:line="240" w:lineRule="auto"/>
        <w:jc w:val="both"/>
        <w:rPr>
          <w:rFonts w:ascii="Times New Roman" w:hAnsi="Times New Roman" w:cs="Times New Roman"/>
        </w:rPr>
      </w:pPr>
    </w:p>
    <w:p w:rsidR="009D718A" w:rsidRPr="00542D33" w:rsidRDefault="00C75106" w:rsidP="00542D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42D33">
        <w:rPr>
          <w:rFonts w:ascii="Times New Roman" w:hAnsi="Times New Roman" w:cs="Times New Roman"/>
          <w:b/>
          <w:sz w:val="24"/>
          <w:szCs w:val="24"/>
          <w:lang w:val="en-US"/>
        </w:rPr>
        <w:t>Zaključak</w:t>
      </w:r>
      <w:proofErr w:type="spellEnd"/>
      <w:r w:rsidRPr="00542D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2D3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42D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2D33">
        <w:rPr>
          <w:rFonts w:ascii="Times New Roman" w:hAnsi="Times New Roman" w:cs="Times New Roman"/>
          <w:b/>
          <w:sz w:val="24"/>
          <w:szCs w:val="24"/>
          <w:lang w:val="en-US"/>
        </w:rPr>
        <w:t>implikacije</w:t>
      </w:r>
      <w:proofErr w:type="spellEnd"/>
      <w:r w:rsidRPr="00542D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2D33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proofErr w:type="spellEnd"/>
      <w:r w:rsidRPr="00542D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2D33">
        <w:rPr>
          <w:rFonts w:ascii="Times New Roman" w:hAnsi="Times New Roman" w:cs="Times New Roman"/>
          <w:b/>
          <w:sz w:val="24"/>
          <w:szCs w:val="24"/>
          <w:lang w:val="en-US"/>
        </w:rPr>
        <w:t>nastavu</w:t>
      </w:r>
      <w:proofErr w:type="spellEnd"/>
    </w:p>
    <w:p w:rsidR="00A20FD9" w:rsidRPr="00833964" w:rsidRDefault="009D718A" w:rsidP="003430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  <w:lang w:val="en-US"/>
        </w:rPr>
        <w:tab/>
      </w:r>
      <w:r w:rsidR="00972EBC" w:rsidRPr="00833964">
        <w:rPr>
          <w:rFonts w:ascii="Times New Roman" w:hAnsi="Times New Roman" w:cs="Times New Roman"/>
          <w:lang w:val="en-US"/>
        </w:rPr>
        <w:t xml:space="preserve">Ova </w:t>
      </w:r>
      <w:proofErr w:type="spellStart"/>
      <w:r w:rsidR="00972EBC" w:rsidRPr="00833964">
        <w:rPr>
          <w:rFonts w:ascii="Times New Roman" w:hAnsi="Times New Roman" w:cs="Times New Roman"/>
          <w:lang w:val="en-US"/>
        </w:rPr>
        <w:t>studija</w:t>
      </w:r>
      <w:proofErr w:type="spellEnd"/>
      <w:r w:rsidR="00972EBC"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2EBC" w:rsidRPr="00833964">
        <w:rPr>
          <w:rFonts w:ascii="Times New Roman" w:hAnsi="Times New Roman" w:cs="Times New Roman"/>
          <w:lang w:val="en-US"/>
        </w:rPr>
        <w:t>pokazuje</w:t>
      </w:r>
      <w:proofErr w:type="spellEnd"/>
      <w:r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964">
        <w:rPr>
          <w:rFonts w:ascii="Times New Roman" w:hAnsi="Times New Roman" w:cs="Times New Roman"/>
          <w:lang w:val="en-US"/>
        </w:rPr>
        <w:t>da</w:t>
      </w:r>
      <w:proofErr w:type="spellEnd"/>
      <w:r w:rsidR="00972EBC" w:rsidRPr="00833964">
        <w:rPr>
          <w:rFonts w:ascii="Times New Roman" w:hAnsi="Times New Roman" w:cs="Times New Roman"/>
          <w:lang w:val="en-US"/>
        </w:rPr>
        <w:t xml:space="preserve"> </w:t>
      </w:r>
      <w:r w:rsidR="00046697" w:rsidRPr="00833964">
        <w:rPr>
          <w:rFonts w:ascii="Times New Roman" w:hAnsi="Times New Roman" w:cs="Times New Roman"/>
        </w:rPr>
        <w:t>kinematika</w:t>
      </w:r>
      <w:r w:rsidRPr="00833964">
        <w:rPr>
          <w:rFonts w:ascii="Times New Roman" w:hAnsi="Times New Roman" w:cs="Times New Roman"/>
        </w:rPr>
        <w:t xml:space="preserve"> ostaje težak kontekst učenicima i studentima</w:t>
      </w:r>
      <w:r w:rsidR="00046697" w:rsidRPr="00833964">
        <w:rPr>
          <w:rFonts w:ascii="Times New Roman" w:hAnsi="Times New Roman" w:cs="Times New Roman"/>
        </w:rPr>
        <w:t xml:space="preserve">, usprkos </w:t>
      </w:r>
      <w:r w:rsidRPr="00833964">
        <w:rPr>
          <w:rFonts w:ascii="Times New Roman" w:hAnsi="Times New Roman" w:cs="Times New Roman"/>
        </w:rPr>
        <w:t xml:space="preserve">prethodnom </w:t>
      </w:r>
      <w:r w:rsidR="00046697" w:rsidRPr="00833964">
        <w:rPr>
          <w:rFonts w:ascii="Times New Roman" w:hAnsi="Times New Roman" w:cs="Times New Roman"/>
        </w:rPr>
        <w:t>učenju</w:t>
      </w:r>
      <w:r w:rsidRPr="00833964">
        <w:rPr>
          <w:rFonts w:ascii="Times New Roman" w:hAnsi="Times New Roman" w:cs="Times New Roman"/>
        </w:rPr>
        <w:t xml:space="preserve">, no to je možda </w:t>
      </w:r>
      <w:r w:rsidR="00343018">
        <w:rPr>
          <w:rFonts w:ascii="Times New Roman" w:hAnsi="Times New Roman" w:cs="Times New Roman"/>
        </w:rPr>
        <w:t xml:space="preserve">barem dijelom </w:t>
      </w:r>
      <w:r w:rsidRPr="00833964">
        <w:rPr>
          <w:rFonts w:ascii="Times New Roman" w:hAnsi="Times New Roman" w:cs="Times New Roman"/>
        </w:rPr>
        <w:t xml:space="preserve">zato što se učenici pretjerano oslanjaju </w:t>
      </w:r>
      <w:proofErr w:type="gramStart"/>
      <w:r w:rsidRPr="00833964">
        <w:rPr>
          <w:rFonts w:ascii="Times New Roman" w:hAnsi="Times New Roman" w:cs="Times New Roman"/>
        </w:rPr>
        <w:t>na</w:t>
      </w:r>
      <w:proofErr w:type="gramEnd"/>
      <w:r w:rsidRPr="00833964">
        <w:rPr>
          <w:rFonts w:ascii="Times New Roman" w:hAnsi="Times New Roman" w:cs="Times New Roman"/>
        </w:rPr>
        <w:t xml:space="preserve"> formule, te time blokiraju druge načine zaključivanja. Svakako bi bilo bitno u nastavi fizike smanjiti oslanjanje na formule, te poticati učenike da i u fizici koriste strategije razmišljanja i zaključivanja koje iskazuju u drugim kontekstima.  A kada se formule koriste, važno je da ih učenici dobro razumiju</w:t>
      </w:r>
      <w:r w:rsidR="006C4DD2" w:rsidRPr="00833964">
        <w:rPr>
          <w:rFonts w:ascii="Times New Roman" w:hAnsi="Times New Roman" w:cs="Times New Roman"/>
        </w:rPr>
        <w:t>, da znaju što znače i kada ih i kako smiju primijeniti</w:t>
      </w:r>
      <w:r w:rsidRPr="00833964">
        <w:rPr>
          <w:rFonts w:ascii="Times New Roman" w:hAnsi="Times New Roman" w:cs="Times New Roman"/>
        </w:rPr>
        <w:t>. Drugi načini zaključivanja o grafovima više će doći do izražaja u kontekstima u kojima nema gotovih formula, te bi bilo dobro i takve zadatke ponekad koristiti na nastavi fizike</w:t>
      </w:r>
      <w:r w:rsidR="00A20FD9" w:rsidRPr="00833964">
        <w:rPr>
          <w:rFonts w:ascii="Times New Roman" w:hAnsi="Times New Roman" w:cs="Times New Roman"/>
        </w:rPr>
        <w:t xml:space="preserve">, kako bi učenici uočili sličnosti s analizom grafova u fizici. Potrebno je poticati povezivanje različitih područja, osobito matematike i fizike, kako bi se potaknuo transfer znanja. </w:t>
      </w:r>
    </w:p>
    <w:p w:rsidR="00CA4763" w:rsidRPr="00833964" w:rsidRDefault="00A20FD9" w:rsidP="003430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964">
        <w:rPr>
          <w:rFonts w:ascii="Times New Roman" w:hAnsi="Times New Roman" w:cs="Times New Roman"/>
        </w:rPr>
        <w:tab/>
        <w:t>T</w:t>
      </w:r>
      <w:r w:rsidR="00046697" w:rsidRPr="00833964">
        <w:rPr>
          <w:rFonts w:ascii="Times New Roman" w:hAnsi="Times New Roman" w:cs="Times New Roman"/>
        </w:rPr>
        <w:t xml:space="preserve">ransfer </w:t>
      </w:r>
      <w:r w:rsidRPr="00833964">
        <w:rPr>
          <w:rFonts w:ascii="Times New Roman" w:hAnsi="Times New Roman" w:cs="Times New Roman"/>
        </w:rPr>
        <w:t xml:space="preserve">znanja, </w:t>
      </w:r>
      <w:r w:rsidR="00046697" w:rsidRPr="00833964">
        <w:rPr>
          <w:rFonts w:ascii="Times New Roman" w:hAnsi="Times New Roman" w:cs="Times New Roman"/>
        </w:rPr>
        <w:t>kao direktna primje</w:t>
      </w:r>
      <w:r w:rsidRPr="00833964">
        <w:rPr>
          <w:rFonts w:ascii="Times New Roman" w:hAnsi="Times New Roman" w:cs="Times New Roman"/>
        </w:rPr>
        <w:t xml:space="preserve">na znanja u kontekstima različitim od onog u kojem je početno usvojeno, </w:t>
      </w:r>
      <w:r w:rsidR="00046697" w:rsidRPr="00833964">
        <w:rPr>
          <w:rFonts w:ascii="Times New Roman" w:hAnsi="Times New Roman" w:cs="Times New Roman"/>
        </w:rPr>
        <w:t xml:space="preserve"> </w:t>
      </w:r>
      <w:r w:rsidRPr="00833964">
        <w:rPr>
          <w:rFonts w:ascii="Times New Roman" w:hAnsi="Times New Roman" w:cs="Times New Roman"/>
        </w:rPr>
        <w:t>uočen je u ovoj studiji (</w:t>
      </w:r>
      <w:r w:rsidR="00046697" w:rsidRPr="00833964">
        <w:rPr>
          <w:rFonts w:ascii="Times New Roman" w:hAnsi="Times New Roman" w:cs="Times New Roman"/>
        </w:rPr>
        <w:t>najviše kod nagiba</w:t>
      </w:r>
      <w:r w:rsidRPr="00833964">
        <w:rPr>
          <w:rFonts w:ascii="Times New Roman" w:hAnsi="Times New Roman" w:cs="Times New Roman"/>
        </w:rPr>
        <w:t xml:space="preserve">), ali nije bio dominantan. </w:t>
      </w:r>
      <w:proofErr w:type="spellStart"/>
      <w:proofErr w:type="gramStart"/>
      <w:r w:rsidR="006C4DD2" w:rsidRPr="00833964">
        <w:rPr>
          <w:rFonts w:ascii="Times New Roman" w:hAnsi="Times New Roman" w:cs="Times New Roman"/>
          <w:lang w:val="en-US"/>
        </w:rPr>
        <w:t>Koncept</w:t>
      </w:r>
      <w:proofErr w:type="spellEnd"/>
      <w:r w:rsidR="006C4DD2"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C4DD2" w:rsidRPr="00833964">
        <w:rPr>
          <w:rFonts w:ascii="Times New Roman" w:hAnsi="Times New Roman" w:cs="Times New Roman"/>
          <w:lang w:val="en-US"/>
        </w:rPr>
        <w:t>nagiba</w:t>
      </w:r>
      <w:proofErr w:type="spellEnd"/>
      <w:r w:rsidR="006C4DD2"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C4DD2" w:rsidRPr="00833964">
        <w:rPr>
          <w:rFonts w:ascii="Times New Roman" w:hAnsi="Times New Roman" w:cs="Times New Roman"/>
          <w:lang w:val="en-US"/>
        </w:rPr>
        <w:t>pokazao</w:t>
      </w:r>
      <w:proofErr w:type="spellEnd"/>
      <w:r w:rsidR="006C4DD2" w:rsidRPr="00833964">
        <w:rPr>
          <w:rFonts w:ascii="Times New Roman" w:hAnsi="Times New Roman" w:cs="Times New Roman"/>
          <w:lang w:val="en-US"/>
        </w:rPr>
        <w:t xml:space="preserve"> </w:t>
      </w:r>
      <w:r w:rsidR="00343018" w:rsidRPr="00833964">
        <w:rPr>
          <w:rFonts w:ascii="Times New Roman" w:hAnsi="Times New Roman" w:cs="Times New Roman"/>
          <w:lang w:val="en-US"/>
        </w:rPr>
        <w:t xml:space="preserve">se </w:t>
      </w:r>
      <w:proofErr w:type="spellStart"/>
      <w:r w:rsidR="006C4DD2" w:rsidRPr="00833964">
        <w:rPr>
          <w:rFonts w:ascii="Times New Roman" w:hAnsi="Times New Roman" w:cs="Times New Roman"/>
          <w:lang w:val="en-US"/>
        </w:rPr>
        <w:t>prilično</w:t>
      </w:r>
      <w:proofErr w:type="spellEnd"/>
      <w:r w:rsidR="006C4DD2"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C4DD2" w:rsidRPr="00833964">
        <w:rPr>
          <w:rFonts w:ascii="Times New Roman" w:hAnsi="Times New Roman" w:cs="Times New Roman"/>
          <w:lang w:val="en-US"/>
        </w:rPr>
        <w:t>homogenim</w:t>
      </w:r>
      <w:proofErr w:type="spellEnd"/>
      <w:r w:rsidR="006C4DD2"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C4DD2" w:rsidRPr="00833964">
        <w:rPr>
          <w:rFonts w:ascii="Times New Roman" w:hAnsi="Times New Roman" w:cs="Times New Roman"/>
          <w:lang w:val="en-US"/>
        </w:rPr>
        <w:t>i</w:t>
      </w:r>
      <w:proofErr w:type="spellEnd"/>
      <w:r w:rsidR="006C4DD2"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C4DD2" w:rsidRPr="00833964">
        <w:rPr>
          <w:rFonts w:ascii="Times New Roman" w:hAnsi="Times New Roman" w:cs="Times New Roman"/>
          <w:lang w:val="en-US"/>
        </w:rPr>
        <w:t>ima</w:t>
      </w:r>
      <w:proofErr w:type="spellEnd"/>
      <w:r w:rsidR="006C4DD2"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C4DD2" w:rsidRPr="00833964">
        <w:rPr>
          <w:rFonts w:ascii="Times New Roman" w:hAnsi="Times New Roman" w:cs="Times New Roman"/>
          <w:lang w:val="en-US"/>
        </w:rPr>
        <w:t>indicija</w:t>
      </w:r>
      <w:proofErr w:type="spellEnd"/>
      <w:r w:rsidR="006C4DD2"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C4DD2" w:rsidRPr="00833964">
        <w:rPr>
          <w:rFonts w:ascii="Times New Roman" w:hAnsi="Times New Roman" w:cs="Times New Roman"/>
          <w:lang w:val="en-US"/>
        </w:rPr>
        <w:t>da</w:t>
      </w:r>
      <w:proofErr w:type="spellEnd"/>
      <w:r w:rsidR="006C4DD2"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C4DD2" w:rsidRPr="00833964">
        <w:rPr>
          <w:rFonts w:ascii="Times New Roman" w:hAnsi="Times New Roman" w:cs="Times New Roman"/>
          <w:lang w:val="en-US"/>
        </w:rPr>
        <w:t>su</w:t>
      </w:r>
      <w:proofErr w:type="spellEnd"/>
      <w:r w:rsidR="006C4DD2"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C4DD2" w:rsidRPr="00833964">
        <w:rPr>
          <w:rFonts w:ascii="Times New Roman" w:hAnsi="Times New Roman" w:cs="Times New Roman"/>
          <w:lang w:val="en-US"/>
        </w:rPr>
        <w:t>ga</w:t>
      </w:r>
      <w:proofErr w:type="spellEnd"/>
      <w:r w:rsidR="006C4DD2"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C4DD2" w:rsidRPr="00833964">
        <w:rPr>
          <w:rFonts w:ascii="Times New Roman" w:hAnsi="Times New Roman" w:cs="Times New Roman"/>
          <w:lang w:val="en-US"/>
        </w:rPr>
        <w:t>studenti</w:t>
      </w:r>
      <w:proofErr w:type="spellEnd"/>
      <w:r w:rsidR="006C4DD2"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C4DD2" w:rsidRPr="00833964">
        <w:rPr>
          <w:rFonts w:ascii="Times New Roman" w:hAnsi="Times New Roman" w:cs="Times New Roman"/>
          <w:lang w:val="en-US"/>
        </w:rPr>
        <w:t>relativno</w:t>
      </w:r>
      <w:proofErr w:type="spellEnd"/>
      <w:r w:rsidR="006C4DD2"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C4DD2" w:rsidRPr="00833964">
        <w:rPr>
          <w:rFonts w:ascii="Times New Roman" w:hAnsi="Times New Roman" w:cs="Times New Roman"/>
          <w:lang w:val="en-US"/>
        </w:rPr>
        <w:t>uspješno</w:t>
      </w:r>
      <w:proofErr w:type="spellEnd"/>
      <w:r w:rsidR="006C4DD2"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C4DD2" w:rsidRPr="00833964">
        <w:rPr>
          <w:rFonts w:ascii="Times New Roman" w:hAnsi="Times New Roman" w:cs="Times New Roman"/>
          <w:lang w:val="en-US"/>
        </w:rPr>
        <w:t>transferirali</w:t>
      </w:r>
      <w:proofErr w:type="spellEnd"/>
      <w:r w:rsidR="006C4DD2"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C4DD2" w:rsidRPr="00833964">
        <w:rPr>
          <w:rFonts w:ascii="Times New Roman" w:hAnsi="Times New Roman" w:cs="Times New Roman"/>
          <w:lang w:val="en-US"/>
        </w:rPr>
        <w:t>iz</w:t>
      </w:r>
      <w:proofErr w:type="spellEnd"/>
      <w:r w:rsidR="006C4DD2"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C4DD2" w:rsidRPr="00833964">
        <w:rPr>
          <w:rFonts w:ascii="Times New Roman" w:hAnsi="Times New Roman" w:cs="Times New Roman"/>
          <w:lang w:val="en-US"/>
        </w:rPr>
        <w:t>matematike</w:t>
      </w:r>
      <w:proofErr w:type="spellEnd"/>
      <w:r w:rsidR="006C4DD2" w:rsidRPr="00833964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6C4DD2" w:rsidRPr="00833964">
        <w:rPr>
          <w:rFonts w:ascii="Times New Roman" w:hAnsi="Times New Roman" w:cs="Times New Roman"/>
          <w:lang w:val="en-US"/>
        </w:rPr>
        <w:t>fiziku</w:t>
      </w:r>
      <w:proofErr w:type="spellEnd"/>
      <w:r w:rsidR="006C4DD2"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C4DD2" w:rsidRPr="00833964">
        <w:rPr>
          <w:rFonts w:ascii="Times New Roman" w:hAnsi="Times New Roman" w:cs="Times New Roman"/>
          <w:lang w:val="en-US"/>
        </w:rPr>
        <w:t>i</w:t>
      </w:r>
      <w:proofErr w:type="spellEnd"/>
      <w:r w:rsidR="006C4DD2" w:rsidRPr="00833964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6C4DD2" w:rsidRPr="00833964">
        <w:rPr>
          <w:rFonts w:ascii="Times New Roman" w:hAnsi="Times New Roman" w:cs="Times New Roman"/>
          <w:lang w:val="en-US"/>
        </w:rPr>
        <w:t>druge</w:t>
      </w:r>
      <w:proofErr w:type="spellEnd"/>
      <w:r w:rsidR="006C4DD2"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C4DD2" w:rsidRPr="00833964">
        <w:rPr>
          <w:rFonts w:ascii="Times New Roman" w:hAnsi="Times New Roman" w:cs="Times New Roman"/>
          <w:lang w:val="en-US"/>
        </w:rPr>
        <w:t>kontekste</w:t>
      </w:r>
      <w:proofErr w:type="spellEnd"/>
      <w:r w:rsidR="006C4DD2" w:rsidRPr="00833964">
        <w:rPr>
          <w:rFonts w:ascii="Times New Roman" w:hAnsi="Times New Roman" w:cs="Times New Roman"/>
          <w:lang w:val="en-US"/>
        </w:rPr>
        <w:t>.</w:t>
      </w:r>
      <w:proofErr w:type="gramEnd"/>
      <w:r w:rsidR="00CA4763" w:rsidRPr="00833964">
        <w:rPr>
          <w:rFonts w:ascii="Times New Roman" w:hAnsi="Times New Roman" w:cs="Times New Roman"/>
        </w:rPr>
        <w:t xml:space="preserve"> S druge bi strane bilo važno više razvijati interpretaciju značenja pov</w:t>
      </w:r>
      <w:r w:rsidR="00343018">
        <w:rPr>
          <w:rFonts w:ascii="Times New Roman" w:hAnsi="Times New Roman" w:cs="Times New Roman"/>
        </w:rPr>
        <w:t>ršine ispod grafa, jer su tu uo</w:t>
      </w:r>
      <w:r w:rsidR="00CA4763" w:rsidRPr="00833964">
        <w:rPr>
          <w:rFonts w:ascii="Times New Roman" w:hAnsi="Times New Roman" w:cs="Times New Roman"/>
        </w:rPr>
        <w:t>čeni najveći problemi.</w:t>
      </w:r>
    </w:p>
    <w:p w:rsidR="00CC5A26" w:rsidRPr="00833964" w:rsidRDefault="00CA4763" w:rsidP="0034301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33964">
        <w:rPr>
          <w:rFonts w:ascii="Times New Roman" w:hAnsi="Times New Roman" w:cs="Times New Roman"/>
          <w:lang w:val="en-US"/>
        </w:rPr>
        <w:tab/>
      </w:r>
      <w:r w:rsidR="00A20FD9" w:rsidRPr="00833964">
        <w:rPr>
          <w:rFonts w:ascii="Times New Roman" w:hAnsi="Times New Roman" w:cs="Times New Roman"/>
          <w:lang w:val="en-US"/>
        </w:rPr>
        <w:t xml:space="preserve">Transfer se </w:t>
      </w:r>
      <w:proofErr w:type="spellStart"/>
      <w:r w:rsidR="006C4DD2" w:rsidRPr="00833964">
        <w:rPr>
          <w:rFonts w:ascii="Times New Roman" w:hAnsi="Times New Roman" w:cs="Times New Roman"/>
          <w:lang w:val="en-US"/>
        </w:rPr>
        <w:t>općenito</w:t>
      </w:r>
      <w:proofErr w:type="spellEnd"/>
      <w:r w:rsidR="006C4DD2"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20FD9" w:rsidRPr="00833964">
        <w:rPr>
          <w:rFonts w:ascii="Times New Roman" w:hAnsi="Times New Roman" w:cs="Times New Roman"/>
          <w:lang w:val="en-US"/>
        </w:rPr>
        <w:t>najčešće</w:t>
      </w:r>
      <w:proofErr w:type="spellEnd"/>
      <w:r w:rsidR="00A20FD9"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20FD9" w:rsidRPr="00833964">
        <w:rPr>
          <w:rFonts w:ascii="Times New Roman" w:hAnsi="Times New Roman" w:cs="Times New Roman"/>
          <w:lang w:val="en-US"/>
        </w:rPr>
        <w:t>odvijao</w:t>
      </w:r>
      <w:proofErr w:type="spellEnd"/>
      <w:r w:rsidR="00A20FD9"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20FD9" w:rsidRPr="00833964">
        <w:rPr>
          <w:rFonts w:ascii="Times New Roman" w:hAnsi="Times New Roman" w:cs="Times New Roman"/>
          <w:lang w:val="en-US"/>
        </w:rPr>
        <w:t>iz</w:t>
      </w:r>
      <w:proofErr w:type="spellEnd"/>
      <w:r w:rsidR="00A20FD9"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20FD9" w:rsidRPr="00833964">
        <w:rPr>
          <w:rFonts w:ascii="Times New Roman" w:hAnsi="Times New Roman" w:cs="Times New Roman"/>
          <w:lang w:val="en-US"/>
        </w:rPr>
        <w:t>matematike</w:t>
      </w:r>
      <w:proofErr w:type="spellEnd"/>
      <w:r w:rsidR="00A20FD9" w:rsidRPr="00833964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A20FD9" w:rsidRPr="00833964">
        <w:rPr>
          <w:rFonts w:ascii="Times New Roman" w:hAnsi="Times New Roman" w:cs="Times New Roman"/>
          <w:lang w:val="en-US"/>
        </w:rPr>
        <w:t>fiziku</w:t>
      </w:r>
      <w:proofErr w:type="spellEnd"/>
      <w:r w:rsidR="00A20FD9" w:rsidRPr="00833964">
        <w:rPr>
          <w:rFonts w:ascii="Times New Roman" w:hAnsi="Times New Roman" w:cs="Times New Roman"/>
          <w:lang w:val="en-US"/>
        </w:rPr>
        <w:t xml:space="preserve">, no </w:t>
      </w:r>
      <w:proofErr w:type="spellStart"/>
      <w:r w:rsidR="00A20FD9" w:rsidRPr="00833964">
        <w:rPr>
          <w:rFonts w:ascii="Times New Roman" w:hAnsi="Times New Roman" w:cs="Times New Roman"/>
          <w:lang w:val="en-US"/>
        </w:rPr>
        <w:t>bilo</w:t>
      </w:r>
      <w:proofErr w:type="spellEnd"/>
      <w:r w:rsidR="00A20FD9" w:rsidRPr="00833964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="00A20FD9" w:rsidRPr="00833964">
        <w:rPr>
          <w:rFonts w:ascii="Times New Roman" w:hAnsi="Times New Roman" w:cs="Times New Roman"/>
          <w:lang w:val="en-US"/>
        </w:rPr>
        <w:t>i</w:t>
      </w:r>
      <w:proofErr w:type="spellEnd"/>
      <w:r w:rsidR="00A20FD9"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20FD9" w:rsidRPr="00833964">
        <w:rPr>
          <w:rFonts w:ascii="Times New Roman" w:hAnsi="Times New Roman" w:cs="Times New Roman"/>
          <w:lang w:val="en-US"/>
        </w:rPr>
        <w:t>obratnih</w:t>
      </w:r>
      <w:proofErr w:type="spellEnd"/>
      <w:r w:rsidR="00A20FD9"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20FD9" w:rsidRPr="00833964">
        <w:rPr>
          <w:rFonts w:ascii="Times New Roman" w:hAnsi="Times New Roman" w:cs="Times New Roman"/>
          <w:lang w:val="en-US"/>
        </w:rPr>
        <w:t>primjera</w:t>
      </w:r>
      <w:proofErr w:type="spellEnd"/>
      <w:r w:rsidR="00A20FD9" w:rsidRPr="00833964">
        <w:rPr>
          <w:rFonts w:ascii="Times New Roman" w:hAnsi="Times New Roman" w:cs="Times New Roman"/>
          <w:lang w:val="en-US"/>
        </w:rPr>
        <w:t xml:space="preserve">, a </w:t>
      </w:r>
      <w:proofErr w:type="spellStart"/>
      <w:r w:rsidR="00A20FD9" w:rsidRPr="00833964">
        <w:rPr>
          <w:rFonts w:ascii="Times New Roman" w:hAnsi="Times New Roman" w:cs="Times New Roman"/>
          <w:lang w:val="en-US"/>
        </w:rPr>
        <w:t>dosta</w:t>
      </w:r>
      <w:proofErr w:type="spellEnd"/>
      <w:r w:rsidR="00A20FD9" w:rsidRPr="00833964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="00A20FD9" w:rsidRPr="00833964">
        <w:rPr>
          <w:rFonts w:ascii="Times New Roman" w:hAnsi="Times New Roman" w:cs="Times New Roman"/>
          <w:lang w:val="en-US"/>
        </w:rPr>
        <w:t>čest</w:t>
      </w:r>
      <w:proofErr w:type="spellEnd"/>
      <w:r w:rsidR="00A20FD9" w:rsidRPr="00833964">
        <w:rPr>
          <w:rFonts w:ascii="Times New Roman" w:hAnsi="Times New Roman" w:cs="Times New Roman"/>
          <w:lang w:val="en-US"/>
        </w:rPr>
        <w:t xml:space="preserve"> bio </w:t>
      </w:r>
      <w:proofErr w:type="spellStart"/>
      <w:r w:rsidR="00A20FD9" w:rsidRPr="00833964">
        <w:rPr>
          <w:rFonts w:ascii="Times New Roman" w:hAnsi="Times New Roman" w:cs="Times New Roman"/>
          <w:lang w:val="en-US"/>
        </w:rPr>
        <w:t>i</w:t>
      </w:r>
      <w:proofErr w:type="spellEnd"/>
      <w:r w:rsidR="00A20FD9" w:rsidRPr="00833964">
        <w:rPr>
          <w:rFonts w:ascii="Times New Roman" w:hAnsi="Times New Roman" w:cs="Times New Roman"/>
          <w:lang w:val="en-US"/>
        </w:rPr>
        <w:t xml:space="preserve"> transfer </w:t>
      </w:r>
      <w:proofErr w:type="spellStart"/>
      <w:r w:rsidR="00A20FD9" w:rsidRPr="00833964">
        <w:rPr>
          <w:rFonts w:ascii="Times New Roman" w:hAnsi="Times New Roman" w:cs="Times New Roman"/>
          <w:lang w:val="en-US"/>
        </w:rPr>
        <w:t>iz</w:t>
      </w:r>
      <w:proofErr w:type="spellEnd"/>
      <w:r w:rsidR="00A20FD9"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20FD9" w:rsidRPr="00833964">
        <w:rPr>
          <w:rFonts w:ascii="Times New Roman" w:hAnsi="Times New Roman" w:cs="Times New Roman"/>
          <w:lang w:val="en-US"/>
        </w:rPr>
        <w:t>fizike</w:t>
      </w:r>
      <w:proofErr w:type="spellEnd"/>
      <w:r w:rsidR="00A20FD9" w:rsidRPr="00833964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A20FD9" w:rsidRPr="00833964">
        <w:rPr>
          <w:rFonts w:ascii="Times New Roman" w:hAnsi="Times New Roman" w:cs="Times New Roman"/>
          <w:lang w:val="en-US"/>
        </w:rPr>
        <w:t>druge</w:t>
      </w:r>
      <w:proofErr w:type="spellEnd"/>
      <w:r w:rsidR="00A20FD9" w:rsidRPr="008339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20FD9" w:rsidRPr="00833964">
        <w:rPr>
          <w:rFonts w:ascii="Times New Roman" w:hAnsi="Times New Roman" w:cs="Times New Roman"/>
          <w:lang w:val="en-US"/>
        </w:rPr>
        <w:t>kontekste</w:t>
      </w:r>
      <w:proofErr w:type="spellEnd"/>
      <w:r w:rsidR="00A20FD9" w:rsidRPr="00833964">
        <w:rPr>
          <w:rFonts w:ascii="Times New Roman" w:hAnsi="Times New Roman" w:cs="Times New Roman"/>
          <w:lang w:val="en-US"/>
        </w:rPr>
        <w:t xml:space="preserve">. </w:t>
      </w:r>
      <w:r w:rsidR="006C4DD2" w:rsidRPr="00833964">
        <w:rPr>
          <w:rFonts w:ascii="Times New Roman" w:hAnsi="Times New Roman" w:cs="Times New Roman"/>
          <w:lang w:val="en-US"/>
        </w:rPr>
        <w:t xml:space="preserve">No </w:t>
      </w:r>
      <w:proofErr w:type="spellStart"/>
      <w:r w:rsidR="006C4DD2" w:rsidRPr="00833964">
        <w:rPr>
          <w:rFonts w:ascii="Times New Roman" w:hAnsi="Times New Roman" w:cs="Times New Roman"/>
          <w:lang w:val="en-US"/>
        </w:rPr>
        <w:t>ipak</w:t>
      </w:r>
      <w:proofErr w:type="spellEnd"/>
      <w:r w:rsidR="006C4DD2" w:rsidRPr="00833964">
        <w:rPr>
          <w:rFonts w:ascii="Times New Roman" w:hAnsi="Times New Roman" w:cs="Times New Roman"/>
          <w:lang w:val="en-US"/>
        </w:rPr>
        <w:t>, z</w:t>
      </w:r>
      <w:r w:rsidR="00A20FD9" w:rsidRPr="00833964">
        <w:rPr>
          <w:rFonts w:ascii="Times New Roman" w:hAnsi="Times New Roman" w:cs="Times New Roman"/>
        </w:rPr>
        <w:t xml:space="preserve">nanje studenata još je uvijek pretežno kompartmentalizirano i ovisno o kontekstu. Uočeno je da </w:t>
      </w:r>
      <w:r w:rsidR="00046697" w:rsidRPr="00833964">
        <w:rPr>
          <w:rFonts w:ascii="Times New Roman" w:hAnsi="Times New Roman" w:cs="Times New Roman"/>
        </w:rPr>
        <w:t xml:space="preserve">različiti konteksti </w:t>
      </w:r>
      <w:r w:rsidR="00A20FD9" w:rsidRPr="00833964">
        <w:rPr>
          <w:rFonts w:ascii="Times New Roman" w:hAnsi="Times New Roman" w:cs="Times New Roman"/>
        </w:rPr>
        <w:t xml:space="preserve">često </w:t>
      </w:r>
      <w:r w:rsidR="00046697" w:rsidRPr="00833964">
        <w:rPr>
          <w:rFonts w:ascii="Times New Roman" w:hAnsi="Times New Roman" w:cs="Times New Roman"/>
        </w:rPr>
        <w:t>aktiviraju različite strategije</w:t>
      </w:r>
      <w:r w:rsidR="00A20FD9" w:rsidRPr="00833964">
        <w:rPr>
          <w:rFonts w:ascii="Times New Roman" w:hAnsi="Times New Roman" w:cs="Times New Roman"/>
        </w:rPr>
        <w:t xml:space="preserve">, a primarna strategija uočena </w:t>
      </w:r>
      <w:r w:rsidR="006C4DD2" w:rsidRPr="00833964">
        <w:rPr>
          <w:rFonts w:ascii="Times New Roman" w:hAnsi="Times New Roman" w:cs="Times New Roman"/>
        </w:rPr>
        <w:t xml:space="preserve">u fizici </w:t>
      </w:r>
      <w:r w:rsidRPr="00833964">
        <w:rPr>
          <w:rFonts w:ascii="Times New Roman" w:hAnsi="Times New Roman" w:cs="Times New Roman"/>
        </w:rPr>
        <w:t xml:space="preserve">bila </w:t>
      </w:r>
      <w:r w:rsidR="006C4DD2" w:rsidRPr="00833964">
        <w:rPr>
          <w:rFonts w:ascii="Times New Roman" w:hAnsi="Times New Roman" w:cs="Times New Roman"/>
        </w:rPr>
        <w:t>je primjena formula</w:t>
      </w:r>
      <w:r w:rsidR="00A20FD9" w:rsidRPr="00833964">
        <w:rPr>
          <w:rFonts w:ascii="Times New Roman" w:hAnsi="Times New Roman" w:cs="Times New Roman"/>
        </w:rPr>
        <w:t xml:space="preserve">. </w:t>
      </w:r>
    </w:p>
    <w:p w:rsidR="006C4DD2" w:rsidRDefault="006C4DD2" w:rsidP="003430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33964">
        <w:rPr>
          <w:rFonts w:ascii="Times New Roman" w:hAnsi="Times New Roman" w:cs="Times New Roman"/>
        </w:rPr>
        <w:tab/>
        <w:t>No, uočen je i drugi oblik transfera kojeg spominju Bransford i Schwartz</w:t>
      </w:r>
      <w:r w:rsidR="0064454C">
        <w:rPr>
          <w:rFonts w:ascii="Times New Roman" w:hAnsi="Times New Roman" w:cs="Times New Roman"/>
        </w:rPr>
        <w:t xml:space="preserve"> (2001)</w:t>
      </w:r>
      <w:r w:rsidRPr="00833964">
        <w:rPr>
          <w:rFonts w:ascii="Times New Roman" w:hAnsi="Times New Roman" w:cs="Times New Roman"/>
        </w:rPr>
        <w:t xml:space="preserve">, a to je </w:t>
      </w:r>
      <w:r w:rsidR="00046697" w:rsidRPr="00833964">
        <w:rPr>
          <w:rFonts w:ascii="Times New Roman" w:hAnsi="Times New Roman" w:cs="Times New Roman"/>
        </w:rPr>
        <w:t xml:space="preserve">transfer kao priprema za </w:t>
      </w:r>
      <w:r w:rsidRPr="00833964">
        <w:rPr>
          <w:rFonts w:ascii="Times New Roman" w:hAnsi="Times New Roman" w:cs="Times New Roman"/>
        </w:rPr>
        <w:t xml:space="preserve">buduće </w:t>
      </w:r>
      <w:r w:rsidR="00CA4763" w:rsidRPr="00833964">
        <w:rPr>
          <w:rFonts w:ascii="Times New Roman" w:hAnsi="Times New Roman" w:cs="Times New Roman"/>
        </w:rPr>
        <w:t>učenje: studenti su u nefizikalnim</w:t>
      </w:r>
      <w:r w:rsidR="00046697" w:rsidRPr="00833964">
        <w:rPr>
          <w:rFonts w:ascii="Times New Roman" w:hAnsi="Times New Roman" w:cs="Times New Roman"/>
        </w:rPr>
        <w:t xml:space="preserve"> kontekstima </w:t>
      </w:r>
      <w:r w:rsidR="00CA4763" w:rsidRPr="00833964">
        <w:rPr>
          <w:rFonts w:ascii="Times New Roman" w:hAnsi="Times New Roman" w:cs="Times New Roman"/>
        </w:rPr>
        <w:t xml:space="preserve">dosta </w:t>
      </w:r>
      <w:r w:rsidR="00046697" w:rsidRPr="00833964">
        <w:rPr>
          <w:rFonts w:ascii="Times New Roman" w:hAnsi="Times New Roman" w:cs="Times New Roman"/>
        </w:rPr>
        <w:t>koristili pristupe problemu razvijene u fizici (npr. dimenzionalnu analizu)</w:t>
      </w:r>
      <w:r w:rsidRPr="00833964">
        <w:rPr>
          <w:rFonts w:ascii="Times New Roman" w:hAnsi="Times New Roman" w:cs="Times New Roman"/>
        </w:rPr>
        <w:t xml:space="preserve">, čak i češće nego u </w:t>
      </w:r>
      <w:r w:rsidRPr="00833964">
        <w:rPr>
          <w:rFonts w:ascii="Times New Roman" w:hAnsi="Times New Roman" w:cs="Times New Roman"/>
        </w:rPr>
        <w:lastRenderedPageBreak/>
        <w:t xml:space="preserve">samoj fizici. </w:t>
      </w:r>
      <w:r w:rsidR="00CA4763" w:rsidRPr="00833964">
        <w:rPr>
          <w:rFonts w:ascii="Times New Roman" w:hAnsi="Times New Roman" w:cs="Times New Roman"/>
          <w:bCs/>
        </w:rPr>
        <w:t>To može značiti da je f</w:t>
      </w:r>
      <w:r w:rsidRPr="00833964">
        <w:rPr>
          <w:rFonts w:ascii="Times New Roman" w:hAnsi="Times New Roman" w:cs="Times New Roman"/>
          <w:bCs/>
        </w:rPr>
        <w:t>izika utjecala na njihovu sposobnost pristupa novim problemima</w:t>
      </w:r>
      <w:r w:rsidR="00CA4763" w:rsidRPr="00833964">
        <w:rPr>
          <w:rFonts w:ascii="Times New Roman" w:hAnsi="Times New Roman" w:cs="Times New Roman"/>
          <w:bCs/>
        </w:rPr>
        <w:t xml:space="preserve">, te ukazuje na važnost </w:t>
      </w:r>
      <w:r w:rsidR="00303DDD">
        <w:rPr>
          <w:rFonts w:ascii="Times New Roman" w:hAnsi="Times New Roman" w:cs="Times New Roman"/>
          <w:bCs/>
        </w:rPr>
        <w:t xml:space="preserve">ovog </w:t>
      </w:r>
      <w:r w:rsidR="00CA4763" w:rsidRPr="00833964">
        <w:rPr>
          <w:rFonts w:ascii="Times New Roman" w:hAnsi="Times New Roman" w:cs="Times New Roman"/>
          <w:bCs/>
        </w:rPr>
        <w:t xml:space="preserve">predmeta  </w:t>
      </w:r>
      <w:r w:rsidR="00303DDD">
        <w:rPr>
          <w:rFonts w:ascii="Times New Roman" w:hAnsi="Times New Roman" w:cs="Times New Roman"/>
          <w:bCs/>
        </w:rPr>
        <w:t>ne samo za stjecanje specifičnih stručnih znanja, nego još više za</w:t>
      </w:r>
      <w:r w:rsidR="00CA4763" w:rsidRPr="00833964">
        <w:rPr>
          <w:rFonts w:ascii="Times New Roman" w:hAnsi="Times New Roman" w:cs="Times New Roman"/>
          <w:bCs/>
        </w:rPr>
        <w:t xml:space="preserve"> razvij</w:t>
      </w:r>
      <w:r w:rsidR="00303DDD">
        <w:rPr>
          <w:rFonts w:ascii="Times New Roman" w:hAnsi="Times New Roman" w:cs="Times New Roman"/>
          <w:bCs/>
        </w:rPr>
        <w:t>anje</w:t>
      </w:r>
      <w:r w:rsidR="00CA4763" w:rsidRPr="00833964">
        <w:rPr>
          <w:rFonts w:ascii="Times New Roman" w:hAnsi="Times New Roman" w:cs="Times New Roman"/>
          <w:bCs/>
        </w:rPr>
        <w:t xml:space="preserve"> razmišljanja, zaključivanja i pristupa problemima. </w:t>
      </w:r>
    </w:p>
    <w:p w:rsidR="00343018" w:rsidRPr="0064454C" w:rsidRDefault="00343018" w:rsidP="0034301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22AC0" w:rsidRPr="00542D33" w:rsidRDefault="00E22AC0" w:rsidP="00542D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D33"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E22AC0" w:rsidRPr="00833964" w:rsidRDefault="00E22AC0" w:rsidP="0034301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33964">
        <w:rPr>
          <w:rFonts w:ascii="Times New Roman" w:hAnsi="Times New Roman" w:cs="Times New Roman"/>
          <w:lang w:val="en-US"/>
        </w:rPr>
        <w:t xml:space="preserve">J. D. </w:t>
      </w:r>
      <w:proofErr w:type="spellStart"/>
      <w:r w:rsidRPr="00833964">
        <w:rPr>
          <w:rFonts w:ascii="Times New Roman" w:hAnsi="Times New Roman" w:cs="Times New Roman"/>
          <w:lang w:val="en-US"/>
        </w:rPr>
        <w:t>Bransford</w:t>
      </w:r>
      <w:proofErr w:type="spellEnd"/>
      <w:r w:rsidRPr="00833964">
        <w:rPr>
          <w:rFonts w:ascii="Times New Roman" w:hAnsi="Times New Roman" w:cs="Times New Roman"/>
          <w:lang w:val="en-US"/>
        </w:rPr>
        <w:t>, A. L. Brown, and R. R. Cocking, How</w:t>
      </w:r>
      <w:r w:rsidRPr="00833964">
        <w:rPr>
          <w:rFonts w:ascii="Times New Roman" w:hAnsi="Times New Roman" w:cs="Times New Roman"/>
          <w:i/>
          <w:iCs/>
          <w:lang w:val="en-US"/>
        </w:rPr>
        <w:t xml:space="preserve"> People Learn: Brain, Mind, Experience, and School</w:t>
      </w:r>
      <w:r w:rsidRPr="00833964">
        <w:rPr>
          <w:rFonts w:ascii="Times New Roman" w:hAnsi="Times New Roman" w:cs="Times New Roman"/>
          <w:lang w:val="en-US"/>
        </w:rPr>
        <w:t xml:space="preserve"> (National Academy Press, Washington DC, 1999).</w:t>
      </w:r>
    </w:p>
    <w:p w:rsidR="000E1D8D" w:rsidRPr="00833964" w:rsidRDefault="000E1D8D" w:rsidP="0034301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33964">
        <w:rPr>
          <w:rFonts w:ascii="Times New Roman" w:hAnsi="Times New Roman" w:cs="Times New Roman"/>
          <w:lang w:val="en-US"/>
        </w:rPr>
        <w:t xml:space="preserve">J. D. </w:t>
      </w:r>
      <w:proofErr w:type="spellStart"/>
      <w:r w:rsidRPr="00833964">
        <w:rPr>
          <w:rFonts w:ascii="Times New Roman" w:hAnsi="Times New Roman" w:cs="Times New Roman"/>
          <w:lang w:val="en-US"/>
        </w:rPr>
        <w:t>Bransford</w:t>
      </w:r>
      <w:proofErr w:type="spellEnd"/>
      <w:r w:rsidRPr="00833964">
        <w:rPr>
          <w:rFonts w:ascii="Times New Roman" w:hAnsi="Times New Roman" w:cs="Times New Roman"/>
          <w:lang w:val="en-US"/>
        </w:rPr>
        <w:t xml:space="preserve"> &amp; D. L. Schwartz (2001).</w:t>
      </w:r>
      <w:proofErr w:type="gramEnd"/>
      <w:r w:rsidRPr="00833964">
        <w:rPr>
          <w:rFonts w:ascii="Times New Roman" w:hAnsi="Times New Roman" w:cs="Times New Roman"/>
          <w:lang w:val="en-US"/>
        </w:rPr>
        <w:t xml:space="preserve"> Rethinking transfer: A simple proposal with multiple implications, u </w:t>
      </w:r>
      <w:r w:rsidRPr="00FF692B">
        <w:rPr>
          <w:rFonts w:ascii="Times New Roman" w:hAnsi="Times New Roman" w:cs="Times New Roman"/>
          <w:i/>
        </w:rPr>
        <w:t>Review of Research in Education</w:t>
      </w:r>
      <w:r w:rsidRPr="00833964">
        <w:rPr>
          <w:rFonts w:ascii="Times New Roman" w:hAnsi="Times New Roman" w:cs="Times New Roman"/>
        </w:rPr>
        <w:t>, Editors: A. Iran-Nejad &amp; P. D. Pearson. Chapter 3. Vol. 24 pp. 61-100,American Educational Research Association (AERA) Washington, DC.</w:t>
      </w:r>
    </w:p>
    <w:p w:rsidR="00CA4763" w:rsidRPr="00833964" w:rsidRDefault="00CA4763" w:rsidP="0034301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33964">
        <w:rPr>
          <w:rFonts w:ascii="Times New Roman" w:hAnsi="Times New Roman" w:cs="Times New Roman"/>
          <w:lang w:val="en-US"/>
        </w:rPr>
        <w:t xml:space="preserve">D. Hammer, A. </w:t>
      </w:r>
      <w:proofErr w:type="spellStart"/>
      <w:r w:rsidRPr="00833964">
        <w:rPr>
          <w:rFonts w:ascii="Times New Roman" w:hAnsi="Times New Roman" w:cs="Times New Roman"/>
          <w:lang w:val="en-US"/>
        </w:rPr>
        <w:t>Elby</w:t>
      </w:r>
      <w:proofErr w:type="spellEnd"/>
      <w:r w:rsidRPr="00833964">
        <w:rPr>
          <w:rFonts w:ascii="Times New Roman" w:hAnsi="Times New Roman" w:cs="Times New Roman"/>
          <w:lang w:val="en-US"/>
        </w:rPr>
        <w:t xml:space="preserve">,  R. E. </w:t>
      </w:r>
      <w:proofErr w:type="spellStart"/>
      <w:r w:rsidRPr="00833964">
        <w:rPr>
          <w:rFonts w:ascii="Times New Roman" w:hAnsi="Times New Roman" w:cs="Times New Roman"/>
          <w:lang w:val="en-US"/>
        </w:rPr>
        <w:t>Scherr</w:t>
      </w:r>
      <w:proofErr w:type="spellEnd"/>
      <w:r w:rsidRPr="00833964">
        <w:rPr>
          <w:rFonts w:ascii="Times New Roman" w:hAnsi="Times New Roman" w:cs="Times New Roman"/>
          <w:lang w:val="en-US"/>
        </w:rPr>
        <w:t xml:space="preserve">, and E. F. </w:t>
      </w:r>
      <w:proofErr w:type="spellStart"/>
      <w:r w:rsidRPr="00833964">
        <w:rPr>
          <w:rFonts w:ascii="Times New Roman" w:hAnsi="Times New Roman" w:cs="Times New Roman"/>
          <w:lang w:val="en-US"/>
        </w:rPr>
        <w:t>Redish</w:t>
      </w:r>
      <w:proofErr w:type="spellEnd"/>
      <w:r w:rsidRPr="00833964">
        <w:rPr>
          <w:rFonts w:ascii="Times New Roman" w:hAnsi="Times New Roman" w:cs="Times New Roman"/>
          <w:lang w:val="en-US"/>
        </w:rPr>
        <w:t xml:space="preserve">, </w:t>
      </w:r>
      <w:r w:rsidRPr="00833964">
        <w:rPr>
          <w:rFonts w:ascii="Times New Roman" w:hAnsi="Times New Roman" w:cs="Times New Roman"/>
          <w:i/>
          <w:lang w:val="en-US"/>
        </w:rPr>
        <w:t>Resources, framing, and transfer</w:t>
      </w:r>
      <w:r w:rsidRPr="00833964">
        <w:rPr>
          <w:rFonts w:ascii="Times New Roman" w:hAnsi="Times New Roman" w:cs="Times New Roman"/>
          <w:lang w:val="en-US"/>
        </w:rPr>
        <w:t xml:space="preserve">, in </w:t>
      </w:r>
      <w:r w:rsidRPr="00833964">
        <w:rPr>
          <w:rFonts w:ascii="Times New Roman" w:hAnsi="Times New Roman" w:cs="Times New Roman"/>
          <w:iCs/>
          <w:lang w:val="en-US"/>
        </w:rPr>
        <w:t xml:space="preserve">Transfer of Learning from a Modern Multidisciplinary Perspective, edited by </w:t>
      </w:r>
      <w:r w:rsidRPr="00833964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833964">
        <w:rPr>
          <w:rFonts w:ascii="Times New Roman" w:hAnsi="Times New Roman" w:cs="Times New Roman"/>
          <w:lang w:val="en-US"/>
        </w:rPr>
        <w:t xml:space="preserve">J. </w:t>
      </w:r>
      <w:proofErr w:type="spellStart"/>
      <w:r w:rsidRPr="00833964">
        <w:rPr>
          <w:rFonts w:ascii="Times New Roman" w:hAnsi="Times New Roman" w:cs="Times New Roman"/>
          <w:lang w:val="en-US"/>
        </w:rPr>
        <w:t>Mestre</w:t>
      </w:r>
      <w:proofErr w:type="spellEnd"/>
      <w:r w:rsidRPr="00833964">
        <w:rPr>
          <w:rFonts w:ascii="Times New Roman" w:hAnsi="Times New Roman" w:cs="Times New Roman"/>
          <w:lang w:val="en-US"/>
        </w:rPr>
        <w:t xml:space="preserve">  (Information Age Publishing, Greenwich, CT, 2005), pp. 89-120.</w:t>
      </w:r>
    </w:p>
    <w:p w:rsidR="00CA4763" w:rsidRPr="00833964" w:rsidRDefault="00CA4763" w:rsidP="0034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33964">
        <w:rPr>
          <w:rFonts w:ascii="Times New Roman" w:hAnsi="Times New Roman" w:cs="Times New Roman"/>
          <w:lang w:val="en-US"/>
        </w:rPr>
        <w:t xml:space="preserve">J. M. Linacre, WINSTEPS </w:t>
      </w:r>
      <w:proofErr w:type="spellStart"/>
      <w:r w:rsidRPr="00833964">
        <w:rPr>
          <w:rFonts w:ascii="Times New Roman" w:hAnsi="Times New Roman" w:cs="Times New Roman"/>
          <w:lang w:val="en-US"/>
        </w:rPr>
        <w:t>Rasch</w:t>
      </w:r>
      <w:proofErr w:type="spellEnd"/>
      <w:r w:rsidRPr="00833964">
        <w:rPr>
          <w:rFonts w:ascii="Times New Roman" w:hAnsi="Times New Roman" w:cs="Times New Roman"/>
          <w:lang w:val="en-US"/>
        </w:rPr>
        <w:t xml:space="preserve"> measurement computer program, Winsteps.com, Chicago, 2006.</w:t>
      </w:r>
    </w:p>
    <w:p w:rsidR="00393644" w:rsidRPr="00833964" w:rsidRDefault="004277B4" w:rsidP="0034301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M. Planinić, Ž. Milin-Šipuš, H. </w:t>
      </w:r>
      <w:proofErr w:type="spellStart"/>
      <w:r>
        <w:rPr>
          <w:rFonts w:ascii="Times New Roman" w:hAnsi="Times New Roman" w:cs="Times New Roman"/>
          <w:lang w:val="en-US"/>
        </w:rPr>
        <w:t>Katić</w:t>
      </w:r>
      <w:proofErr w:type="spellEnd"/>
      <w:r>
        <w:rPr>
          <w:rFonts w:ascii="Times New Roman" w:hAnsi="Times New Roman" w:cs="Times New Roman"/>
          <w:lang w:val="en-US"/>
        </w:rPr>
        <w:t xml:space="preserve">, A. </w:t>
      </w:r>
      <w:proofErr w:type="spellStart"/>
      <w:r>
        <w:rPr>
          <w:rFonts w:ascii="Times New Roman" w:hAnsi="Times New Roman" w:cs="Times New Roman"/>
          <w:lang w:val="en-US"/>
        </w:rPr>
        <w:t>Suš</w:t>
      </w:r>
      <w:r w:rsidR="00393644" w:rsidRPr="00833964">
        <w:rPr>
          <w:rFonts w:ascii="Times New Roman" w:hAnsi="Times New Roman" w:cs="Times New Roman"/>
          <w:lang w:val="en-US"/>
        </w:rPr>
        <w:t>ac</w:t>
      </w:r>
      <w:proofErr w:type="spellEnd"/>
      <w:r w:rsidR="00393644" w:rsidRPr="00833964">
        <w:rPr>
          <w:rFonts w:ascii="Times New Roman" w:hAnsi="Times New Roman" w:cs="Times New Roman"/>
          <w:lang w:val="en-US"/>
        </w:rPr>
        <w:t xml:space="preserve">, and L. Ivanjek, </w:t>
      </w:r>
      <w:r w:rsidR="00DD6126" w:rsidRPr="00833964">
        <w:rPr>
          <w:rFonts w:ascii="Times New Roman" w:hAnsi="Times New Roman" w:cs="Times New Roman"/>
          <w:lang w:val="en-US"/>
        </w:rPr>
        <w:t>(2012)</w:t>
      </w:r>
      <w:r w:rsidR="00DD6126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393644" w:rsidRPr="00833964">
        <w:rPr>
          <w:rFonts w:ascii="Times New Roman" w:hAnsi="Times New Roman" w:cs="Times New Roman"/>
          <w:bCs/>
          <w:lang w:val="en-US"/>
        </w:rPr>
        <w:t>Comparison of student understanding of line graph slope in physics and mathematics</w:t>
      </w:r>
      <w:r w:rsidR="00393644" w:rsidRPr="00833964">
        <w:rPr>
          <w:rFonts w:ascii="Times New Roman" w:hAnsi="Times New Roman" w:cs="Times New Roman"/>
          <w:lang w:val="en-US"/>
        </w:rPr>
        <w:t xml:space="preserve">, </w:t>
      </w:r>
      <w:r w:rsidR="00393644" w:rsidRPr="00FF692B">
        <w:rPr>
          <w:rFonts w:ascii="Times New Roman" w:hAnsi="Times New Roman" w:cs="Times New Roman"/>
          <w:i/>
          <w:iCs/>
          <w:lang w:val="en-US"/>
        </w:rPr>
        <w:t>Int. J. Sci. Math.</w:t>
      </w:r>
      <w:proofErr w:type="gramEnd"/>
      <w:r w:rsidR="00393644" w:rsidRPr="00FF692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proofErr w:type="gramStart"/>
      <w:r w:rsidR="00393644" w:rsidRPr="00FF692B">
        <w:rPr>
          <w:rFonts w:ascii="Times New Roman" w:hAnsi="Times New Roman" w:cs="Times New Roman"/>
          <w:i/>
          <w:iCs/>
          <w:lang w:val="en-US"/>
        </w:rPr>
        <w:t>Edu</w:t>
      </w:r>
      <w:proofErr w:type="spellEnd"/>
      <w:r w:rsidR="00393644" w:rsidRPr="00FF692B">
        <w:rPr>
          <w:rFonts w:ascii="Times New Roman" w:hAnsi="Times New Roman" w:cs="Times New Roman"/>
          <w:i/>
          <w:lang w:val="en-US"/>
        </w:rPr>
        <w:t>.,</w:t>
      </w:r>
      <w:proofErr w:type="gramEnd"/>
      <w:r w:rsidR="00393644" w:rsidRPr="00833964">
        <w:rPr>
          <w:rFonts w:ascii="Times New Roman" w:hAnsi="Times New Roman" w:cs="Times New Roman"/>
          <w:lang w:val="en-US"/>
        </w:rPr>
        <w:t xml:space="preserve"> </w:t>
      </w:r>
      <w:r w:rsidR="00393644" w:rsidRPr="00833964">
        <w:rPr>
          <w:rFonts w:ascii="Times New Roman" w:hAnsi="Times New Roman" w:cs="Times New Roman"/>
          <w:b/>
          <w:lang w:val="en-US"/>
        </w:rPr>
        <w:t>10</w:t>
      </w:r>
      <w:r w:rsidR="00393644" w:rsidRPr="00833964">
        <w:rPr>
          <w:rFonts w:ascii="Times New Roman" w:hAnsi="Times New Roman" w:cs="Times New Roman"/>
          <w:lang w:val="en-US"/>
        </w:rPr>
        <w:t xml:space="preserve"> (6), 1393. </w:t>
      </w:r>
    </w:p>
    <w:p w:rsidR="00CA4763" w:rsidRPr="00833964" w:rsidRDefault="00CA4763" w:rsidP="0034301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33964">
        <w:rPr>
          <w:rFonts w:ascii="Times New Roman" w:hAnsi="Times New Roman" w:cs="Times New Roman"/>
        </w:rPr>
        <w:t xml:space="preserve">M. Planinić, L. Ivanjek, A. Sušac  i Ž. Milin – Šipuš (2013). Comparison of student understanding of graphs in different contexts. </w:t>
      </w:r>
      <w:r w:rsidR="00FF692B" w:rsidRPr="00FF692B">
        <w:rPr>
          <w:rFonts w:ascii="Times New Roman" w:hAnsi="Times New Roman" w:cs="Times New Roman"/>
          <w:i/>
          <w:iCs/>
        </w:rPr>
        <w:t xml:space="preserve">Phys. Rev. ST Phys. Educ. Rev. </w:t>
      </w:r>
      <w:r w:rsidR="00FF692B" w:rsidRPr="00FF692B">
        <w:rPr>
          <w:rFonts w:ascii="Times New Roman" w:hAnsi="Times New Roman" w:cs="Times New Roman"/>
          <w:b/>
          <w:bCs/>
        </w:rPr>
        <w:t>9</w:t>
      </w:r>
      <w:r w:rsidR="00FF692B" w:rsidRPr="00FF692B">
        <w:rPr>
          <w:rFonts w:ascii="Times New Roman" w:hAnsi="Times New Roman" w:cs="Times New Roman"/>
        </w:rPr>
        <w:t>, 020103</w:t>
      </w:r>
      <w:r w:rsidR="00FF692B">
        <w:rPr>
          <w:rFonts w:ascii="Times New Roman" w:hAnsi="Times New Roman" w:cs="Times New Roman"/>
        </w:rPr>
        <w:t>.</w:t>
      </w:r>
      <w:r w:rsidRPr="00833964">
        <w:rPr>
          <w:rFonts w:ascii="Times New Roman" w:hAnsi="Times New Roman" w:cs="Times New Roman"/>
        </w:rPr>
        <w:t xml:space="preserve"> </w:t>
      </w:r>
      <w:proofErr w:type="gramStart"/>
      <w:r w:rsidRPr="00833964">
        <w:rPr>
          <w:rFonts w:ascii="Times New Roman" w:hAnsi="Times New Roman" w:cs="Times New Roman"/>
          <w:lang w:val="en-US"/>
        </w:rPr>
        <w:t>Thorndike &amp; Woodworth (1901).</w:t>
      </w:r>
      <w:proofErr w:type="gramEnd"/>
      <w:r w:rsidR="00DC1C11" w:rsidRPr="00833964">
        <w:rPr>
          <w:rFonts w:ascii="Times New Roman" w:hAnsi="Times New Roman" w:cs="Times New Roman"/>
          <w:lang w:val="en-US"/>
        </w:rPr>
        <w:t xml:space="preserve"> </w:t>
      </w:r>
      <w:r w:rsidR="00046697" w:rsidRPr="00833964">
        <w:rPr>
          <w:rFonts w:ascii="Times New Roman" w:hAnsi="Times New Roman" w:cs="Times New Roman"/>
          <w:bCs/>
        </w:rPr>
        <w:t xml:space="preserve">The influence of improvement in one mental function </w:t>
      </w:r>
      <w:r w:rsidR="00046697" w:rsidRPr="00833964">
        <w:rPr>
          <w:rFonts w:ascii="Times New Roman" w:hAnsi="Times New Roman" w:cs="Times New Roman"/>
          <w:bCs/>
        </w:rPr>
        <w:br/>
        <w:t xml:space="preserve">upon the efficiency of other functions (I), </w:t>
      </w:r>
      <w:r w:rsidR="00046697" w:rsidRPr="00FF692B">
        <w:rPr>
          <w:rFonts w:ascii="Times New Roman" w:hAnsi="Times New Roman" w:cs="Times New Roman"/>
          <w:bCs/>
          <w:i/>
        </w:rPr>
        <w:t>Psychological Review</w:t>
      </w:r>
      <w:r w:rsidR="00046697" w:rsidRPr="00833964">
        <w:rPr>
          <w:rFonts w:ascii="Times New Roman" w:hAnsi="Times New Roman" w:cs="Times New Roman"/>
          <w:bCs/>
        </w:rPr>
        <w:t>, 8, 247.</w:t>
      </w:r>
    </w:p>
    <w:p w:rsidR="00880958" w:rsidRPr="00833964" w:rsidRDefault="00880958" w:rsidP="0034301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33964">
        <w:rPr>
          <w:rFonts w:ascii="Times New Roman" w:hAnsi="Times New Roman" w:cs="Times New Roman"/>
          <w:lang w:val="en-US"/>
        </w:rPr>
        <w:t xml:space="preserve">J. </w:t>
      </w:r>
      <w:proofErr w:type="spellStart"/>
      <w:r w:rsidRPr="00833964">
        <w:rPr>
          <w:rFonts w:ascii="Times New Roman" w:hAnsi="Times New Roman" w:cs="Times New Roman"/>
          <w:lang w:val="en-US"/>
        </w:rPr>
        <w:t>Woolnough</w:t>
      </w:r>
      <w:proofErr w:type="spellEnd"/>
      <w:r w:rsidRPr="00833964">
        <w:rPr>
          <w:rFonts w:ascii="Times New Roman" w:hAnsi="Times New Roman" w:cs="Times New Roman"/>
          <w:lang w:val="en-US"/>
        </w:rPr>
        <w:t>,</w:t>
      </w:r>
      <w:r w:rsidRPr="00833964">
        <w:rPr>
          <w:rFonts w:ascii="Times New Roman" w:hAnsi="Times New Roman" w:cs="Times New Roman"/>
          <w:iCs/>
          <w:lang w:val="en-US"/>
        </w:rPr>
        <w:t xml:space="preserve"> How do students learn to apply their mathematical knowledge to interpret graphs in physics?</w:t>
      </w:r>
      <w:r w:rsidRPr="00833964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FF692B">
        <w:rPr>
          <w:rFonts w:ascii="Times New Roman" w:hAnsi="Times New Roman" w:cs="Times New Roman"/>
          <w:i/>
          <w:iCs/>
          <w:lang w:val="en-US"/>
        </w:rPr>
        <w:t>Res. Sci. Educ</w:t>
      </w:r>
      <w:r w:rsidRPr="00FF692B">
        <w:rPr>
          <w:rFonts w:ascii="Times New Roman" w:hAnsi="Times New Roman" w:cs="Times New Roman"/>
          <w:i/>
          <w:lang w:val="en-US"/>
        </w:rPr>
        <w:t>.</w:t>
      </w:r>
      <w:r w:rsidRPr="00FF692B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833964">
        <w:rPr>
          <w:rFonts w:ascii="Times New Roman" w:hAnsi="Times New Roman" w:cs="Times New Roman"/>
          <w:b/>
          <w:lang w:val="en-US"/>
        </w:rPr>
        <w:t>30</w:t>
      </w:r>
      <w:r w:rsidRPr="00833964">
        <w:rPr>
          <w:rFonts w:ascii="Times New Roman" w:hAnsi="Times New Roman" w:cs="Times New Roman"/>
          <w:lang w:val="en-US"/>
        </w:rPr>
        <w:t>, 259 (2000).</w:t>
      </w:r>
    </w:p>
    <w:sectPr w:rsidR="00880958" w:rsidRPr="00833964" w:rsidSect="000C556B">
      <w:pgSz w:w="9979" w:h="14175" w:code="34"/>
      <w:pgMar w:top="1134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55B41"/>
    <w:multiLevelType w:val="hybridMultilevel"/>
    <w:tmpl w:val="51FC856A"/>
    <w:lvl w:ilvl="0" w:tplc="D318BA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3A9E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34E7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A2F3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BE05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D05D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B09C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9E43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E259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1E419AA"/>
    <w:multiLevelType w:val="hybridMultilevel"/>
    <w:tmpl w:val="A482B10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F2B85"/>
    <w:multiLevelType w:val="hybridMultilevel"/>
    <w:tmpl w:val="71426CEC"/>
    <w:lvl w:ilvl="0" w:tplc="10E6CA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BC02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AAD6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A221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7409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BE9B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70E5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262F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4A8C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58F6026"/>
    <w:multiLevelType w:val="hybridMultilevel"/>
    <w:tmpl w:val="C212E4AA"/>
    <w:lvl w:ilvl="0" w:tplc="CE122E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0239D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646C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0E43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C076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2888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8AF2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9AD1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8E67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487A"/>
    <w:rsid w:val="000028DE"/>
    <w:rsid w:val="00006766"/>
    <w:rsid w:val="00046697"/>
    <w:rsid w:val="0007051B"/>
    <w:rsid w:val="00075E12"/>
    <w:rsid w:val="00081777"/>
    <w:rsid w:val="00081B30"/>
    <w:rsid w:val="000B0DB0"/>
    <w:rsid w:val="000B3617"/>
    <w:rsid w:val="000C556B"/>
    <w:rsid w:val="000C75A2"/>
    <w:rsid w:val="000E1D8D"/>
    <w:rsid w:val="001026C8"/>
    <w:rsid w:val="0011153B"/>
    <w:rsid w:val="00117C40"/>
    <w:rsid w:val="00127149"/>
    <w:rsid w:val="0015195E"/>
    <w:rsid w:val="001621B8"/>
    <w:rsid w:val="00232574"/>
    <w:rsid w:val="0024300E"/>
    <w:rsid w:val="00251D46"/>
    <w:rsid w:val="00281614"/>
    <w:rsid w:val="00282362"/>
    <w:rsid w:val="002B13CF"/>
    <w:rsid w:val="002C71BD"/>
    <w:rsid w:val="002D157A"/>
    <w:rsid w:val="002D6708"/>
    <w:rsid w:val="002F414C"/>
    <w:rsid w:val="00303DDD"/>
    <w:rsid w:val="003055C8"/>
    <w:rsid w:val="00315A08"/>
    <w:rsid w:val="00327589"/>
    <w:rsid w:val="00343018"/>
    <w:rsid w:val="00354EFB"/>
    <w:rsid w:val="003703D7"/>
    <w:rsid w:val="003766A3"/>
    <w:rsid w:val="00393644"/>
    <w:rsid w:val="003B487A"/>
    <w:rsid w:val="003D479A"/>
    <w:rsid w:val="0042728E"/>
    <w:rsid w:val="004277B4"/>
    <w:rsid w:val="00453D5A"/>
    <w:rsid w:val="00467901"/>
    <w:rsid w:val="004A1B8F"/>
    <w:rsid w:val="004D4742"/>
    <w:rsid w:val="00507B19"/>
    <w:rsid w:val="00511A7E"/>
    <w:rsid w:val="00514829"/>
    <w:rsid w:val="00542D33"/>
    <w:rsid w:val="005530F7"/>
    <w:rsid w:val="005541A8"/>
    <w:rsid w:val="00576AF2"/>
    <w:rsid w:val="005D4192"/>
    <w:rsid w:val="005F3271"/>
    <w:rsid w:val="006043C9"/>
    <w:rsid w:val="00606586"/>
    <w:rsid w:val="0063554E"/>
    <w:rsid w:val="00642626"/>
    <w:rsid w:val="0064454C"/>
    <w:rsid w:val="006825D1"/>
    <w:rsid w:val="006C4DD2"/>
    <w:rsid w:val="00707394"/>
    <w:rsid w:val="00720375"/>
    <w:rsid w:val="00752770"/>
    <w:rsid w:val="00756BF7"/>
    <w:rsid w:val="0076316A"/>
    <w:rsid w:val="007678FE"/>
    <w:rsid w:val="007820CE"/>
    <w:rsid w:val="007C66D6"/>
    <w:rsid w:val="00833964"/>
    <w:rsid w:val="008554D6"/>
    <w:rsid w:val="00873614"/>
    <w:rsid w:val="00880958"/>
    <w:rsid w:val="008B0333"/>
    <w:rsid w:val="008B1EAC"/>
    <w:rsid w:val="008E1070"/>
    <w:rsid w:val="008F4EB3"/>
    <w:rsid w:val="0092631D"/>
    <w:rsid w:val="00945DAD"/>
    <w:rsid w:val="00954155"/>
    <w:rsid w:val="00960F45"/>
    <w:rsid w:val="00972EBC"/>
    <w:rsid w:val="0099018E"/>
    <w:rsid w:val="0099583A"/>
    <w:rsid w:val="009B5F01"/>
    <w:rsid w:val="009D718A"/>
    <w:rsid w:val="009E7F98"/>
    <w:rsid w:val="009F67E6"/>
    <w:rsid w:val="00A100A2"/>
    <w:rsid w:val="00A20FD9"/>
    <w:rsid w:val="00A521E0"/>
    <w:rsid w:val="00A7512C"/>
    <w:rsid w:val="00AB4E91"/>
    <w:rsid w:val="00AD0DAD"/>
    <w:rsid w:val="00B17FE7"/>
    <w:rsid w:val="00B427A3"/>
    <w:rsid w:val="00B42BEA"/>
    <w:rsid w:val="00B80F8F"/>
    <w:rsid w:val="00B83841"/>
    <w:rsid w:val="00B85002"/>
    <w:rsid w:val="00B870A3"/>
    <w:rsid w:val="00BA675B"/>
    <w:rsid w:val="00BD6246"/>
    <w:rsid w:val="00C21238"/>
    <w:rsid w:val="00C70003"/>
    <w:rsid w:val="00C75106"/>
    <w:rsid w:val="00C7701E"/>
    <w:rsid w:val="00C8022D"/>
    <w:rsid w:val="00CA4763"/>
    <w:rsid w:val="00CC5A26"/>
    <w:rsid w:val="00D1363C"/>
    <w:rsid w:val="00D3346C"/>
    <w:rsid w:val="00D65E17"/>
    <w:rsid w:val="00DB6C3B"/>
    <w:rsid w:val="00DC1C11"/>
    <w:rsid w:val="00DD4401"/>
    <w:rsid w:val="00DD6126"/>
    <w:rsid w:val="00E22AC0"/>
    <w:rsid w:val="00E26B29"/>
    <w:rsid w:val="00E276E3"/>
    <w:rsid w:val="00E34B0B"/>
    <w:rsid w:val="00E37BEB"/>
    <w:rsid w:val="00E8045F"/>
    <w:rsid w:val="00E837CD"/>
    <w:rsid w:val="00EC6654"/>
    <w:rsid w:val="00EE7F10"/>
    <w:rsid w:val="00F11E92"/>
    <w:rsid w:val="00F30608"/>
    <w:rsid w:val="00F42B0B"/>
    <w:rsid w:val="00F6691E"/>
    <w:rsid w:val="00F75BDF"/>
    <w:rsid w:val="00F928E0"/>
    <w:rsid w:val="00F97708"/>
    <w:rsid w:val="00FC2273"/>
    <w:rsid w:val="00FF2282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6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9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8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6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8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0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5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2.xml"/><Relationship Id="rId5" Type="http://schemas.openxmlformats.org/officeDocument/2006/relationships/image" Target="media/image1.png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ja\Desktop\PMC\PODRUCJA-CLANA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ja\Desktop\PRST-RESUB-GRAFOVI.23.2.2013\PODRUCJA-CLANA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ja\Dropbox\Grafovi%20Aneta\NAGIB%20kateg_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bg1">
                <a:lumMod val="50000"/>
              </a:schemeClr>
            </a:solidFill>
          </c:spPr>
          <c:errBars>
            <c:errBarType val="both"/>
            <c:errValType val="cust"/>
            <c:plus>
              <c:numRef>
                <c:f>List2!$D$92:$D$97</c:f>
                <c:numCache>
                  <c:formatCode>General</c:formatCode>
                  <c:ptCount val="6"/>
                  <c:pt idx="0">
                    <c:v>0.13</c:v>
                  </c:pt>
                  <c:pt idx="1">
                    <c:v>0.19000000000000011</c:v>
                  </c:pt>
                  <c:pt idx="2">
                    <c:v>0.34000000000000036</c:v>
                  </c:pt>
                  <c:pt idx="3">
                    <c:v>0.34000000000000036</c:v>
                  </c:pt>
                  <c:pt idx="4">
                    <c:v>0.50604128070521859</c:v>
                  </c:pt>
                  <c:pt idx="5">
                    <c:v>0.14000000000000001</c:v>
                  </c:pt>
                </c:numCache>
              </c:numRef>
            </c:plus>
            <c:minus>
              <c:numRef>
                <c:f>List2!$D$92:$D$97</c:f>
                <c:numCache>
                  <c:formatCode>General</c:formatCode>
                  <c:ptCount val="6"/>
                  <c:pt idx="0">
                    <c:v>0.13</c:v>
                  </c:pt>
                  <c:pt idx="1">
                    <c:v>0.19000000000000011</c:v>
                  </c:pt>
                  <c:pt idx="2">
                    <c:v>0.34000000000000036</c:v>
                  </c:pt>
                  <c:pt idx="3">
                    <c:v>0.34000000000000036</c:v>
                  </c:pt>
                  <c:pt idx="4">
                    <c:v>0.50604128070521859</c:v>
                  </c:pt>
                  <c:pt idx="5">
                    <c:v>0.14000000000000001</c:v>
                  </c:pt>
                </c:numCache>
              </c:numRef>
            </c:minus>
          </c:errBars>
          <c:cat>
            <c:strRef>
              <c:f>List2!$A$92:$A$97</c:f>
              <c:strCache>
                <c:ptCount val="6"/>
                <c:pt idx="0">
                  <c:v>NAGIB - M</c:v>
                </c:pt>
                <c:pt idx="1">
                  <c:v>NAGIB - F</c:v>
                </c:pt>
                <c:pt idx="2">
                  <c:v>NAGIB - K</c:v>
                </c:pt>
                <c:pt idx="3">
                  <c:v>POV -M</c:v>
                </c:pt>
                <c:pt idx="4">
                  <c:v>POV - F</c:v>
                </c:pt>
                <c:pt idx="5">
                  <c:v>POV - K</c:v>
                </c:pt>
              </c:strCache>
            </c:strRef>
          </c:cat>
          <c:val>
            <c:numRef>
              <c:f>List2!$C$92:$C$97</c:f>
              <c:numCache>
                <c:formatCode>0.00</c:formatCode>
                <c:ptCount val="6"/>
                <c:pt idx="0">
                  <c:v>-0.50600000000000001</c:v>
                </c:pt>
                <c:pt idx="1">
                  <c:v>3.4000000000000002E-2</c:v>
                </c:pt>
                <c:pt idx="2">
                  <c:v>-0.18000000000000024</c:v>
                </c:pt>
                <c:pt idx="3">
                  <c:v>-1.23</c:v>
                </c:pt>
                <c:pt idx="4">
                  <c:v>1.31</c:v>
                </c:pt>
                <c:pt idx="5">
                  <c:v>1.1133333333333333</c:v>
                </c:pt>
              </c:numCache>
            </c:numRef>
          </c:val>
        </c:ser>
        <c:axId val="84744448"/>
        <c:axId val="84866176"/>
      </c:barChart>
      <c:catAx>
        <c:axId val="8474444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0" i="0" baseline="0"/>
            </a:pPr>
            <a:endParaRPr lang="sr-Latn-CS"/>
          </a:p>
        </c:txPr>
        <c:crossAx val="84866176"/>
        <c:crosses val="autoZero"/>
        <c:auto val="1"/>
        <c:lblAlgn val="ctr"/>
        <c:lblOffset val="100"/>
      </c:catAx>
      <c:valAx>
        <c:axId val="84866176"/>
        <c:scaling>
          <c:orientation val="minMax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sz="1200" b="0" i="0" baseline="0"/>
            </a:pPr>
            <a:endParaRPr lang="sr-Latn-CS"/>
          </a:p>
        </c:txPr>
        <c:crossAx val="8474444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plotArea>
      <c:layout/>
      <c:barChart>
        <c:barDir val="col"/>
        <c:grouping val="clustered"/>
        <c:ser>
          <c:idx val="0"/>
          <c:order val="0"/>
          <c:spPr>
            <a:solidFill>
              <a:prstClr val="white">
                <a:lumMod val="50000"/>
              </a:prstClr>
            </a:solidFill>
          </c:spPr>
          <c:errBars>
            <c:errBarType val="both"/>
            <c:errValType val="cust"/>
            <c:plus>
              <c:numRef>
                <c:f>List2!$D$116:$D$118</c:f>
                <c:numCache>
                  <c:formatCode>General</c:formatCode>
                  <c:ptCount val="3"/>
                  <c:pt idx="0">
                    <c:v>0.19711932118824471</c:v>
                  </c:pt>
                  <c:pt idx="1">
                    <c:v>0.31471004228382332</c:v>
                  </c:pt>
                  <c:pt idx="2">
                    <c:v>0.31864108783573852</c:v>
                  </c:pt>
                </c:numCache>
              </c:numRef>
            </c:plus>
            <c:minus>
              <c:numRef>
                <c:f>List2!$D$116:$D$118</c:f>
                <c:numCache>
                  <c:formatCode>General</c:formatCode>
                  <c:ptCount val="3"/>
                  <c:pt idx="0">
                    <c:v>0.19711932118824471</c:v>
                  </c:pt>
                  <c:pt idx="1">
                    <c:v>0.31471004228382332</c:v>
                  </c:pt>
                  <c:pt idx="2">
                    <c:v>0.31864108783573852</c:v>
                  </c:pt>
                </c:numCache>
              </c:numRef>
            </c:minus>
          </c:errBars>
          <c:cat>
            <c:strRef>
              <c:f>List2!$A$116:$A$118</c:f>
              <c:strCache>
                <c:ptCount val="3"/>
                <c:pt idx="0">
                  <c:v>MATEMATIKA</c:v>
                </c:pt>
                <c:pt idx="1">
                  <c:v>FIZIKA</c:v>
                </c:pt>
                <c:pt idx="2">
                  <c:v>DRUGI KONTEKSTI</c:v>
                </c:pt>
              </c:strCache>
            </c:strRef>
          </c:cat>
          <c:val>
            <c:numRef>
              <c:f>List2!$C$116:$C$118</c:f>
              <c:numCache>
                <c:formatCode>0.00</c:formatCode>
                <c:ptCount val="3"/>
                <c:pt idx="0">
                  <c:v>-0.77750000000000064</c:v>
                </c:pt>
                <c:pt idx="1">
                  <c:v>0.51124999999999998</c:v>
                </c:pt>
                <c:pt idx="2">
                  <c:v>0.30500000000000038</c:v>
                </c:pt>
              </c:numCache>
            </c:numRef>
          </c:val>
        </c:ser>
        <c:axId val="101909632"/>
        <c:axId val="101911168"/>
      </c:barChart>
      <c:catAx>
        <c:axId val="10190963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0" i="0" baseline="0"/>
            </a:pPr>
            <a:endParaRPr lang="sr-Latn-CS"/>
          </a:p>
        </c:txPr>
        <c:crossAx val="101911168"/>
        <c:crosses val="autoZero"/>
        <c:auto val="1"/>
        <c:lblAlgn val="ctr"/>
        <c:lblOffset val="100"/>
      </c:catAx>
      <c:valAx>
        <c:axId val="101911168"/>
        <c:scaling>
          <c:orientation val="minMax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sz="1200" baseline="0"/>
            </a:pPr>
            <a:endParaRPr lang="sr-Latn-CS"/>
          </a:p>
        </c:txPr>
        <c:crossAx val="10190963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TRANSFER!$H$4</c:f>
              <c:strCache>
                <c:ptCount val="1"/>
                <c:pt idx="0">
                  <c:v>M 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cat>
            <c:strRef>
              <c:f>TRANSFER!$A$5:$A$12</c:f>
              <c:strCache>
                <c:ptCount val="8"/>
                <c:pt idx="0">
                  <c:v>odredi nagib</c:v>
                </c:pt>
                <c:pt idx="1">
                  <c:v>usporedi nagibe</c:v>
                </c:pt>
                <c:pt idx="2">
                  <c:v>opiši nagib</c:v>
                </c:pt>
                <c:pt idx="3">
                  <c:v>pronađi negativan nagib</c:v>
                </c:pt>
                <c:pt idx="4">
                  <c:v>nagib krivulje i pravca</c:v>
                </c:pt>
                <c:pt idx="5">
                  <c:v>površina 1 </c:v>
                </c:pt>
                <c:pt idx="6">
                  <c:v>površina 2</c:v>
                </c:pt>
                <c:pt idx="7">
                  <c:v>površina 3</c:v>
                </c:pt>
              </c:strCache>
            </c:strRef>
          </c:cat>
          <c:val>
            <c:numRef>
              <c:f>TRANSFER!$H$5:$H$12</c:f>
              <c:numCache>
                <c:formatCode>General</c:formatCode>
                <c:ptCount val="8"/>
                <c:pt idx="0">
                  <c:v>201</c:v>
                </c:pt>
                <c:pt idx="1">
                  <c:v>311</c:v>
                </c:pt>
                <c:pt idx="2">
                  <c:v>302</c:v>
                </c:pt>
                <c:pt idx="3">
                  <c:v>339</c:v>
                </c:pt>
                <c:pt idx="4">
                  <c:v>199</c:v>
                </c:pt>
                <c:pt idx="5">
                  <c:v>339</c:v>
                </c:pt>
                <c:pt idx="6">
                  <c:v>277</c:v>
                </c:pt>
                <c:pt idx="7">
                  <c:v>234</c:v>
                </c:pt>
              </c:numCache>
            </c:numRef>
          </c:val>
        </c:ser>
        <c:ser>
          <c:idx val="1"/>
          <c:order val="1"/>
          <c:tx>
            <c:strRef>
              <c:f>TRANSFER!$C$4</c:f>
              <c:strCache>
                <c:ptCount val="1"/>
                <c:pt idx="0">
                  <c:v> M&amp;F</c:v>
                </c:pt>
              </c:strCache>
            </c:strRef>
          </c:tx>
          <c:spPr>
            <a:solidFill>
              <a:schemeClr val="tx1"/>
            </a:solidFill>
          </c:spPr>
          <c:val>
            <c:numRef>
              <c:f>TRANSFER!$C$5:$C$12</c:f>
              <c:numCache>
                <c:formatCode>General</c:formatCode>
                <c:ptCount val="8"/>
                <c:pt idx="0">
                  <c:v>84</c:v>
                </c:pt>
                <c:pt idx="1">
                  <c:v>222</c:v>
                </c:pt>
                <c:pt idx="2">
                  <c:v>237</c:v>
                </c:pt>
                <c:pt idx="3">
                  <c:v>283</c:v>
                </c:pt>
                <c:pt idx="4">
                  <c:v>136</c:v>
                </c:pt>
                <c:pt idx="5">
                  <c:v>141</c:v>
                </c:pt>
                <c:pt idx="6">
                  <c:v>37</c:v>
                </c:pt>
                <c:pt idx="7">
                  <c:v>20</c:v>
                </c:pt>
              </c:numCache>
            </c:numRef>
          </c:val>
        </c:ser>
        <c:ser>
          <c:idx val="3"/>
          <c:order val="2"/>
          <c:tx>
            <c:strRef>
              <c:f>TRANSFER!$D$4</c:f>
              <c:strCache>
                <c:ptCount val="1"/>
                <c:pt idx="0">
                  <c:v>M&amp;K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val>
            <c:numRef>
              <c:f>TRANSFER!$D$5:$D$12</c:f>
              <c:numCache>
                <c:formatCode>General</c:formatCode>
                <c:ptCount val="8"/>
                <c:pt idx="0">
                  <c:v>57</c:v>
                </c:pt>
                <c:pt idx="1">
                  <c:v>277</c:v>
                </c:pt>
                <c:pt idx="2">
                  <c:v>246</c:v>
                </c:pt>
                <c:pt idx="3">
                  <c:v>245</c:v>
                </c:pt>
                <c:pt idx="4">
                  <c:v>132</c:v>
                </c:pt>
                <c:pt idx="5">
                  <c:v>66</c:v>
                </c:pt>
                <c:pt idx="6">
                  <c:v>53</c:v>
                </c:pt>
                <c:pt idx="7">
                  <c:v>39</c:v>
                </c:pt>
              </c:numCache>
            </c:numRef>
          </c:val>
        </c:ser>
        <c:axId val="102207488"/>
        <c:axId val="102209024"/>
      </c:barChart>
      <c:catAx>
        <c:axId val="10220748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0" i="0" baseline="0">
                <a:latin typeface="Calibri" pitchFamily="34" charset="0"/>
              </a:defRPr>
            </a:pPr>
            <a:endParaRPr lang="sr-Latn-CS"/>
          </a:p>
        </c:txPr>
        <c:crossAx val="102209024"/>
        <c:crosses val="autoZero"/>
        <c:auto val="1"/>
        <c:lblAlgn val="ctr"/>
        <c:lblOffset val="100"/>
      </c:catAx>
      <c:valAx>
        <c:axId val="1022090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sr-Latn-CS"/>
          </a:p>
        </c:txPr>
        <c:crossAx val="102207488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="0" i="0" baseline="0"/>
          </a:pPr>
          <a:endParaRPr lang="sr-Latn-C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9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Maja</cp:lastModifiedBy>
  <cp:revision>71</cp:revision>
  <dcterms:created xsi:type="dcterms:W3CDTF">2013-03-18T10:46:00Z</dcterms:created>
  <dcterms:modified xsi:type="dcterms:W3CDTF">2013-10-02T09:26:00Z</dcterms:modified>
</cp:coreProperties>
</file>