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8E" w:rsidRDefault="005A7A8E" w:rsidP="00E377E6">
      <w:pPr>
        <w:spacing w:line="240" w:lineRule="auto"/>
        <w:ind w:firstLine="0"/>
        <w:jc w:val="center"/>
        <w:rPr>
          <w:rFonts w:ascii="Times New Roman" w:hAnsi="Times New Roman"/>
          <w:b/>
          <w:sz w:val="30"/>
          <w:szCs w:val="30"/>
        </w:rPr>
      </w:pPr>
      <w:r w:rsidRPr="005A7A8E">
        <w:rPr>
          <w:rFonts w:ascii="Times New Roman" w:hAnsi="Times New Roman"/>
          <w:b/>
          <w:sz w:val="30"/>
          <w:szCs w:val="30"/>
        </w:rPr>
        <w:t>Stečaj: okvir za malverzacije ili za namirenje vjerovnika i rehabilitaciju povjerenja?</w:t>
      </w:r>
      <w:r w:rsidRPr="005A7A8E">
        <w:rPr>
          <w:rStyle w:val="FootnoteReference"/>
          <w:rFonts w:ascii="Times New Roman" w:hAnsi="Times New Roman"/>
          <w:szCs w:val="30"/>
        </w:rPr>
        <w:footnoteReference w:id="1"/>
      </w:r>
    </w:p>
    <w:p w:rsidR="0025596B" w:rsidRPr="0025596B" w:rsidRDefault="0025596B" w:rsidP="00E377E6">
      <w:pPr>
        <w:spacing w:after="0" w:line="240" w:lineRule="auto"/>
        <w:ind w:firstLine="0"/>
        <w:jc w:val="center"/>
        <w:rPr>
          <w:rFonts w:ascii="Times New Roman" w:hAnsi="Times New Roman"/>
        </w:rPr>
      </w:pPr>
      <w:r w:rsidRPr="0025596B">
        <w:rPr>
          <w:rFonts w:ascii="Times New Roman" w:hAnsi="Times New Roman"/>
        </w:rPr>
        <w:t>doc. dr. sc. Domagoj Sajter</w:t>
      </w:r>
      <w:r w:rsidR="004268E3">
        <w:rPr>
          <w:rFonts w:ascii="Times New Roman" w:hAnsi="Times New Roman"/>
        </w:rPr>
        <w:br/>
      </w:r>
      <w:r w:rsidR="004268E3" w:rsidRPr="0025596B">
        <w:rPr>
          <w:rFonts w:ascii="Times New Roman" w:hAnsi="Times New Roman"/>
        </w:rPr>
        <w:t>sajter@</w:t>
      </w:r>
      <w:proofErr w:type="spellStart"/>
      <w:r w:rsidR="004268E3" w:rsidRPr="0025596B">
        <w:rPr>
          <w:rFonts w:ascii="Times New Roman" w:hAnsi="Times New Roman"/>
        </w:rPr>
        <w:t>efos.hr</w:t>
      </w:r>
      <w:proofErr w:type="spellEnd"/>
    </w:p>
    <w:p w:rsidR="0025596B" w:rsidRPr="0025596B" w:rsidRDefault="0025596B" w:rsidP="00E377E6">
      <w:pPr>
        <w:spacing w:after="0" w:line="240" w:lineRule="auto"/>
        <w:ind w:firstLine="0"/>
        <w:jc w:val="center"/>
        <w:rPr>
          <w:rFonts w:ascii="Times New Roman" w:hAnsi="Times New Roman"/>
        </w:rPr>
      </w:pPr>
      <w:r w:rsidRPr="0025596B">
        <w:rPr>
          <w:rFonts w:ascii="Times New Roman" w:hAnsi="Times New Roman"/>
        </w:rPr>
        <w:t>Ekonomski fakultet u Osijeku</w:t>
      </w:r>
      <w:r>
        <w:rPr>
          <w:rFonts w:ascii="Times New Roman" w:hAnsi="Times New Roman"/>
        </w:rPr>
        <w:t>, Gajev trg 7, 31000 Osijek</w:t>
      </w:r>
    </w:p>
    <w:p w:rsidR="0025596B" w:rsidRDefault="004268E3" w:rsidP="00E377E6">
      <w:pPr>
        <w:spacing w:after="0" w:line="240" w:lineRule="auto"/>
        <w:ind w:firstLine="0"/>
        <w:jc w:val="center"/>
        <w:rPr>
          <w:rFonts w:ascii="Times New Roman" w:hAnsi="Times New Roman"/>
        </w:rPr>
      </w:pPr>
      <w:r>
        <w:rPr>
          <w:rFonts w:ascii="Times New Roman" w:hAnsi="Times New Roman"/>
        </w:rPr>
        <w:t>tel. +38531224478</w:t>
      </w:r>
    </w:p>
    <w:p w:rsidR="004268E3" w:rsidRPr="0025596B" w:rsidRDefault="004268E3" w:rsidP="00E377E6">
      <w:pPr>
        <w:spacing w:after="0" w:line="480" w:lineRule="auto"/>
        <w:ind w:firstLine="0"/>
        <w:jc w:val="center"/>
        <w:rPr>
          <w:rFonts w:ascii="Times New Roman" w:hAnsi="Times New Roman"/>
        </w:rPr>
      </w:pPr>
    </w:p>
    <w:p w:rsidR="005A7A8E" w:rsidRPr="005A7A8E" w:rsidRDefault="005A7A8E" w:rsidP="00E377E6">
      <w:pPr>
        <w:spacing w:line="480" w:lineRule="auto"/>
        <w:ind w:firstLine="0"/>
        <w:rPr>
          <w:rFonts w:ascii="Times New Roman" w:hAnsi="Times New Roman"/>
          <w:b/>
        </w:rPr>
      </w:pPr>
      <w:r w:rsidRPr="005A7A8E">
        <w:rPr>
          <w:rFonts w:ascii="Times New Roman" w:hAnsi="Times New Roman"/>
          <w:b/>
        </w:rPr>
        <w:t>Sažetak</w:t>
      </w:r>
    </w:p>
    <w:p w:rsidR="005A7A8E" w:rsidRPr="005A7A8E" w:rsidRDefault="005A7A8E" w:rsidP="00E377E6">
      <w:pPr>
        <w:spacing w:line="480" w:lineRule="auto"/>
        <w:ind w:firstLine="0"/>
        <w:rPr>
          <w:rFonts w:ascii="Times New Roman" w:hAnsi="Times New Roman"/>
        </w:rPr>
      </w:pPr>
      <w:r w:rsidRPr="005A7A8E">
        <w:rPr>
          <w:rFonts w:ascii="Times New Roman" w:hAnsi="Times New Roman"/>
        </w:rPr>
        <w:t xml:space="preserve">Cilj </w:t>
      </w:r>
      <w:r w:rsidR="002728D1" w:rsidRPr="005A7A8E">
        <w:rPr>
          <w:rFonts w:ascii="Times New Roman" w:hAnsi="Times New Roman"/>
        </w:rPr>
        <w:t xml:space="preserve">je </w:t>
      </w:r>
      <w:r w:rsidRPr="005A7A8E">
        <w:rPr>
          <w:rFonts w:ascii="Times New Roman" w:hAnsi="Times New Roman"/>
        </w:rPr>
        <w:t>ovoga rada ukazati na praktične probleme u stečajnim postupcima prikazom rezultata terenskog istraživanja zaključenih stečajeva, kako bi stečajni postupak kvalitetnije isp</w:t>
      </w:r>
      <w:r w:rsidR="001B3108">
        <w:rPr>
          <w:rFonts w:ascii="Times New Roman" w:hAnsi="Times New Roman"/>
        </w:rPr>
        <w:t>unjavao svoje</w:t>
      </w:r>
      <w:r w:rsidRPr="005A7A8E">
        <w:rPr>
          <w:rFonts w:ascii="Times New Roman" w:hAnsi="Times New Roman"/>
        </w:rPr>
        <w:t xml:space="preserve"> </w:t>
      </w:r>
      <w:r w:rsidR="001B3108">
        <w:rPr>
          <w:rFonts w:ascii="Times New Roman" w:hAnsi="Times New Roman"/>
        </w:rPr>
        <w:t>ciljeve</w:t>
      </w:r>
      <w:r w:rsidRPr="005A7A8E">
        <w:rPr>
          <w:rFonts w:ascii="Times New Roman" w:hAnsi="Times New Roman"/>
        </w:rPr>
        <w:t>. Istraživanje je izvedeno na uzorku od 30 stečajeva većih dioničkih društava s područja Slavonije i Baranje, a provedeno je u Trgovačkom sudu u Osijeku, Državnom arhivu u Osijeku, Državnom arhivu u Vukovaru (Arhivski sabirni centar u Vinkovcima) i regionalnom uredu Financijske agencije. U radu su prikazane i srednje vrijednosti trajanja stečajnog postupka, razine namirenja vjerovnika i visine novčanih nagrada stečajni</w:t>
      </w:r>
      <w:r w:rsidR="00CE0676">
        <w:rPr>
          <w:rFonts w:ascii="Times New Roman" w:hAnsi="Times New Roman"/>
        </w:rPr>
        <w:t>h</w:t>
      </w:r>
      <w:r w:rsidRPr="005A7A8E">
        <w:rPr>
          <w:rFonts w:ascii="Times New Roman" w:hAnsi="Times New Roman"/>
        </w:rPr>
        <w:t xml:space="preserve"> upravitelj</w:t>
      </w:r>
      <w:r w:rsidR="00CE0676">
        <w:rPr>
          <w:rFonts w:ascii="Times New Roman" w:hAnsi="Times New Roman"/>
        </w:rPr>
        <w:t>a</w:t>
      </w:r>
      <w:r w:rsidRPr="005A7A8E">
        <w:rPr>
          <w:rFonts w:ascii="Times New Roman" w:hAnsi="Times New Roman"/>
        </w:rPr>
        <w:t xml:space="preserve">. Rezultati </w:t>
      </w:r>
      <w:r w:rsidR="001B3108">
        <w:rPr>
          <w:rFonts w:ascii="Times New Roman" w:hAnsi="Times New Roman"/>
        </w:rPr>
        <w:t xml:space="preserve">istraživanja </w:t>
      </w:r>
      <w:r w:rsidRPr="005A7A8E">
        <w:rPr>
          <w:rFonts w:ascii="Times New Roman" w:hAnsi="Times New Roman"/>
        </w:rPr>
        <w:t xml:space="preserve">pokazuju </w:t>
      </w:r>
      <w:r w:rsidR="001B3108">
        <w:rPr>
          <w:rFonts w:ascii="Times New Roman" w:hAnsi="Times New Roman"/>
        </w:rPr>
        <w:t>da je praktična provedba stečajeva često u</w:t>
      </w:r>
      <w:r w:rsidRPr="005A7A8E">
        <w:rPr>
          <w:rFonts w:ascii="Times New Roman" w:hAnsi="Times New Roman"/>
        </w:rPr>
        <w:t xml:space="preserve"> koliziji sa </w:t>
      </w:r>
      <w:r w:rsidR="001B3108">
        <w:rPr>
          <w:rFonts w:ascii="Times New Roman" w:hAnsi="Times New Roman"/>
        </w:rPr>
        <w:t xml:space="preserve">zakonski definiranim </w:t>
      </w:r>
      <w:r w:rsidRPr="005A7A8E">
        <w:rPr>
          <w:rFonts w:ascii="Times New Roman" w:hAnsi="Times New Roman"/>
        </w:rPr>
        <w:t xml:space="preserve">ciljevima stečajnog postupka. Stečajni upravitelji često </w:t>
      </w:r>
      <w:r w:rsidR="002728D1" w:rsidRPr="005A7A8E">
        <w:rPr>
          <w:rFonts w:ascii="Times New Roman" w:hAnsi="Times New Roman"/>
        </w:rPr>
        <w:t xml:space="preserve">su </w:t>
      </w:r>
      <w:r w:rsidRPr="005A7A8E">
        <w:rPr>
          <w:rFonts w:ascii="Times New Roman" w:hAnsi="Times New Roman"/>
        </w:rPr>
        <w:t xml:space="preserve">neuredni pri vođenju poslovne dokumentacije i imaju mogućnost u troškove postupka ugraditi rashode čija namjena nije jasna, a u postupcima nije neuobičajeno promatrati izigravanje volje vjerovnika. </w:t>
      </w:r>
      <w:r w:rsidR="001B3108">
        <w:rPr>
          <w:rFonts w:ascii="Times New Roman" w:hAnsi="Times New Roman"/>
        </w:rPr>
        <w:t xml:space="preserve">Stoga je </w:t>
      </w:r>
      <w:r w:rsidRPr="005A7A8E">
        <w:rPr>
          <w:rFonts w:ascii="Times New Roman" w:hAnsi="Times New Roman"/>
        </w:rPr>
        <w:t>potrebno unaprijediti transparentnost stečajnog postupka kako bi se vjerovnici namirivali u većoj mjeri, odnosno kako bi dužnik imao bolje izglede za opstanak.</w:t>
      </w:r>
    </w:p>
    <w:p w:rsidR="005A7A8E" w:rsidRPr="005A7A8E" w:rsidRDefault="005A7A8E" w:rsidP="00E377E6">
      <w:pPr>
        <w:spacing w:line="480" w:lineRule="auto"/>
        <w:ind w:firstLine="0"/>
        <w:rPr>
          <w:rFonts w:ascii="Times New Roman" w:hAnsi="Times New Roman"/>
        </w:rPr>
      </w:pPr>
      <w:r w:rsidRPr="005A7A8E">
        <w:rPr>
          <w:rFonts w:ascii="Times New Roman" w:hAnsi="Times New Roman"/>
          <w:b/>
        </w:rPr>
        <w:t>Ključne riječi</w:t>
      </w:r>
      <w:r w:rsidRPr="005A7A8E">
        <w:rPr>
          <w:rFonts w:ascii="Times New Roman" w:hAnsi="Times New Roman"/>
        </w:rPr>
        <w:t>:</w:t>
      </w:r>
      <w:r w:rsidRPr="005A7A8E">
        <w:rPr>
          <w:rFonts w:ascii="Times New Roman" w:hAnsi="Times New Roman"/>
        </w:rPr>
        <w:tab/>
      </w:r>
      <w:r w:rsidR="00343030">
        <w:rPr>
          <w:rFonts w:ascii="Times New Roman" w:hAnsi="Times New Roman"/>
        </w:rPr>
        <w:t xml:space="preserve"> </w:t>
      </w:r>
      <w:r w:rsidRPr="005A7A8E">
        <w:rPr>
          <w:rFonts w:ascii="Times New Roman" w:hAnsi="Times New Roman"/>
        </w:rPr>
        <w:t>stečaj, stečajni upra</w:t>
      </w:r>
      <w:r w:rsidR="00343030">
        <w:rPr>
          <w:rFonts w:ascii="Times New Roman" w:hAnsi="Times New Roman"/>
        </w:rPr>
        <w:t>vitelj, vjerovnici, povjerenje, pronevjera</w:t>
      </w:r>
    </w:p>
    <w:p w:rsidR="005A7A8E" w:rsidRPr="005A7A8E" w:rsidRDefault="005A7A8E" w:rsidP="00E377E6">
      <w:pPr>
        <w:spacing w:line="480" w:lineRule="auto"/>
        <w:ind w:firstLine="0"/>
        <w:rPr>
          <w:rFonts w:ascii="Times New Roman" w:hAnsi="Times New Roman"/>
        </w:rPr>
      </w:pPr>
      <w:r w:rsidRPr="005A7A8E">
        <w:rPr>
          <w:rFonts w:ascii="Times New Roman" w:hAnsi="Times New Roman"/>
          <w:b/>
        </w:rPr>
        <w:t>JEL klasifikacija</w:t>
      </w:r>
      <w:r w:rsidRPr="005A7A8E">
        <w:rPr>
          <w:rFonts w:ascii="Times New Roman" w:hAnsi="Times New Roman"/>
        </w:rPr>
        <w:t xml:space="preserve">: </w:t>
      </w:r>
      <w:r w:rsidRPr="005A7A8E">
        <w:rPr>
          <w:rFonts w:ascii="Times New Roman" w:hAnsi="Times New Roman"/>
        </w:rPr>
        <w:tab/>
        <w:t>G33, D73, K22, K42</w:t>
      </w:r>
    </w:p>
    <w:p w:rsidR="005A7A8E" w:rsidRDefault="005A7A8E" w:rsidP="00E377E6">
      <w:pPr>
        <w:spacing w:line="480" w:lineRule="auto"/>
        <w:rPr>
          <w:rFonts w:ascii="Times New Roman" w:hAnsi="Times New Roman"/>
        </w:rPr>
      </w:pPr>
    </w:p>
    <w:p w:rsidR="005A7A8E" w:rsidRPr="005A7A8E" w:rsidRDefault="005A7A8E" w:rsidP="00E377E6">
      <w:pPr>
        <w:pStyle w:val="Heading1"/>
        <w:spacing w:line="480" w:lineRule="auto"/>
        <w:jc w:val="left"/>
      </w:pPr>
      <w:r w:rsidRPr="005A7A8E">
        <w:lastRenderedPageBreak/>
        <w:t>Uvod</w:t>
      </w:r>
    </w:p>
    <w:p w:rsidR="00172F0F" w:rsidRDefault="005A7A8E" w:rsidP="00172F0F">
      <w:pPr>
        <w:spacing w:line="480" w:lineRule="auto"/>
        <w:rPr>
          <w:rFonts w:ascii="Times New Roman" w:hAnsi="Times New Roman"/>
        </w:rPr>
      </w:pPr>
      <w:r w:rsidRPr="005A7A8E">
        <w:rPr>
          <w:rFonts w:ascii="Times New Roman" w:hAnsi="Times New Roman"/>
        </w:rPr>
        <w:t>Institut stečaja iznimno je važan za uredno funkcioniranje gospodarstva, i to iz više razloga. Kroz stečaj konkurencija istiskuje neefikasna poduzeća s tržišta. Na taj se način povećava prosječna razina efikasnosti preostalih poduzeća, a pravne i fizičke osobe imaju koristi jer preostala poduzeća proizvode dobra i usluge po nižim troškovima i mogu ih prodavati po nižim cijenama (White, 2005:1). Stečaj kroz proces „kreativne destrukcije“ (</w:t>
      </w:r>
      <w:proofErr w:type="spellStart"/>
      <w:r w:rsidRPr="005A7A8E">
        <w:rPr>
          <w:rFonts w:ascii="Times New Roman" w:hAnsi="Times New Roman"/>
        </w:rPr>
        <w:t>Schumpeter</w:t>
      </w:r>
      <w:proofErr w:type="spellEnd"/>
      <w:r w:rsidRPr="005A7A8E">
        <w:rPr>
          <w:rFonts w:ascii="Times New Roman" w:hAnsi="Times New Roman"/>
        </w:rPr>
        <w:t xml:space="preserve">, 1942:81-86) </w:t>
      </w:r>
      <w:r w:rsidR="00172F0F">
        <w:rPr>
          <w:rFonts w:ascii="Times New Roman" w:hAnsi="Times New Roman"/>
        </w:rPr>
        <w:t>obavlja</w:t>
      </w:r>
      <w:r w:rsidRPr="005A7A8E">
        <w:rPr>
          <w:rFonts w:ascii="Times New Roman" w:hAnsi="Times New Roman"/>
        </w:rPr>
        <w:t xml:space="preserve"> ulogu ekonomske </w:t>
      </w:r>
      <w:proofErr w:type="spellStart"/>
      <w:r w:rsidRPr="005A7A8E">
        <w:rPr>
          <w:rFonts w:ascii="Times New Roman" w:hAnsi="Times New Roman"/>
        </w:rPr>
        <w:t>realokacije</w:t>
      </w:r>
      <w:proofErr w:type="spellEnd"/>
      <w:r w:rsidRPr="005A7A8E">
        <w:rPr>
          <w:rFonts w:ascii="Times New Roman" w:hAnsi="Times New Roman"/>
        </w:rPr>
        <w:t xml:space="preserve"> resursa, od neprofitabilnih ka profitabilnima. Naime, neuspjeh je inherentni element procesa ekonomskog rasta (</w:t>
      </w:r>
      <w:proofErr w:type="spellStart"/>
      <w:r w:rsidRPr="005A7A8E">
        <w:rPr>
          <w:rFonts w:ascii="Times New Roman" w:hAnsi="Times New Roman"/>
        </w:rPr>
        <w:t>Buttwill</w:t>
      </w:r>
      <w:proofErr w:type="spellEnd"/>
      <w:r w:rsidRPr="005A7A8E">
        <w:rPr>
          <w:rFonts w:ascii="Times New Roman" w:hAnsi="Times New Roman"/>
        </w:rPr>
        <w:t xml:space="preserve"> i </w:t>
      </w:r>
      <w:proofErr w:type="spellStart"/>
      <w:r w:rsidRPr="005A7A8E">
        <w:rPr>
          <w:rFonts w:ascii="Times New Roman" w:hAnsi="Times New Roman"/>
        </w:rPr>
        <w:t>Wihlborg</w:t>
      </w:r>
      <w:proofErr w:type="spellEnd"/>
      <w:r w:rsidRPr="005A7A8E">
        <w:rPr>
          <w:rFonts w:ascii="Times New Roman" w:hAnsi="Times New Roman"/>
        </w:rPr>
        <w:t>, 2005:2)</w:t>
      </w:r>
      <w:r w:rsidRPr="005A7A8E">
        <w:rPr>
          <w:rStyle w:val="FootnoteReference"/>
          <w:rFonts w:ascii="Times New Roman" w:hAnsi="Times New Roman"/>
        </w:rPr>
        <w:footnoteReference w:id="2"/>
      </w:r>
      <w:r w:rsidRPr="005A7A8E">
        <w:rPr>
          <w:rFonts w:ascii="Times New Roman" w:hAnsi="Times New Roman"/>
        </w:rPr>
        <w:t xml:space="preserve">. </w:t>
      </w:r>
      <w:r w:rsidR="00172F0F">
        <w:rPr>
          <w:rFonts w:ascii="Times New Roman" w:hAnsi="Times New Roman"/>
        </w:rPr>
        <w:t>Također, stečaj je i oblik upravljanja sukobima interesa; međusobnim interesima vjerovnika, interesima dužnika i vjerovnika te državnim (društvenim) i privatnim interesima (</w:t>
      </w:r>
      <w:proofErr w:type="spellStart"/>
      <w:r w:rsidR="00172F0F">
        <w:rPr>
          <w:rFonts w:ascii="Times New Roman" w:hAnsi="Times New Roman"/>
        </w:rPr>
        <w:t>Rajak</w:t>
      </w:r>
      <w:proofErr w:type="spellEnd"/>
      <w:r w:rsidR="00172F0F">
        <w:rPr>
          <w:rFonts w:ascii="Times New Roman" w:hAnsi="Times New Roman"/>
        </w:rPr>
        <w:t>, 2008:6).</w:t>
      </w:r>
    </w:p>
    <w:p w:rsidR="005A7A8E" w:rsidRPr="00CE0676" w:rsidRDefault="005A7A8E" w:rsidP="00E377E6">
      <w:pPr>
        <w:spacing w:line="480" w:lineRule="auto"/>
        <w:rPr>
          <w:rFonts w:ascii="Times New Roman" w:hAnsi="Times New Roman"/>
        </w:rPr>
      </w:pPr>
      <w:r w:rsidRPr="005A7A8E">
        <w:rPr>
          <w:rFonts w:ascii="Times New Roman" w:hAnsi="Times New Roman"/>
        </w:rPr>
        <w:t>Nadalje, stečajevi se mogu promatrati kao način konzervacije općedruštvenog blaga (</w:t>
      </w:r>
      <w:proofErr w:type="spellStart"/>
      <w:r w:rsidRPr="005A7A8E">
        <w:rPr>
          <w:rFonts w:ascii="Times New Roman" w:hAnsi="Times New Roman"/>
        </w:rPr>
        <w:t>Korobkin</w:t>
      </w:r>
      <w:proofErr w:type="spellEnd"/>
      <w:r w:rsidRPr="005A7A8E">
        <w:rPr>
          <w:rFonts w:ascii="Times New Roman" w:hAnsi="Times New Roman"/>
        </w:rPr>
        <w:t xml:space="preserve">, 1991:729). Razmatrati trgovačko društvo kao tek puku računovodstvenu bilančnu sumu ukupne imovine nedostatno je i inferiorno u odnosu na promatranje tog istog društva kao specifičnog </w:t>
      </w:r>
      <w:proofErr w:type="spellStart"/>
      <w:r w:rsidRPr="005A7A8E">
        <w:rPr>
          <w:rFonts w:ascii="Times New Roman" w:hAnsi="Times New Roman"/>
        </w:rPr>
        <w:t>socio</w:t>
      </w:r>
      <w:proofErr w:type="spellEnd"/>
      <w:r w:rsidRPr="005A7A8E">
        <w:rPr>
          <w:rFonts w:ascii="Times New Roman" w:hAnsi="Times New Roman"/>
        </w:rPr>
        <w:t>-ekono</w:t>
      </w:r>
      <w:r w:rsidR="00901197">
        <w:rPr>
          <w:rFonts w:ascii="Times New Roman" w:hAnsi="Times New Roman"/>
        </w:rPr>
        <w:t>mskog organizma, odnosno osobe</w:t>
      </w:r>
      <w:r w:rsidRPr="005A7A8E">
        <w:rPr>
          <w:rFonts w:ascii="Times New Roman" w:hAnsi="Times New Roman"/>
        </w:rPr>
        <w:t xml:space="preserve">. Trgovačko društvo predstavlja sinergijsku akumulaciju kapitala, znanja, vještina, iskustava i kompleksnih </w:t>
      </w:r>
      <w:proofErr w:type="spellStart"/>
      <w:r w:rsidRPr="005A7A8E">
        <w:rPr>
          <w:rFonts w:ascii="Times New Roman" w:hAnsi="Times New Roman"/>
        </w:rPr>
        <w:t>interpersonalnih</w:t>
      </w:r>
      <w:proofErr w:type="spellEnd"/>
      <w:r w:rsidRPr="005A7A8E">
        <w:rPr>
          <w:rFonts w:ascii="Times New Roman" w:hAnsi="Times New Roman"/>
        </w:rPr>
        <w:t xml:space="preserve"> odnosa, koja je nastajala kroz duže razdoblje, nerijetko i desetljećima. Utoliko je ono produkt angažmana ne samo vlasnika i zaposlenika nego i šire zajednice te predstavlja entitet poslovnog ekosustava (De </w:t>
      </w:r>
      <w:proofErr w:type="spellStart"/>
      <w:r w:rsidRPr="005A7A8E">
        <w:rPr>
          <w:rFonts w:ascii="Times New Roman" w:hAnsi="Times New Roman"/>
        </w:rPr>
        <w:t>Geus</w:t>
      </w:r>
      <w:proofErr w:type="spellEnd"/>
      <w:r w:rsidRPr="005A7A8E">
        <w:rPr>
          <w:rFonts w:ascii="Times New Roman" w:hAnsi="Times New Roman"/>
        </w:rPr>
        <w:t xml:space="preserve">, 1999). Prepoznavanjem činjenice </w:t>
      </w:r>
      <w:r w:rsidR="00CE0676">
        <w:rPr>
          <w:rFonts w:ascii="Times New Roman" w:hAnsi="Times New Roman"/>
        </w:rPr>
        <w:t>da</w:t>
      </w:r>
      <w:r w:rsidRPr="005A7A8E">
        <w:rPr>
          <w:rFonts w:ascii="Times New Roman" w:hAnsi="Times New Roman"/>
        </w:rPr>
        <w:t xml:space="preserve"> trgovačko društvo najčešće više vrijedi kao cjelina i </w:t>
      </w:r>
      <w:r w:rsidR="00172F0F">
        <w:rPr>
          <w:rFonts w:ascii="Times New Roman" w:hAnsi="Times New Roman"/>
        </w:rPr>
        <w:t>da</w:t>
      </w:r>
      <w:r w:rsidRPr="005A7A8E">
        <w:rPr>
          <w:rFonts w:ascii="Times New Roman" w:hAnsi="Times New Roman"/>
        </w:rPr>
        <w:t xml:space="preserve"> je često razboritije da dužnik opstane nego da se u stečaju </w:t>
      </w:r>
      <w:r w:rsidR="00172F0F">
        <w:rPr>
          <w:rFonts w:ascii="Times New Roman" w:hAnsi="Times New Roman"/>
        </w:rPr>
        <w:t xml:space="preserve">njegova imovina </w:t>
      </w:r>
      <w:r w:rsidR="0010277F" w:rsidRPr="005A7A8E">
        <w:rPr>
          <w:rFonts w:ascii="Times New Roman" w:hAnsi="Times New Roman"/>
        </w:rPr>
        <w:t xml:space="preserve">raskomada </w:t>
      </w:r>
      <w:r w:rsidRPr="005A7A8E">
        <w:rPr>
          <w:rFonts w:ascii="Times New Roman" w:hAnsi="Times New Roman"/>
        </w:rPr>
        <w:t>i rasproda po diskontnim cijenama</w:t>
      </w:r>
      <w:r w:rsidRPr="005A7A8E">
        <w:rPr>
          <w:rStyle w:val="FootnoteReference"/>
          <w:rFonts w:ascii="Times New Roman" w:hAnsi="Times New Roman"/>
        </w:rPr>
        <w:footnoteReference w:id="3"/>
      </w:r>
      <w:r w:rsidRPr="005A7A8E">
        <w:rPr>
          <w:rFonts w:ascii="Times New Roman" w:hAnsi="Times New Roman"/>
        </w:rPr>
        <w:t xml:space="preserve">, stečajni postupak nadilazi funkciju obeštećenja vjerovnika. Stoga je u formi restrukturiranja stečajni postupak ujedno i način očuvanja akumuliranih društveno-ekonomskih vrijednosti sadržanih u organizmu dužnika, osobito onih vrijednosti koje računovodstveni podsustav ne uspijeva adekvatno iskazati u </w:t>
      </w:r>
      <w:r w:rsidRPr="005A7A8E">
        <w:rPr>
          <w:rFonts w:ascii="Times New Roman" w:hAnsi="Times New Roman"/>
        </w:rPr>
        <w:lastRenderedPageBreak/>
        <w:t xml:space="preserve">financijskim izvješćima. </w:t>
      </w:r>
      <w:r w:rsidR="00B96481" w:rsidRPr="00CE0676">
        <w:rPr>
          <w:rFonts w:ascii="Times New Roman" w:hAnsi="Times New Roman"/>
        </w:rPr>
        <w:t xml:space="preserve">Također, i </w:t>
      </w:r>
      <w:r w:rsidR="0010277F">
        <w:rPr>
          <w:rFonts w:ascii="Times New Roman" w:hAnsi="Times New Roman"/>
        </w:rPr>
        <w:t>uprava</w:t>
      </w:r>
      <w:r w:rsidR="00B96481" w:rsidRPr="00CE0676">
        <w:rPr>
          <w:rFonts w:ascii="Times New Roman" w:hAnsi="Times New Roman"/>
        </w:rPr>
        <w:t xml:space="preserve"> dužnika</w:t>
      </w:r>
      <w:r w:rsidR="0010277F">
        <w:rPr>
          <w:rFonts w:ascii="Times New Roman" w:hAnsi="Times New Roman"/>
        </w:rPr>
        <w:t xml:space="preserve"> može dobiti</w:t>
      </w:r>
      <w:r w:rsidR="00B96481" w:rsidRPr="00CE0676">
        <w:rPr>
          <w:rFonts w:ascii="Times New Roman" w:hAnsi="Times New Roman"/>
        </w:rPr>
        <w:t xml:space="preserve"> satisfakciju</w:t>
      </w:r>
      <w:r w:rsidR="00CE0676">
        <w:rPr>
          <w:rFonts w:ascii="Times New Roman" w:hAnsi="Times New Roman"/>
        </w:rPr>
        <w:t xml:space="preserve">, </w:t>
      </w:r>
      <w:r w:rsidR="00CE0676" w:rsidRPr="00CE0676">
        <w:rPr>
          <w:rFonts w:ascii="Times New Roman" w:hAnsi="Times New Roman"/>
        </w:rPr>
        <w:t>premda u stečaju najčešće biva raspuštena</w:t>
      </w:r>
      <w:r w:rsidR="00CE0676">
        <w:rPr>
          <w:rFonts w:ascii="Times New Roman" w:hAnsi="Times New Roman"/>
        </w:rPr>
        <w:t>,</w:t>
      </w:r>
      <w:r w:rsidR="00B96481" w:rsidRPr="00CE0676">
        <w:rPr>
          <w:rFonts w:ascii="Times New Roman" w:hAnsi="Times New Roman"/>
        </w:rPr>
        <w:t xml:space="preserve"> jer </w:t>
      </w:r>
      <w:r w:rsidR="0010277F">
        <w:rPr>
          <w:rFonts w:ascii="Times New Roman" w:hAnsi="Times New Roman"/>
        </w:rPr>
        <w:t>mogu uvidjeti</w:t>
      </w:r>
      <w:r w:rsidR="00B96481" w:rsidRPr="00CE0676">
        <w:rPr>
          <w:rFonts w:ascii="Times New Roman" w:hAnsi="Times New Roman"/>
        </w:rPr>
        <w:t xml:space="preserve"> </w:t>
      </w:r>
      <w:r w:rsidR="002C0196" w:rsidRPr="00CE0676">
        <w:rPr>
          <w:rFonts w:ascii="Times New Roman" w:hAnsi="Times New Roman"/>
        </w:rPr>
        <w:t>da</w:t>
      </w:r>
      <w:r w:rsidR="00B96481" w:rsidRPr="00CE0676">
        <w:rPr>
          <w:rFonts w:ascii="Times New Roman" w:hAnsi="Times New Roman"/>
        </w:rPr>
        <w:t xml:space="preserve"> su društvene institucije prepoznale vrijednost njihova poslovnog pothvata te ne dopuštaju razbijanje i atomizaciju resursa poduzeća. </w:t>
      </w:r>
    </w:p>
    <w:p w:rsidR="002F6C7D" w:rsidRPr="002A0C5F" w:rsidRDefault="005A7A8E" w:rsidP="00405C03">
      <w:pPr>
        <w:spacing w:line="480" w:lineRule="auto"/>
        <w:rPr>
          <w:lang w:eastAsia="hr-HR"/>
        </w:rPr>
      </w:pPr>
      <w:r w:rsidRPr="005A7A8E">
        <w:rPr>
          <w:rFonts w:ascii="Times New Roman" w:hAnsi="Times New Roman"/>
        </w:rPr>
        <w:t>U kontekstu ovog rada valja ista</w:t>
      </w:r>
      <w:r w:rsidR="00274D13">
        <w:rPr>
          <w:rFonts w:ascii="Times New Roman" w:hAnsi="Times New Roman"/>
        </w:rPr>
        <w:t>knuti</w:t>
      </w:r>
      <w:r w:rsidRPr="005A7A8E">
        <w:rPr>
          <w:rFonts w:ascii="Times New Roman" w:hAnsi="Times New Roman"/>
        </w:rPr>
        <w:t xml:space="preserve"> kako je stečaj ultimativni način razrješavanja poslovnih poteškoća, putem kojega društvo kroz državne institucije (i u njima ovlaštene osobe) intervenira na tržištu i angažira se u konkretnim dužničko-vjerovničkim odnosima. Stečajem se nastoje ispraviti tržišne neravnoteže koje</w:t>
      </w:r>
      <w:r w:rsidR="002C0196">
        <w:rPr>
          <w:rFonts w:ascii="Times New Roman" w:hAnsi="Times New Roman"/>
        </w:rPr>
        <w:t xml:space="preserve">, </w:t>
      </w:r>
      <w:r w:rsidRPr="005A7A8E">
        <w:rPr>
          <w:rFonts w:ascii="Times New Roman" w:hAnsi="Times New Roman"/>
        </w:rPr>
        <w:t>ukoliko eskaliraju</w:t>
      </w:r>
      <w:r w:rsidR="002C0196">
        <w:rPr>
          <w:rFonts w:ascii="Times New Roman" w:hAnsi="Times New Roman"/>
        </w:rPr>
        <w:t xml:space="preserve">, </w:t>
      </w:r>
      <w:r w:rsidRPr="005A7A8E">
        <w:rPr>
          <w:rFonts w:ascii="Times New Roman" w:hAnsi="Times New Roman"/>
        </w:rPr>
        <w:t>prijete urušavanjem ekonomskog sustava. Naime, „</w:t>
      </w:r>
      <w:r w:rsidRPr="005A7A8E">
        <w:rPr>
          <w:rFonts w:ascii="Times New Roman" w:hAnsi="Times New Roman"/>
          <w:i/>
        </w:rPr>
        <w:t>povjerenje je u samom temelju svake interakcije</w:t>
      </w:r>
      <w:r w:rsidRPr="005A7A8E">
        <w:rPr>
          <w:rFonts w:ascii="Times New Roman" w:hAnsi="Times New Roman"/>
        </w:rPr>
        <w:t>“ (</w:t>
      </w:r>
      <w:proofErr w:type="spellStart"/>
      <w:r w:rsidRPr="005A7A8E">
        <w:rPr>
          <w:rFonts w:ascii="Times New Roman" w:hAnsi="Times New Roman"/>
        </w:rPr>
        <w:t>Menkes</w:t>
      </w:r>
      <w:proofErr w:type="spellEnd"/>
      <w:r w:rsidRPr="005A7A8E">
        <w:rPr>
          <w:rFonts w:ascii="Times New Roman" w:hAnsi="Times New Roman"/>
        </w:rPr>
        <w:t>, 2007:2) i kao takvo, povjerenje je osnova poslovnih odnosa, a posljedično i ekonomije u cjelini. Bez povjerenja nema ugovaranja posla, nema investicija ni novih radnih mjesta. Stečaj je metoda sanacije povjerenja u ekonomskom sustavu jer se u stečajnome postupku nastoji nadoknaditi ono što je u redovnom poslovnom odnosu izgubljeno, a to je prije svega povjerenje. Vjerovnicima se nastoji vratiti vjera u funkcioniranje ekonomskog sustava jer ukoliko stečaj ne bi postojao, ne bi postojala posljednja brana, zadnje utočište u slučaju nekorektnog ponašanja druge ugovorne strane. Opća razina rizika značajno bi porasla, što bi rezultiralo manjom spremnošću na pokretanje novog ili širenje postojećeg posla, manjom odvažnošću za investiranjem, za pozajmljivanjem novca, za otvaranjem radnih mjesta. Uostalom i etimologija riječi „vjerovnici“ ukazuje na temeljne principe koji su ugrađeni u poslovne procese i koje ekonomsko-pravni instituti trebaju štititi. Dakle, stečajni postupci imaju osobit značaj pri uspostavljanju uređenog gospodarstva, pa i društva općenito.</w:t>
      </w:r>
    </w:p>
    <w:p w:rsidR="002A0C5F" w:rsidRDefault="002A0C5F" w:rsidP="002A0C5F">
      <w:pPr>
        <w:pStyle w:val="Heading2"/>
        <w:numPr>
          <w:ilvl w:val="1"/>
          <w:numId w:val="1"/>
        </w:numPr>
      </w:pPr>
      <w:r w:rsidRPr="002A0C5F">
        <w:t>Ciljevi stečaja</w:t>
      </w:r>
    </w:p>
    <w:p w:rsidR="002A0C5F" w:rsidRPr="002A0C5F" w:rsidRDefault="002A0C5F" w:rsidP="002A0C5F">
      <w:pPr>
        <w:rPr>
          <w:lang w:eastAsia="hr-HR"/>
        </w:rPr>
      </w:pPr>
    </w:p>
    <w:p w:rsidR="005A7A8E" w:rsidRPr="005A7A8E" w:rsidRDefault="005A7A8E" w:rsidP="00E377E6">
      <w:pPr>
        <w:spacing w:line="480" w:lineRule="auto"/>
        <w:rPr>
          <w:rFonts w:ascii="Times New Roman" w:hAnsi="Times New Roman"/>
        </w:rPr>
      </w:pPr>
      <w:r w:rsidRPr="005A7A8E">
        <w:rPr>
          <w:rFonts w:ascii="Times New Roman" w:hAnsi="Times New Roman"/>
        </w:rPr>
        <w:t xml:space="preserve">Primarni </w:t>
      </w:r>
      <w:r w:rsidR="0010277F">
        <w:rPr>
          <w:rFonts w:ascii="Times New Roman" w:hAnsi="Times New Roman"/>
        </w:rPr>
        <w:t xml:space="preserve">opći </w:t>
      </w:r>
      <w:r w:rsidRPr="005A7A8E">
        <w:rPr>
          <w:rFonts w:ascii="Times New Roman" w:hAnsi="Times New Roman"/>
        </w:rPr>
        <w:t>cilj stečaja jest pružanje izvjesnosti na tržištu kako bi se promovirala ekonomska stabilnost i rast (UNCITRAL, 2005:10). Smanjenjem poslovnih neizvjesnosti reducira se opća razina rizika i osiguravaju se temeljni preduvjeti za ekonomski prosperitet</w:t>
      </w:r>
      <w:r w:rsidRPr="005A7A8E">
        <w:rPr>
          <w:rStyle w:val="FootnoteReference"/>
          <w:rFonts w:ascii="Times New Roman" w:hAnsi="Times New Roman"/>
        </w:rPr>
        <w:footnoteReference w:id="4"/>
      </w:r>
      <w:r w:rsidRPr="005A7A8E">
        <w:rPr>
          <w:rFonts w:ascii="Times New Roman" w:hAnsi="Times New Roman"/>
        </w:rPr>
        <w:t xml:space="preserve">. Hrvatski Stečajni zakon </w:t>
      </w:r>
      <w:r w:rsidR="002A0C5F">
        <w:rPr>
          <w:rFonts w:ascii="Times New Roman" w:hAnsi="Times New Roman"/>
        </w:rPr>
        <w:t>za</w:t>
      </w:r>
      <w:r w:rsidRPr="005A7A8E">
        <w:rPr>
          <w:rFonts w:ascii="Times New Roman" w:hAnsi="Times New Roman"/>
        </w:rPr>
        <w:t xml:space="preserve"> cilj stečaja propisuje skupno namirenje vjerovnika prodajom imovine dužnika i podjelom </w:t>
      </w:r>
      <w:r w:rsidRPr="005A7A8E">
        <w:rPr>
          <w:rFonts w:ascii="Times New Roman" w:hAnsi="Times New Roman"/>
        </w:rPr>
        <w:lastRenderedPageBreak/>
        <w:t>prikupljenih sredstava vjerovnicima ili alternativno – prijenos imovine dužnika na novoosnovanu pravnu osobu</w:t>
      </w:r>
      <w:r w:rsidR="00857693" w:rsidRPr="005A7A8E">
        <w:rPr>
          <w:rStyle w:val="FootnoteReference"/>
          <w:rFonts w:ascii="Times New Roman" w:hAnsi="Times New Roman"/>
        </w:rPr>
        <w:footnoteReference w:id="5"/>
      </w:r>
      <w:r w:rsidR="00857693">
        <w:rPr>
          <w:rFonts w:ascii="Times New Roman" w:hAnsi="Times New Roman"/>
        </w:rPr>
        <w:t xml:space="preserve">, sukladno </w:t>
      </w:r>
      <w:r w:rsidRPr="005A7A8E">
        <w:rPr>
          <w:rFonts w:ascii="Times New Roman" w:hAnsi="Times New Roman"/>
        </w:rPr>
        <w:t>čl. 2. Stečajnog zakona</w:t>
      </w:r>
      <w:r w:rsidR="00857693">
        <w:rPr>
          <w:rFonts w:ascii="Times New Roman" w:hAnsi="Times New Roman"/>
        </w:rPr>
        <w:t xml:space="preserve"> (nadalje: SZ</w:t>
      </w:r>
      <w:r w:rsidRPr="005A7A8E">
        <w:rPr>
          <w:rFonts w:ascii="Times New Roman" w:hAnsi="Times New Roman"/>
        </w:rPr>
        <w:t>)</w:t>
      </w:r>
      <w:r w:rsidR="00857693">
        <w:rPr>
          <w:rStyle w:val="FootnoteReference"/>
          <w:rFonts w:ascii="Times New Roman" w:hAnsi="Times New Roman"/>
        </w:rPr>
        <w:footnoteReference w:id="6"/>
      </w:r>
      <w:r w:rsidRPr="005A7A8E">
        <w:rPr>
          <w:rFonts w:ascii="Times New Roman" w:hAnsi="Times New Roman"/>
        </w:rPr>
        <w:t>.</w:t>
      </w:r>
    </w:p>
    <w:p w:rsidR="005A7A8E" w:rsidRDefault="002A0C5F" w:rsidP="00E377E6">
      <w:pPr>
        <w:spacing w:line="480" w:lineRule="auto"/>
        <w:rPr>
          <w:rFonts w:ascii="Times New Roman" w:hAnsi="Times New Roman"/>
        </w:rPr>
      </w:pPr>
      <w:r>
        <w:rPr>
          <w:rFonts w:ascii="Times New Roman" w:hAnsi="Times New Roman"/>
        </w:rPr>
        <w:t>Pri</w:t>
      </w:r>
      <w:r w:rsidR="005A7A8E" w:rsidRPr="005A7A8E">
        <w:rPr>
          <w:rFonts w:ascii="Times New Roman" w:hAnsi="Times New Roman"/>
        </w:rPr>
        <w:t xml:space="preserve"> realizaciji ciljeva stečaja u Republici Hrvatskoj najvažniju operativnu ulogu ima stečajni upravitelj (</w:t>
      </w:r>
      <w:proofErr w:type="spellStart"/>
      <w:r w:rsidR="005A7A8E" w:rsidRPr="005A7A8E">
        <w:rPr>
          <w:rFonts w:ascii="Times New Roman" w:hAnsi="Times New Roman"/>
        </w:rPr>
        <w:t>Hrastinski</w:t>
      </w:r>
      <w:proofErr w:type="spellEnd"/>
      <w:r w:rsidR="005A7A8E" w:rsidRPr="005A7A8E">
        <w:rPr>
          <w:rFonts w:ascii="Times New Roman" w:hAnsi="Times New Roman"/>
        </w:rPr>
        <w:t xml:space="preserve"> </w:t>
      </w:r>
      <w:proofErr w:type="spellStart"/>
      <w:r w:rsidR="005A7A8E" w:rsidRPr="005A7A8E">
        <w:rPr>
          <w:rFonts w:ascii="Times New Roman" w:hAnsi="Times New Roman"/>
        </w:rPr>
        <w:t>Jurčec</w:t>
      </w:r>
      <w:proofErr w:type="spellEnd"/>
      <w:r w:rsidR="005A7A8E" w:rsidRPr="005A7A8E">
        <w:rPr>
          <w:rFonts w:ascii="Times New Roman" w:hAnsi="Times New Roman"/>
        </w:rPr>
        <w:t xml:space="preserve">, 2007). Stečajni upravitelj je „povjerenik“ kojega postavlja sud, koji istodobno zastupa interese vjerovnika i upravlja materijalnom i nematerijalnom imovinom dužnika. Prilikom obavljanja svojih dužnosti stečajni </w:t>
      </w:r>
      <w:r w:rsidR="002C0196" w:rsidRPr="005A7A8E">
        <w:rPr>
          <w:rFonts w:ascii="Times New Roman" w:hAnsi="Times New Roman"/>
        </w:rPr>
        <w:t xml:space="preserve">bi </w:t>
      </w:r>
      <w:r w:rsidR="005A7A8E" w:rsidRPr="005A7A8E">
        <w:rPr>
          <w:rFonts w:ascii="Times New Roman" w:hAnsi="Times New Roman"/>
        </w:rPr>
        <w:t xml:space="preserve">upravitelj trebao uredno i detaljno izvješćivati vjerovnike o tijeku stečajnog postupka, a osobito o prihodima i rashodima tijekom trajanja postupka, jer je on njihov agent. Stečajni </w:t>
      </w:r>
      <w:r w:rsidR="002C0196" w:rsidRPr="005A7A8E">
        <w:rPr>
          <w:rFonts w:ascii="Times New Roman" w:hAnsi="Times New Roman"/>
        </w:rPr>
        <w:t xml:space="preserve">bi </w:t>
      </w:r>
      <w:r w:rsidR="005A7A8E" w:rsidRPr="005A7A8E">
        <w:rPr>
          <w:rFonts w:ascii="Times New Roman" w:hAnsi="Times New Roman"/>
        </w:rPr>
        <w:t xml:space="preserve">postupak generalno trebao biti maksimalno transparentan kako bi vjerovnici imali uvid u ostvarenje ciljeva stečaja. Transparentnost razotkriva i smanjuje korupciju te osigurava bolji protok informacija. Unaprjeđenje protoka informacija u društvenom sustavu ima </w:t>
      </w:r>
      <w:r w:rsidR="00CE0676">
        <w:rPr>
          <w:rFonts w:ascii="Times New Roman" w:hAnsi="Times New Roman"/>
        </w:rPr>
        <w:t>značajan</w:t>
      </w:r>
      <w:r w:rsidR="005A7A8E" w:rsidRPr="005A7A8E">
        <w:rPr>
          <w:rFonts w:ascii="Times New Roman" w:hAnsi="Times New Roman"/>
        </w:rPr>
        <w:t>, pozitivan učinak na funkcioniranje toga sustava (</w:t>
      </w:r>
      <w:proofErr w:type="spellStart"/>
      <w:r w:rsidR="005A7A8E" w:rsidRPr="005A7A8E">
        <w:rPr>
          <w:rFonts w:ascii="Times New Roman" w:hAnsi="Times New Roman"/>
        </w:rPr>
        <w:t>LoPucki</w:t>
      </w:r>
      <w:proofErr w:type="spellEnd"/>
      <w:r w:rsidR="005A7A8E" w:rsidRPr="005A7A8E">
        <w:rPr>
          <w:rFonts w:ascii="Times New Roman" w:hAnsi="Times New Roman"/>
        </w:rPr>
        <w:t>, 2008), a stečajni postupci pritom nisu iznimke.</w:t>
      </w:r>
    </w:p>
    <w:p w:rsidR="002A0C5F" w:rsidRDefault="002A0C5F" w:rsidP="00343030">
      <w:pPr>
        <w:pStyle w:val="Heading2"/>
        <w:numPr>
          <w:ilvl w:val="1"/>
          <w:numId w:val="1"/>
        </w:numPr>
      </w:pPr>
      <w:r w:rsidRPr="002A0C5F">
        <w:t>Cilj</w:t>
      </w:r>
      <w:r>
        <w:t xml:space="preserve">, hipoteze i struktura rada </w:t>
      </w:r>
    </w:p>
    <w:p w:rsidR="00343030" w:rsidRPr="00343030" w:rsidRDefault="00343030" w:rsidP="00343030">
      <w:pPr>
        <w:rPr>
          <w:lang w:eastAsia="hr-HR"/>
        </w:rPr>
      </w:pPr>
    </w:p>
    <w:p w:rsidR="005A7A8E" w:rsidRPr="005A7A8E" w:rsidRDefault="005A7A8E" w:rsidP="00E377E6">
      <w:pPr>
        <w:spacing w:line="480" w:lineRule="auto"/>
        <w:rPr>
          <w:rFonts w:ascii="Times New Roman" w:hAnsi="Times New Roman"/>
        </w:rPr>
      </w:pPr>
      <w:r w:rsidRPr="005A7A8E">
        <w:rPr>
          <w:rFonts w:ascii="Times New Roman" w:hAnsi="Times New Roman"/>
        </w:rPr>
        <w:t xml:space="preserve">Imajući u vidu prethodno navedeni značaj, ciljeve i specifičnosti stečaja, cilj </w:t>
      </w:r>
      <w:r w:rsidR="005512A1" w:rsidRPr="005A7A8E">
        <w:rPr>
          <w:rFonts w:ascii="Times New Roman" w:hAnsi="Times New Roman"/>
        </w:rPr>
        <w:t xml:space="preserve">je </w:t>
      </w:r>
      <w:r w:rsidRPr="005A7A8E">
        <w:rPr>
          <w:rFonts w:ascii="Times New Roman" w:hAnsi="Times New Roman"/>
        </w:rPr>
        <w:t>ovoga rada ukazati na praktične probleme u stečajnim postupcima prikazom rezultata terenskog istraživanja dokumentacije uzorka zaključenih stečajnih</w:t>
      </w:r>
      <w:r w:rsidR="002A0C5F">
        <w:rPr>
          <w:rFonts w:ascii="Times New Roman" w:hAnsi="Times New Roman"/>
        </w:rPr>
        <w:t xml:space="preserve"> postupaka u istočnoj Hrvatskoj.</w:t>
      </w:r>
      <w:r w:rsidRPr="005A7A8E">
        <w:rPr>
          <w:rFonts w:ascii="Times New Roman" w:hAnsi="Times New Roman"/>
        </w:rPr>
        <w:t xml:space="preserve"> </w:t>
      </w:r>
      <w:r w:rsidR="002A0C5F">
        <w:rPr>
          <w:rFonts w:ascii="Times New Roman" w:hAnsi="Times New Roman"/>
        </w:rPr>
        <w:t>E</w:t>
      </w:r>
      <w:r w:rsidRPr="005A7A8E">
        <w:rPr>
          <w:rFonts w:ascii="Times New Roman" w:hAnsi="Times New Roman"/>
        </w:rPr>
        <w:t xml:space="preserve">ksponiranjem nekih ukorijenjenih manjkavosti stečajnoga sustava </w:t>
      </w:r>
      <w:r w:rsidR="002A0C5F">
        <w:rPr>
          <w:rFonts w:ascii="Times New Roman" w:hAnsi="Times New Roman"/>
        </w:rPr>
        <w:t>mogao bi se stvoriti</w:t>
      </w:r>
      <w:r w:rsidRPr="005A7A8E">
        <w:rPr>
          <w:rFonts w:ascii="Times New Roman" w:hAnsi="Times New Roman"/>
        </w:rPr>
        <w:t xml:space="preserve"> dostatan </w:t>
      </w:r>
      <w:r w:rsidR="00CE0676">
        <w:rPr>
          <w:rFonts w:ascii="Times New Roman" w:hAnsi="Times New Roman"/>
        </w:rPr>
        <w:t>impuls</w:t>
      </w:r>
      <w:r w:rsidRPr="005A7A8E">
        <w:rPr>
          <w:rFonts w:ascii="Times New Roman" w:hAnsi="Times New Roman"/>
        </w:rPr>
        <w:t xml:space="preserve"> za uklanjanje istih </w:t>
      </w:r>
      <w:r w:rsidR="002A0C5F">
        <w:rPr>
          <w:rFonts w:ascii="Times New Roman" w:hAnsi="Times New Roman"/>
        </w:rPr>
        <w:t>te</w:t>
      </w:r>
      <w:r w:rsidRPr="005A7A8E">
        <w:rPr>
          <w:rFonts w:ascii="Times New Roman" w:hAnsi="Times New Roman"/>
        </w:rPr>
        <w:t xml:space="preserve"> bi stečajni postupak kvalitetnije ispunjavao svoj</w:t>
      </w:r>
      <w:r w:rsidR="002A0C5F">
        <w:rPr>
          <w:rFonts w:ascii="Times New Roman" w:hAnsi="Times New Roman"/>
        </w:rPr>
        <w:t>e ciljeve</w:t>
      </w:r>
      <w:r w:rsidR="00143736">
        <w:rPr>
          <w:rFonts w:ascii="Times New Roman" w:hAnsi="Times New Roman"/>
        </w:rPr>
        <w:t xml:space="preserve">. Također, cilj je i pribavljanje nedostupnih kvantitativnih indikatora prosječnog trajanja stečajnog postupka, razine namirenja tražbina vjerovnika i visine novčanih nagrada stečajnim upraviteljima. </w:t>
      </w:r>
      <w:r w:rsidR="002A0C5F">
        <w:rPr>
          <w:rFonts w:ascii="Times New Roman" w:hAnsi="Times New Roman"/>
        </w:rPr>
        <w:t>Kao takvo, i</w:t>
      </w:r>
      <w:r w:rsidRPr="005A7A8E">
        <w:rPr>
          <w:rFonts w:ascii="Times New Roman" w:hAnsi="Times New Roman"/>
        </w:rPr>
        <w:t xml:space="preserve">straživanje je provedeno pri </w:t>
      </w:r>
      <w:r w:rsidRPr="005A7A8E">
        <w:rPr>
          <w:rFonts w:ascii="Times New Roman" w:hAnsi="Times New Roman"/>
        </w:rPr>
        <w:lastRenderedPageBreak/>
        <w:t>Trgovačkom sudu u Osijeku, Državnom arhivu u Osijeku, Državnom arhivu u Vukovaru (Arhivski sabirni centar u Vinkovcima) i regionalnom uredu Financijske agencije</w:t>
      </w:r>
      <w:r w:rsidRPr="005A7A8E">
        <w:rPr>
          <w:rStyle w:val="FootnoteReference"/>
          <w:rFonts w:ascii="Times New Roman" w:hAnsi="Times New Roman"/>
        </w:rPr>
        <w:footnoteReference w:id="7"/>
      </w:r>
      <w:r w:rsidRPr="005A7A8E">
        <w:rPr>
          <w:rFonts w:ascii="Times New Roman" w:hAnsi="Times New Roman"/>
        </w:rPr>
        <w:t>.</w:t>
      </w:r>
    </w:p>
    <w:p w:rsidR="00143736" w:rsidRDefault="00143736" w:rsidP="00143736">
      <w:pPr>
        <w:spacing w:line="480" w:lineRule="auto"/>
        <w:rPr>
          <w:rFonts w:ascii="Times New Roman" w:hAnsi="Times New Roman"/>
        </w:rPr>
      </w:pPr>
      <w:r>
        <w:rPr>
          <w:rFonts w:ascii="Times New Roman" w:hAnsi="Times New Roman"/>
        </w:rPr>
        <w:t xml:space="preserve">Glavna </w:t>
      </w:r>
      <w:r w:rsidR="005512A1">
        <w:rPr>
          <w:rFonts w:ascii="Times New Roman" w:hAnsi="Times New Roman"/>
        </w:rPr>
        <w:t xml:space="preserve">je </w:t>
      </w:r>
      <w:r>
        <w:rPr>
          <w:rFonts w:ascii="Times New Roman" w:hAnsi="Times New Roman"/>
        </w:rPr>
        <w:t>hipoteza da se većom transparentnosti stečajnih postupaka može povećati postotak namirenja tražbina vjerovnika u stečajnom postupku. Druga, pomoćna hipoteza je da nije moguće rekonstruirati konkretne aktivnosti stečajnih upravitelja koji u stečajnim postupcima mogu poduzimati aktivnosti na štetu kolektivnog namirenja tražbina vjerovnika, bez ikakvih pravnih posljedica.</w:t>
      </w:r>
    </w:p>
    <w:p w:rsidR="005A7A8E" w:rsidRDefault="005A7A8E" w:rsidP="00E377E6">
      <w:pPr>
        <w:spacing w:line="480" w:lineRule="auto"/>
        <w:rPr>
          <w:rFonts w:ascii="Times New Roman" w:hAnsi="Times New Roman"/>
        </w:rPr>
      </w:pPr>
      <w:r w:rsidRPr="005A7A8E">
        <w:rPr>
          <w:rFonts w:ascii="Times New Roman" w:hAnsi="Times New Roman"/>
        </w:rPr>
        <w:t xml:space="preserve">Članak je organiziran </w:t>
      </w:r>
      <w:r w:rsidR="00143736">
        <w:rPr>
          <w:rFonts w:ascii="Times New Roman" w:hAnsi="Times New Roman"/>
        </w:rPr>
        <w:t>u pet poglavlja</w:t>
      </w:r>
      <w:r w:rsidRPr="005A7A8E">
        <w:rPr>
          <w:rFonts w:ascii="Times New Roman" w:hAnsi="Times New Roman"/>
        </w:rPr>
        <w:t xml:space="preserve">. </w:t>
      </w:r>
      <w:r w:rsidR="00143736">
        <w:rPr>
          <w:rFonts w:ascii="Times New Roman" w:hAnsi="Times New Roman"/>
        </w:rPr>
        <w:t xml:space="preserve">U uvodu je dan osvrt na značaj stečajnog postupka u širem smislu, ciljevi stečajnog postupka te cilj i hipoteze rada. U drugom se poglavlju </w:t>
      </w:r>
      <w:r w:rsidR="002F38C8">
        <w:rPr>
          <w:rFonts w:ascii="Times New Roman" w:hAnsi="Times New Roman"/>
        </w:rPr>
        <w:t xml:space="preserve">prezentiraju </w:t>
      </w:r>
      <w:r w:rsidR="00405C03">
        <w:rPr>
          <w:rFonts w:ascii="Times New Roman" w:hAnsi="Times New Roman"/>
        </w:rPr>
        <w:t>prethodn</w:t>
      </w:r>
      <w:r w:rsidR="002F38C8">
        <w:rPr>
          <w:rFonts w:ascii="Times New Roman" w:hAnsi="Times New Roman"/>
        </w:rPr>
        <w:t>i radovi</w:t>
      </w:r>
      <w:r w:rsidR="00405C03">
        <w:rPr>
          <w:rFonts w:ascii="Times New Roman" w:hAnsi="Times New Roman"/>
        </w:rPr>
        <w:t xml:space="preserve"> i opisuje se </w:t>
      </w:r>
      <w:r w:rsidR="00143736">
        <w:rPr>
          <w:rFonts w:ascii="Times New Roman" w:hAnsi="Times New Roman"/>
        </w:rPr>
        <w:t>kontekst istraživanja u smislu prikaza značajki društvenog, pravnog i ekonomskog ambijenta u kojemu je istraživanje provedeno. U trećem poglavlju iznosi se metodologija rada, dok se u četvrtom prikazuju i komentiraju rezultati istraživanja. Konačno, u zaključku se očituje o hipotezama, navode se smjernice za buduća istraživanja, donose prijedlozi unaprjeđenja stečajnog sustava, kao i implikacije dobivenih rezultata.</w:t>
      </w:r>
    </w:p>
    <w:p w:rsidR="00405C03" w:rsidRDefault="00405C03" w:rsidP="00E377E6">
      <w:pPr>
        <w:spacing w:line="480" w:lineRule="auto"/>
        <w:rPr>
          <w:rFonts w:ascii="Times New Roman" w:hAnsi="Times New Roman"/>
        </w:rPr>
      </w:pPr>
    </w:p>
    <w:p w:rsidR="005A7A8E" w:rsidRPr="005A7A8E" w:rsidRDefault="005A7A8E" w:rsidP="00E377E6">
      <w:pPr>
        <w:pStyle w:val="Heading1"/>
        <w:spacing w:line="480" w:lineRule="auto"/>
        <w:jc w:val="left"/>
      </w:pPr>
      <w:r w:rsidRPr="005A7A8E">
        <w:t>Kontekst istraživanja</w:t>
      </w:r>
      <w:r w:rsidR="00245C28">
        <w:t>: regulativa i praksa provođenja stečajnih postupaka u Republici Hrvatskoj</w:t>
      </w:r>
    </w:p>
    <w:p w:rsidR="002F38C8" w:rsidRDefault="00A35454" w:rsidP="002F38C8">
      <w:pPr>
        <w:spacing w:line="480" w:lineRule="auto"/>
        <w:rPr>
          <w:rFonts w:ascii="Times New Roman" w:hAnsi="Times New Roman"/>
        </w:rPr>
      </w:pPr>
      <w:r>
        <w:rPr>
          <w:rFonts w:ascii="Times New Roman" w:hAnsi="Times New Roman"/>
        </w:rPr>
        <w:t>U Republici Hrvatskoj ne postoji model sustavne ni bilo kakve druge značajnije obrade zaključenih stečajnih predmeta. Stečajevi se svode na ukupnu statistiku, bez uvida u nje</w:t>
      </w:r>
      <w:r w:rsidR="00373EDA">
        <w:rPr>
          <w:rFonts w:ascii="Times New Roman" w:hAnsi="Times New Roman"/>
        </w:rPr>
        <w:t>zin</w:t>
      </w:r>
      <w:r>
        <w:rPr>
          <w:rFonts w:ascii="Times New Roman" w:hAnsi="Times New Roman"/>
        </w:rPr>
        <w:t>u strukturu i sadržaj. Ne zna se pouzdano koliki broj dužnika prestane, a koliki nastavi poslovati, prosječno (uobičajeno) vrijeme trajanja stečajnih postupaka, posto</w:t>
      </w:r>
      <w:r w:rsidR="00373EDA">
        <w:rPr>
          <w:rFonts w:ascii="Times New Roman" w:hAnsi="Times New Roman"/>
        </w:rPr>
        <w:t>t</w:t>
      </w:r>
      <w:r>
        <w:rPr>
          <w:rFonts w:ascii="Times New Roman" w:hAnsi="Times New Roman"/>
        </w:rPr>
        <w:t xml:space="preserve">ci namirenja tražbina vjerovnika, veličina imovine dužnika, visina novčanih nagrada stečajnim upraviteljima. Vrijedna iskustva osoba </w:t>
      </w:r>
      <w:r>
        <w:rPr>
          <w:rFonts w:ascii="Times New Roman" w:hAnsi="Times New Roman"/>
        </w:rPr>
        <w:lastRenderedPageBreak/>
        <w:t xml:space="preserve">involviranih u ove postupke ostaju zaboravljena, nesačuvana za buduće generacije, osim u obliku usmene predaje koja biva ugrađena u univerzalni korpus znanja. </w:t>
      </w:r>
      <w:proofErr w:type="spellStart"/>
      <w:r>
        <w:rPr>
          <w:rFonts w:ascii="Times New Roman" w:hAnsi="Times New Roman"/>
        </w:rPr>
        <w:t>Otamo</w:t>
      </w:r>
      <w:proofErr w:type="spellEnd"/>
      <w:r>
        <w:rPr>
          <w:rFonts w:ascii="Times New Roman" w:hAnsi="Times New Roman"/>
        </w:rPr>
        <w:t xml:space="preserve"> emaniraju tek u formi „općih mjesta“ (</w:t>
      </w:r>
      <w:proofErr w:type="spellStart"/>
      <w:r>
        <w:rPr>
          <w:rFonts w:ascii="Times New Roman" w:hAnsi="Times New Roman"/>
          <w:i/>
        </w:rPr>
        <w:t>locus</w:t>
      </w:r>
      <w:proofErr w:type="spellEnd"/>
      <w:r>
        <w:rPr>
          <w:rFonts w:ascii="Times New Roman" w:hAnsi="Times New Roman"/>
          <w:i/>
        </w:rPr>
        <w:t xml:space="preserve"> </w:t>
      </w:r>
      <w:proofErr w:type="spellStart"/>
      <w:r>
        <w:rPr>
          <w:rFonts w:ascii="Times New Roman" w:hAnsi="Times New Roman"/>
          <w:i/>
        </w:rPr>
        <w:t>communis</w:t>
      </w:r>
      <w:proofErr w:type="spellEnd"/>
      <w:r>
        <w:rPr>
          <w:rFonts w:ascii="Times New Roman" w:hAnsi="Times New Roman"/>
        </w:rPr>
        <w:t xml:space="preserve">) gdje se govori o stečajnim postupcima u kojima se uobičajeno čine poslovi čija je legalnost često </w:t>
      </w:r>
      <w:r w:rsidR="001446DC">
        <w:rPr>
          <w:rFonts w:ascii="Times New Roman" w:hAnsi="Times New Roman"/>
        </w:rPr>
        <w:t>upitna</w:t>
      </w:r>
      <w:r>
        <w:rPr>
          <w:rFonts w:ascii="Times New Roman" w:hAnsi="Times New Roman"/>
        </w:rPr>
        <w:t xml:space="preserve">. </w:t>
      </w:r>
      <w:r w:rsidR="00976DBA">
        <w:rPr>
          <w:rFonts w:ascii="Times New Roman" w:hAnsi="Times New Roman"/>
        </w:rPr>
        <w:t>Prethodni r</w:t>
      </w:r>
      <w:r w:rsidR="002F38C8">
        <w:rPr>
          <w:rFonts w:ascii="Times New Roman" w:hAnsi="Times New Roman"/>
        </w:rPr>
        <w:t xml:space="preserve">adovi koji se na znanstveni ili stručni način bave istraživanjem zaključenih stečajeva u Republici Hrvatskoj ne postoje. </w:t>
      </w:r>
    </w:p>
    <w:p w:rsidR="00D35A17" w:rsidRDefault="001446DC" w:rsidP="001446DC">
      <w:pPr>
        <w:spacing w:line="480" w:lineRule="auto"/>
        <w:rPr>
          <w:rFonts w:ascii="Times New Roman" w:hAnsi="Times New Roman"/>
        </w:rPr>
      </w:pPr>
      <w:r>
        <w:rPr>
          <w:rFonts w:ascii="Times New Roman" w:hAnsi="Times New Roman"/>
        </w:rPr>
        <w:t>U međunarodnoj komparaciji relativno su česta istraživanja malverzacija</w:t>
      </w:r>
      <w:r w:rsidR="006C0D54">
        <w:rPr>
          <w:rFonts w:ascii="Times New Roman" w:hAnsi="Times New Roman"/>
        </w:rPr>
        <w:t xml:space="preserve"> i prijevara</w:t>
      </w:r>
      <w:r>
        <w:rPr>
          <w:rFonts w:ascii="Times New Roman" w:hAnsi="Times New Roman"/>
        </w:rPr>
        <w:t xml:space="preserve"> uprave i vlasnika dužnika, tijekom ili prije stečaja (</w:t>
      </w:r>
      <w:r w:rsidR="006C0D54">
        <w:rPr>
          <w:rFonts w:ascii="Times New Roman" w:hAnsi="Times New Roman"/>
        </w:rPr>
        <w:t xml:space="preserve">npr. </w:t>
      </w:r>
      <w:proofErr w:type="spellStart"/>
      <w:r w:rsidR="006C0D54">
        <w:rPr>
          <w:rFonts w:ascii="Times New Roman" w:hAnsi="Times New Roman"/>
        </w:rPr>
        <w:t>Lewi</w:t>
      </w:r>
      <w:proofErr w:type="spellEnd"/>
      <w:r w:rsidR="006C0D54">
        <w:rPr>
          <w:rFonts w:ascii="Times New Roman" w:hAnsi="Times New Roman"/>
        </w:rPr>
        <w:t xml:space="preserve">, 1993; </w:t>
      </w:r>
      <w:proofErr w:type="spellStart"/>
      <w:r>
        <w:rPr>
          <w:rFonts w:ascii="Times New Roman" w:hAnsi="Times New Roman"/>
        </w:rPr>
        <w:t>Bower</w:t>
      </w:r>
      <w:proofErr w:type="spellEnd"/>
      <w:r>
        <w:rPr>
          <w:rFonts w:ascii="Times New Roman" w:hAnsi="Times New Roman"/>
        </w:rPr>
        <w:t xml:space="preserve"> i </w:t>
      </w:r>
      <w:proofErr w:type="spellStart"/>
      <w:r>
        <w:rPr>
          <w:rFonts w:ascii="Times New Roman" w:hAnsi="Times New Roman"/>
        </w:rPr>
        <w:t>Gilson</w:t>
      </w:r>
      <w:proofErr w:type="spellEnd"/>
      <w:r>
        <w:rPr>
          <w:rFonts w:ascii="Times New Roman" w:hAnsi="Times New Roman"/>
        </w:rPr>
        <w:t xml:space="preserve">, 2000; </w:t>
      </w:r>
      <w:proofErr w:type="spellStart"/>
      <w:r>
        <w:rPr>
          <w:rFonts w:ascii="Times New Roman" w:hAnsi="Times New Roman"/>
        </w:rPr>
        <w:t>Gaumer</w:t>
      </w:r>
      <w:proofErr w:type="spellEnd"/>
      <w:r>
        <w:rPr>
          <w:rFonts w:ascii="Times New Roman" w:hAnsi="Times New Roman"/>
        </w:rPr>
        <w:t xml:space="preserve">, 2000; </w:t>
      </w:r>
      <w:proofErr w:type="spellStart"/>
      <w:r w:rsidR="006C0D54">
        <w:rPr>
          <w:rFonts w:ascii="Times New Roman" w:hAnsi="Times New Roman"/>
        </w:rPr>
        <w:t>Pontell</w:t>
      </w:r>
      <w:proofErr w:type="spellEnd"/>
      <w:r w:rsidR="006C0D54">
        <w:rPr>
          <w:rFonts w:ascii="Times New Roman" w:hAnsi="Times New Roman"/>
        </w:rPr>
        <w:t xml:space="preserve">, 2005; </w:t>
      </w:r>
      <w:proofErr w:type="spellStart"/>
      <w:r w:rsidRPr="00AF1C3C">
        <w:rPr>
          <w:rFonts w:ascii="Times New Roman" w:hAnsi="Times New Roman"/>
        </w:rPr>
        <w:t>Veldkamp</w:t>
      </w:r>
      <w:proofErr w:type="spellEnd"/>
      <w:r>
        <w:rPr>
          <w:rFonts w:ascii="Times New Roman" w:hAnsi="Times New Roman"/>
        </w:rPr>
        <w:t xml:space="preserve"> i</w:t>
      </w:r>
      <w:r w:rsidRPr="00AF1C3C">
        <w:rPr>
          <w:rFonts w:ascii="Times New Roman" w:hAnsi="Times New Roman"/>
        </w:rPr>
        <w:t xml:space="preserve"> De </w:t>
      </w:r>
      <w:proofErr w:type="spellStart"/>
      <w:r w:rsidRPr="00AF1C3C">
        <w:rPr>
          <w:rFonts w:ascii="Times New Roman" w:hAnsi="Times New Roman"/>
        </w:rPr>
        <w:t>Vries</w:t>
      </w:r>
      <w:proofErr w:type="spellEnd"/>
      <w:r w:rsidRPr="00AF1C3C">
        <w:rPr>
          <w:rFonts w:ascii="Times New Roman" w:hAnsi="Times New Roman"/>
        </w:rPr>
        <w:t>, 2008</w:t>
      </w:r>
      <w:r>
        <w:rPr>
          <w:rFonts w:ascii="Times New Roman" w:hAnsi="Times New Roman"/>
        </w:rPr>
        <w:t xml:space="preserve">; </w:t>
      </w:r>
      <w:r w:rsidR="006C0D54">
        <w:rPr>
          <w:rFonts w:ascii="Times New Roman" w:hAnsi="Times New Roman"/>
        </w:rPr>
        <w:t>itd.</w:t>
      </w:r>
      <w:r>
        <w:rPr>
          <w:rFonts w:ascii="Times New Roman" w:hAnsi="Times New Roman"/>
        </w:rPr>
        <w:t xml:space="preserve">). No, </w:t>
      </w:r>
      <w:r w:rsidR="003A0568">
        <w:rPr>
          <w:rFonts w:ascii="Times New Roman" w:hAnsi="Times New Roman"/>
        </w:rPr>
        <w:t>teže</w:t>
      </w:r>
      <w:r>
        <w:rPr>
          <w:rFonts w:ascii="Times New Roman" w:hAnsi="Times New Roman"/>
        </w:rPr>
        <w:t xml:space="preserve"> je pronaći radove koji bi se bavili forenzikom stečajnih postupaka, odnosno analizom rada stečajnih upravitelja</w:t>
      </w:r>
      <w:r w:rsidR="00F03BB4">
        <w:rPr>
          <w:rFonts w:ascii="Times New Roman" w:hAnsi="Times New Roman"/>
        </w:rPr>
        <w:t xml:space="preserve"> i neravnotežom legislative i prakse</w:t>
      </w:r>
      <w:r>
        <w:rPr>
          <w:rFonts w:ascii="Times New Roman" w:hAnsi="Times New Roman"/>
        </w:rPr>
        <w:t>.</w:t>
      </w:r>
      <w:r w:rsidR="006C0D54">
        <w:rPr>
          <w:rFonts w:ascii="Times New Roman" w:hAnsi="Times New Roman"/>
        </w:rPr>
        <w:t xml:space="preserve"> </w:t>
      </w:r>
      <w:proofErr w:type="spellStart"/>
      <w:r w:rsidR="006C0D54">
        <w:rPr>
          <w:rFonts w:ascii="Times New Roman" w:hAnsi="Times New Roman"/>
        </w:rPr>
        <w:t>Cousins</w:t>
      </w:r>
      <w:proofErr w:type="spellEnd"/>
      <w:r w:rsidR="006C0D54">
        <w:rPr>
          <w:rFonts w:ascii="Times New Roman" w:hAnsi="Times New Roman"/>
        </w:rPr>
        <w:t>, Mitchell et al. (2000) ukazuju na problematiku vođenja stečajnih postupaka u Velikoj Britaniji</w:t>
      </w:r>
      <w:r w:rsidR="00D35A17">
        <w:rPr>
          <w:rFonts w:ascii="Times New Roman" w:hAnsi="Times New Roman"/>
        </w:rPr>
        <w:t xml:space="preserve">, i </w:t>
      </w:r>
      <w:r w:rsidR="003A0568">
        <w:rPr>
          <w:rFonts w:ascii="Times New Roman" w:hAnsi="Times New Roman"/>
        </w:rPr>
        <w:t xml:space="preserve">pritom </w:t>
      </w:r>
      <w:r w:rsidR="00D35A17">
        <w:rPr>
          <w:rFonts w:ascii="Times New Roman" w:hAnsi="Times New Roman"/>
        </w:rPr>
        <w:t>tvrde</w:t>
      </w:r>
      <w:r w:rsidR="006C0D54">
        <w:rPr>
          <w:rFonts w:ascii="Times New Roman" w:hAnsi="Times New Roman"/>
        </w:rPr>
        <w:t>:</w:t>
      </w:r>
      <w:r w:rsidR="00D35A17">
        <w:rPr>
          <w:rFonts w:ascii="Times New Roman" w:hAnsi="Times New Roman"/>
        </w:rPr>
        <w:t xml:space="preserve"> „</w:t>
      </w:r>
      <w:r w:rsidR="00BC267C" w:rsidRPr="00BC267C">
        <w:rPr>
          <w:rFonts w:ascii="Times New Roman" w:hAnsi="Times New Roman"/>
          <w:i/>
        </w:rPr>
        <w:t xml:space="preserve">Ne postoji nezavisna provjera naknada stečajnih upravitelja, osim ako netko ne zatraži skupu sudsku reviziju. Ne postoji rutinska nezavisna revizija računa ili troškova stečajnih upravitelja. </w:t>
      </w:r>
      <w:r w:rsidR="00BC267C">
        <w:rPr>
          <w:rFonts w:ascii="Times New Roman" w:hAnsi="Times New Roman"/>
        </w:rPr>
        <w:t xml:space="preserve">(…) </w:t>
      </w:r>
      <w:r w:rsidR="00D35A17" w:rsidRPr="00BC267C">
        <w:rPr>
          <w:rFonts w:ascii="Times New Roman" w:hAnsi="Times New Roman"/>
          <w:i/>
        </w:rPr>
        <w:t xml:space="preserve">Nije rijetkost da stečajni upravitelji odbijaju dobre ponude i potom prodaju imovinu </w:t>
      </w:r>
      <w:r w:rsidR="00D35A17" w:rsidRPr="003609C6">
        <w:rPr>
          <w:rFonts w:ascii="Times New Roman" w:hAnsi="Times New Roman"/>
        </w:rPr>
        <w:t xml:space="preserve">[dužnika] </w:t>
      </w:r>
      <w:r w:rsidR="00D35A17" w:rsidRPr="00BC267C">
        <w:rPr>
          <w:rFonts w:ascii="Times New Roman" w:hAnsi="Times New Roman"/>
          <w:i/>
        </w:rPr>
        <w:t>tvrtkama koje su sami osnovali</w:t>
      </w:r>
      <w:r w:rsidR="00BC267C" w:rsidRPr="00BC267C">
        <w:rPr>
          <w:rFonts w:ascii="Times New Roman" w:hAnsi="Times New Roman"/>
          <w:i/>
        </w:rPr>
        <w:t xml:space="preserve"> po sniženim cijenama</w:t>
      </w:r>
      <w:r w:rsidR="00D35A17" w:rsidRPr="00BC267C">
        <w:rPr>
          <w:rFonts w:ascii="Times New Roman" w:hAnsi="Times New Roman"/>
          <w:i/>
        </w:rPr>
        <w:t xml:space="preserve">. Uz odsustvo bilo kakvih informacija o uspješnosti, efikasnosti i efektivnosti, niti jedan interesent ne može </w:t>
      </w:r>
      <w:r w:rsidR="00BC267C" w:rsidRPr="00BC267C">
        <w:rPr>
          <w:rFonts w:ascii="Times New Roman" w:hAnsi="Times New Roman"/>
          <w:i/>
        </w:rPr>
        <w:t>donijeti kvalitetnu procjenu poželjnosti imenovanja ijedne osobe za stečajnoga upravitelja.</w:t>
      </w:r>
      <w:r w:rsidR="00D35A17">
        <w:rPr>
          <w:rFonts w:ascii="Times New Roman" w:hAnsi="Times New Roman"/>
        </w:rPr>
        <w:t>“</w:t>
      </w:r>
      <w:r w:rsidR="00BC267C">
        <w:rPr>
          <w:rStyle w:val="FootnoteReference"/>
          <w:rFonts w:ascii="Times New Roman" w:hAnsi="Times New Roman"/>
        </w:rPr>
        <w:footnoteReference w:id="8"/>
      </w:r>
      <w:r w:rsidR="003A0568">
        <w:rPr>
          <w:rFonts w:ascii="Times New Roman" w:hAnsi="Times New Roman"/>
        </w:rPr>
        <w:t xml:space="preserve"> Opisujući stanje prije stečajnih reformi u Francuskoj </w:t>
      </w:r>
      <w:proofErr w:type="spellStart"/>
      <w:r w:rsidR="003A0568">
        <w:rPr>
          <w:rFonts w:ascii="Times New Roman" w:hAnsi="Times New Roman"/>
        </w:rPr>
        <w:t>Omar</w:t>
      </w:r>
      <w:proofErr w:type="spellEnd"/>
      <w:r w:rsidR="003A0568">
        <w:rPr>
          <w:rFonts w:ascii="Times New Roman" w:hAnsi="Times New Roman"/>
        </w:rPr>
        <w:t xml:space="preserve"> (2006) ističe kako je „(…) </w:t>
      </w:r>
      <w:r w:rsidR="003A0568" w:rsidRPr="003A0568">
        <w:rPr>
          <w:rFonts w:ascii="Times New Roman" w:hAnsi="Times New Roman"/>
          <w:i/>
        </w:rPr>
        <w:t>stečajna praksa bila, čak i prema francuskim poslovnim standardima, neuobičajeno prisan svijet u kojemu su pravnici, upravitelji i suci često formirali bliske radne odnose, osobito u manjim jurisdikcijama, a ovaj svijet nije bio imun na političke pritiske</w:t>
      </w:r>
      <w:r w:rsidR="003A0568">
        <w:rPr>
          <w:rFonts w:ascii="Times New Roman" w:hAnsi="Times New Roman"/>
        </w:rPr>
        <w:t xml:space="preserve"> (…)“</w:t>
      </w:r>
      <w:r w:rsidR="003A0568">
        <w:rPr>
          <w:rStyle w:val="FootnoteReference"/>
          <w:rFonts w:ascii="Times New Roman" w:hAnsi="Times New Roman"/>
        </w:rPr>
        <w:footnoteReference w:id="9"/>
      </w:r>
      <w:r w:rsidR="003A0568">
        <w:rPr>
          <w:rFonts w:ascii="Times New Roman" w:hAnsi="Times New Roman"/>
        </w:rPr>
        <w:t xml:space="preserve">. Također, upućuje i na to kako je uslijed parlamentarnih i državnih istraga tijekom 1998. </w:t>
      </w:r>
      <w:r w:rsidR="00404937">
        <w:rPr>
          <w:rFonts w:ascii="Times New Roman" w:hAnsi="Times New Roman"/>
        </w:rPr>
        <w:t xml:space="preserve">u Francuskoj </w:t>
      </w:r>
      <w:r w:rsidR="003A0568">
        <w:rPr>
          <w:rFonts w:ascii="Times New Roman" w:hAnsi="Times New Roman"/>
        </w:rPr>
        <w:t xml:space="preserve">otkriveno mnoštvo sustavnih </w:t>
      </w:r>
      <w:r w:rsidR="00404937">
        <w:rPr>
          <w:rFonts w:ascii="Times New Roman" w:hAnsi="Times New Roman"/>
        </w:rPr>
        <w:t>zlouporaba u stečaju, što je dovelo do značajnog nezadovoljstva javnosti u pogledu funk</w:t>
      </w:r>
      <w:r w:rsidR="00343030">
        <w:rPr>
          <w:rFonts w:ascii="Times New Roman" w:hAnsi="Times New Roman"/>
        </w:rPr>
        <w:t>cioniranja trgovačkog pravosuđa.</w:t>
      </w:r>
      <w:r w:rsidR="00404937">
        <w:rPr>
          <w:rFonts w:ascii="Times New Roman" w:hAnsi="Times New Roman"/>
        </w:rPr>
        <w:t xml:space="preserve"> </w:t>
      </w:r>
      <w:r w:rsidR="00343030">
        <w:rPr>
          <w:rFonts w:ascii="Times New Roman" w:hAnsi="Times New Roman"/>
        </w:rPr>
        <w:t>Nakon to</w:t>
      </w:r>
      <w:r w:rsidR="00404937">
        <w:rPr>
          <w:rFonts w:ascii="Times New Roman" w:hAnsi="Times New Roman"/>
        </w:rPr>
        <w:t xml:space="preserve">ga je stečajni postupak učinjen </w:t>
      </w:r>
      <w:proofErr w:type="spellStart"/>
      <w:r w:rsidR="00404937">
        <w:rPr>
          <w:rFonts w:ascii="Times New Roman" w:hAnsi="Times New Roman"/>
        </w:rPr>
        <w:t>transparentnijim</w:t>
      </w:r>
      <w:proofErr w:type="spellEnd"/>
      <w:r w:rsidR="00404937">
        <w:rPr>
          <w:rFonts w:ascii="Times New Roman" w:hAnsi="Times New Roman"/>
        </w:rPr>
        <w:t xml:space="preserve"> te su uvedene dodatne mjere osiguranja očuvanja interesa vjerovnika</w:t>
      </w:r>
      <w:r w:rsidR="00404937">
        <w:rPr>
          <w:rStyle w:val="FootnoteReference"/>
          <w:rFonts w:ascii="Times New Roman" w:hAnsi="Times New Roman"/>
        </w:rPr>
        <w:footnoteReference w:id="10"/>
      </w:r>
      <w:r w:rsidR="00404937">
        <w:rPr>
          <w:rFonts w:ascii="Times New Roman" w:hAnsi="Times New Roman"/>
        </w:rPr>
        <w:t>.</w:t>
      </w:r>
      <w:r w:rsidR="003609C6">
        <w:rPr>
          <w:rFonts w:ascii="Times New Roman" w:hAnsi="Times New Roman"/>
        </w:rPr>
        <w:t xml:space="preserve"> </w:t>
      </w:r>
      <w:r w:rsidR="009E6A14">
        <w:rPr>
          <w:rFonts w:ascii="Times New Roman" w:hAnsi="Times New Roman"/>
        </w:rPr>
        <w:t>Italija je također primjer stečajnog sustava u kojemu malv</w:t>
      </w:r>
      <w:r w:rsidR="001F0DF1">
        <w:rPr>
          <w:rFonts w:ascii="Times New Roman" w:hAnsi="Times New Roman"/>
        </w:rPr>
        <w:t xml:space="preserve">erzacije nisu bile </w:t>
      </w:r>
      <w:r w:rsidR="001F0DF1">
        <w:rPr>
          <w:rFonts w:ascii="Times New Roman" w:hAnsi="Times New Roman"/>
        </w:rPr>
        <w:lastRenderedPageBreak/>
        <w:t>neuobičajene</w:t>
      </w:r>
      <w:r w:rsidR="001F0DF1">
        <w:rPr>
          <w:rStyle w:val="FootnoteReference"/>
          <w:rFonts w:ascii="Times New Roman" w:hAnsi="Times New Roman"/>
        </w:rPr>
        <w:footnoteReference w:id="11"/>
      </w:r>
      <w:r w:rsidR="00AA492B">
        <w:rPr>
          <w:rFonts w:ascii="Times New Roman" w:hAnsi="Times New Roman"/>
        </w:rPr>
        <w:t xml:space="preserve">, te </w:t>
      </w:r>
      <w:r w:rsidR="00343030">
        <w:rPr>
          <w:rFonts w:ascii="Times New Roman" w:hAnsi="Times New Roman"/>
        </w:rPr>
        <w:t>postoje</w:t>
      </w:r>
      <w:r w:rsidR="00BC2558">
        <w:rPr>
          <w:rFonts w:ascii="Times New Roman" w:hAnsi="Times New Roman"/>
        </w:rPr>
        <w:t xml:space="preserve"> presude Vrhovnog suda Italije u kojima su osuđeni stečajni upravitelji zbog pronevjere novca kojima su raspolagali</w:t>
      </w:r>
      <w:r w:rsidR="00343030">
        <w:rPr>
          <w:rFonts w:ascii="Times New Roman" w:hAnsi="Times New Roman"/>
        </w:rPr>
        <w:t xml:space="preserve">, </w:t>
      </w:r>
      <w:r w:rsidR="003609C6">
        <w:rPr>
          <w:rFonts w:ascii="Times New Roman" w:hAnsi="Times New Roman"/>
        </w:rPr>
        <w:t>a i presude stečajnim sucima</w:t>
      </w:r>
      <w:r w:rsidR="00BC2558">
        <w:rPr>
          <w:rStyle w:val="FootnoteReference"/>
          <w:rFonts w:ascii="Times New Roman" w:hAnsi="Times New Roman"/>
        </w:rPr>
        <w:footnoteReference w:id="12"/>
      </w:r>
      <w:r w:rsidR="00BC2558">
        <w:rPr>
          <w:rFonts w:ascii="Times New Roman" w:hAnsi="Times New Roman"/>
        </w:rPr>
        <w:t>.</w:t>
      </w:r>
      <w:r w:rsidR="003609C6">
        <w:rPr>
          <w:rFonts w:ascii="Times New Roman" w:hAnsi="Times New Roman"/>
        </w:rPr>
        <w:t xml:space="preserve"> Primjeri nekorektnog ponašanja stečajnih upravitelja mogu se uočiti i drugdje, primjerice u Nizozemskoj </w:t>
      </w:r>
      <w:r w:rsidR="00AA492B">
        <w:rPr>
          <w:rFonts w:ascii="Times New Roman" w:hAnsi="Times New Roman"/>
        </w:rPr>
        <w:t>(</w:t>
      </w:r>
      <w:proofErr w:type="spellStart"/>
      <w:r w:rsidR="000D33D0">
        <w:rPr>
          <w:rFonts w:ascii="Times New Roman" w:hAnsi="Times New Roman"/>
        </w:rPr>
        <w:t>Vriesendorp</w:t>
      </w:r>
      <w:proofErr w:type="spellEnd"/>
      <w:r w:rsidR="00AA492B">
        <w:rPr>
          <w:rFonts w:ascii="Times New Roman" w:hAnsi="Times New Roman"/>
        </w:rPr>
        <w:t xml:space="preserve">, </w:t>
      </w:r>
      <w:r w:rsidR="000D33D0" w:rsidRPr="000D33D0">
        <w:rPr>
          <w:rFonts w:ascii="Times New Roman" w:hAnsi="Times New Roman"/>
        </w:rPr>
        <w:t>2008)</w:t>
      </w:r>
      <w:r w:rsidR="003609C6">
        <w:rPr>
          <w:rFonts w:ascii="Times New Roman" w:hAnsi="Times New Roman"/>
        </w:rPr>
        <w:t>, itd.</w:t>
      </w:r>
    </w:p>
    <w:p w:rsidR="005A7A8E" w:rsidRPr="005A7A8E" w:rsidRDefault="00BC267C" w:rsidP="00E377E6">
      <w:pPr>
        <w:spacing w:line="480" w:lineRule="auto"/>
        <w:rPr>
          <w:rFonts w:ascii="Times New Roman" w:hAnsi="Times New Roman"/>
        </w:rPr>
      </w:pPr>
      <w:r>
        <w:rPr>
          <w:rFonts w:ascii="Times New Roman" w:hAnsi="Times New Roman"/>
        </w:rPr>
        <w:t>Što se Republike Hrvatske tiče, p</w:t>
      </w:r>
      <w:r w:rsidR="00901197">
        <w:rPr>
          <w:rFonts w:ascii="Times New Roman" w:hAnsi="Times New Roman"/>
        </w:rPr>
        <w:t>ostoje brojni izazovi pri provedbi stečajeva</w:t>
      </w:r>
      <w:r>
        <w:rPr>
          <w:rFonts w:ascii="Times New Roman" w:hAnsi="Times New Roman"/>
        </w:rPr>
        <w:t xml:space="preserve">. </w:t>
      </w:r>
      <w:r w:rsidR="00245C28">
        <w:rPr>
          <w:rFonts w:ascii="Times New Roman" w:hAnsi="Times New Roman"/>
        </w:rPr>
        <w:t>Na nedostatke</w:t>
      </w:r>
      <w:r w:rsidR="005A7A8E" w:rsidRPr="005A7A8E">
        <w:rPr>
          <w:rFonts w:ascii="Times New Roman" w:hAnsi="Times New Roman"/>
        </w:rPr>
        <w:t xml:space="preserve"> </w:t>
      </w:r>
      <w:r w:rsidR="00901197">
        <w:rPr>
          <w:rFonts w:ascii="Times New Roman" w:hAnsi="Times New Roman"/>
        </w:rPr>
        <w:t xml:space="preserve">hrvatskog </w:t>
      </w:r>
      <w:r w:rsidR="005A7A8E" w:rsidRPr="005A7A8E">
        <w:rPr>
          <w:rFonts w:ascii="Times New Roman" w:hAnsi="Times New Roman"/>
        </w:rPr>
        <w:t xml:space="preserve">stečajnog sustava </w:t>
      </w:r>
      <w:r w:rsidR="00245C28">
        <w:rPr>
          <w:rFonts w:ascii="Times New Roman" w:hAnsi="Times New Roman"/>
        </w:rPr>
        <w:t>ukazivali su, primjerice,</w:t>
      </w:r>
      <w:r w:rsidR="005A7A8E" w:rsidRPr="005A7A8E">
        <w:rPr>
          <w:rFonts w:ascii="Times New Roman" w:hAnsi="Times New Roman"/>
        </w:rPr>
        <w:t xml:space="preserve"> </w:t>
      </w:r>
      <w:proofErr w:type="spellStart"/>
      <w:r w:rsidR="005A7A8E" w:rsidRPr="005A7A8E">
        <w:rPr>
          <w:rFonts w:ascii="Times New Roman" w:hAnsi="Times New Roman"/>
        </w:rPr>
        <w:t>Šimundić</w:t>
      </w:r>
      <w:proofErr w:type="spellEnd"/>
      <w:r w:rsidR="005A7A8E" w:rsidRPr="005A7A8E">
        <w:rPr>
          <w:rFonts w:ascii="Times New Roman" w:hAnsi="Times New Roman"/>
        </w:rPr>
        <w:t xml:space="preserve"> </w:t>
      </w:r>
      <w:r w:rsidR="00245C28">
        <w:rPr>
          <w:rFonts w:ascii="Times New Roman" w:hAnsi="Times New Roman"/>
        </w:rPr>
        <w:t>(</w:t>
      </w:r>
      <w:r w:rsidR="005A7A8E" w:rsidRPr="005A7A8E">
        <w:rPr>
          <w:rFonts w:ascii="Times New Roman" w:hAnsi="Times New Roman"/>
        </w:rPr>
        <w:t>2006</w:t>
      </w:r>
      <w:r w:rsidR="00245C28">
        <w:rPr>
          <w:rFonts w:ascii="Times New Roman" w:hAnsi="Times New Roman"/>
        </w:rPr>
        <w:t>)</w:t>
      </w:r>
      <w:r w:rsidR="005A7A8E" w:rsidRPr="005A7A8E">
        <w:rPr>
          <w:rFonts w:ascii="Times New Roman" w:hAnsi="Times New Roman"/>
        </w:rPr>
        <w:t xml:space="preserve">, Sajter </w:t>
      </w:r>
      <w:r w:rsidR="00245C28">
        <w:rPr>
          <w:rFonts w:ascii="Times New Roman" w:hAnsi="Times New Roman"/>
        </w:rPr>
        <w:t>(</w:t>
      </w:r>
      <w:r w:rsidR="005A7A8E" w:rsidRPr="005A7A8E">
        <w:rPr>
          <w:rFonts w:ascii="Times New Roman" w:hAnsi="Times New Roman"/>
        </w:rPr>
        <w:t>2008</w:t>
      </w:r>
      <w:r w:rsidR="00245C28">
        <w:rPr>
          <w:rFonts w:ascii="Times New Roman" w:hAnsi="Times New Roman"/>
        </w:rPr>
        <w:t>) i</w:t>
      </w:r>
      <w:r w:rsidR="005A7A8E" w:rsidRPr="005A7A8E">
        <w:rPr>
          <w:rFonts w:ascii="Times New Roman" w:hAnsi="Times New Roman"/>
        </w:rPr>
        <w:t xml:space="preserve"> Vuković </w:t>
      </w:r>
      <w:r w:rsidR="001446DC">
        <w:rPr>
          <w:rFonts w:ascii="Times New Roman" w:hAnsi="Times New Roman"/>
        </w:rPr>
        <w:t xml:space="preserve">i Bodul </w:t>
      </w:r>
      <w:r w:rsidR="00245C28">
        <w:rPr>
          <w:rFonts w:ascii="Times New Roman" w:hAnsi="Times New Roman"/>
        </w:rPr>
        <w:t>(</w:t>
      </w:r>
      <w:r w:rsidR="005A7A8E" w:rsidRPr="005A7A8E">
        <w:rPr>
          <w:rFonts w:ascii="Times New Roman" w:hAnsi="Times New Roman"/>
        </w:rPr>
        <w:t>2012).</w:t>
      </w:r>
      <w:r w:rsidR="00901197">
        <w:rPr>
          <w:rFonts w:ascii="Times New Roman" w:hAnsi="Times New Roman"/>
        </w:rPr>
        <w:t xml:space="preserve"> </w:t>
      </w:r>
      <w:r w:rsidR="00857693">
        <w:rPr>
          <w:rFonts w:ascii="Times New Roman" w:hAnsi="Times New Roman"/>
        </w:rPr>
        <w:t>SZ</w:t>
      </w:r>
      <w:r w:rsidR="008F64A8">
        <w:rPr>
          <w:rFonts w:ascii="Times New Roman" w:hAnsi="Times New Roman"/>
        </w:rPr>
        <w:t xml:space="preserve"> predstavlja temeljni pravni okvir za provedbu stečaja i premda postoje i drugi pravni akti</w:t>
      </w:r>
      <w:r w:rsidR="004C27E0">
        <w:rPr>
          <w:rFonts w:ascii="Times New Roman" w:hAnsi="Times New Roman"/>
        </w:rPr>
        <w:t xml:space="preserve"> koji reguliraju područje stečaja</w:t>
      </w:r>
      <w:r w:rsidR="008F64A8">
        <w:rPr>
          <w:rStyle w:val="FootnoteReference"/>
          <w:rFonts w:ascii="Times New Roman" w:hAnsi="Times New Roman"/>
        </w:rPr>
        <w:footnoteReference w:id="13"/>
      </w:r>
      <w:r w:rsidR="008F64A8">
        <w:rPr>
          <w:rFonts w:ascii="Times New Roman" w:hAnsi="Times New Roman"/>
        </w:rPr>
        <w:t xml:space="preserve"> </w:t>
      </w:r>
      <w:r w:rsidR="00857693">
        <w:rPr>
          <w:rFonts w:ascii="Times New Roman" w:hAnsi="Times New Roman"/>
        </w:rPr>
        <w:t>SZ</w:t>
      </w:r>
      <w:r w:rsidR="008F64A8">
        <w:rPr>
          <w:rFonts w:ascii="Times New Roman" w:hAnsi="Times New Roman"/>
        </w:rPr>
        <w:t xml:space="preserve"> determinira strukturu stečajnog sustava. </w:t>
      </w:r>
      <w:r w:rsidR="005A7A8E" w:rsidRPr="005A7A8E">
        <w:rPr>
          <w:rFonts w:ascii="Times New Roman" w:hAnsi="Times New Roman"/>
        </w:rPr>
        <w:t xml:space="preserve">Odredbe </w:t>
      </w:r>
      <w:r w:rsidR="00857693">
        <w:rPr>
          <w:rFonts w:ascii="Times New Roman" w:hAnsi="Times New Roman"/>
        </w:rPr>
        <w:t>SZ</w:t>
      </w:r>
      <w:r w:rsidR="002A0C5F">
        <w:rPr>
          <w:rFonts w:ascii="Times New Roman" w:hAnsi="Times New Roman"/>
        </w:rPr>
        <w:t xml:space="preserve">, </w:t>
      </w:r>
      <w:r w:rsidR="005A7A8E" w:rsidRPr="005A7A8E">
        <w:rPr>
          <w:rFonts w:ascii="Times New Roman" w:hAnsi="Times New Roman"/>
        </w:rPr>
        <w:t>poprilično složene i ne-pravnicima teško razumljive, nisu dovoljno odrješite i konkretne kako bi vjerovnici putem njih imali efikasan alat nadzora nad radom stečajnog upravitelja. Ovdje će se spomenuti samo nekoliko</w:t>
      </w:r>
      <w:r w:rsidR="005A7A8E" w:rsidRPr="005A7A8E">
        <w:rPr>
          <w:rStyle w:val="FootnoteReference"/>
          <w:rFonts w:ascii="Times New Roman" w:hAnsi="Times New Roman"/>
        </w:rPr>
        <w:footnoteReference w:id="14"/>
      </w:r>
      <w:r w:rsidR="005A7A8E" w:rsidRPr="005A7A8E">
        <w:rPr>
          <w:rFonts w:ascii="Times New Roman" w:hAnsi="Times New Roman"/>
        </w:rPr>
        <w:t xml:space="preserve"> odredbi </w:t>
      </w:r>
      <w:r w:rsidR="00857693">
        <w:rPr>
          <w:rFonts w:ascii="Times New Roman" w:hAnsi="Times New Roman"/>
        </w:rPr>
        <w:t>SZ</w:t>
      </w:r>
      <w:r w:rsidR="005A7A8E" w:rsidRPr="005A7A8E">
        <w:rPr>
          <w:rFonts w:ascii="Times New Roman" w:hAnsi="Times New Roman"/>
        </w:rPr>
        <w:t xml:space="preserve"> čije nejasnoće dovode do praktičnih poteškoća u realizaciji ciljeva stečaja. </w:t>
      </w:r>
    </w:p>
    <w:p w:rsidR="005A7A8E" w:rsidRPr="005A7A8E" w:rsidRDefault="005A7A8E" w:rsidP="00E377E6">
      <w:pPr>
        <w:spacing w:line="480" w:lineRule="auto"/>
        <w:rPr>
          <w:rFonts w:ascii="Times New Roman" w:hAnsi="Times New Roman"/>
        </w:rPr>
      </w:pPr>
      <w:r w:rsidRPr="005A7A8E">
        <w:rPr>
          <w:rFonts w:ascii="Times New Roman" w:hAnsi="Times New Roman"/>
        </w:rPr>
        <w:t xml:space="preserve">Prvo, vjerovnici nemaju uvid u „plaću“ stečajnog upravitelja (čl. 29. </w:t>
      </w:r>
      <w:r w:rsidR="00857693">
        <w:rPr>
          <w:rFonts w:ascii="Times New Roman" w:hAnsi="Times New Roman"/>
        </w:rPr>
        <w:t>SZ</w:t>
      </w:r>
      <w:r w:rsidRPr="005A7A8E">
        <w:rPr>
          <w:rFonts w:ascii="Times New Roman" w:hAnsi="Times New Roman"/>
        </w:rPr>
        <w:t>). Novčana nagrada stečajnom upravitelju je tajna, i ova netransparentnost ugrađena je u zakon, premda se ona isplaćuje iz imovine dužnika, a ekonomski vlasnici dužnika su vjerovnici i oni zapravo financiraju rad upravitelja. Uz to, način određivanja visine novčanih primanja upravitelja je diskutabilan</w:t>
      </w:r>
      <w:r w:rsidR="001446DC">
        <w:rPr>
          <w:rFonts w:ascii="Times New Roman" w:hAnsi="Times New Roman"/>
        </w:rPr>
        <w:t xml:space="preserve"> te je potrebno „(…) </w:t>
      </w:r>
      <w:r w:rsidR="001446DC" w:rsidRPr="001446DC">
        <w:rPr>
          <w:rFonts w:ascii="Times New Roman" w:hAnsi="Times New Roman"/>
          <w:i/>
        </w:rPr>
        <w:t>značajno izmijeniti sadašnje stanje jer je neodrživo</w:t>
      </w:r>
      <w:r w:rsidR="001446DC">
        <w:rPr>
          <w:rFonts w:ascii="Times New Roman" w:hAnsi="Times New Roman"/>
        </w:rPr>
        <w:t>“</w:t>
      </w:r>
      <w:r w:rsidRPr="005A7A8E">
        <w:rPr>
          <w:rFonts w:ascii="Times New Roman" w:hAnsi="Times New Roman"/>
        </w:rPr>
        <w:t xml:space="preserve"> (Vuković, 2010</w:t>
      </w:r>
      <w:r w:rsidR="001446DC">
        <w:rPr>
          <w:rFonts w:ascii="Times New Roman" w:hAnsi="Times New Roman"/>
        </w:rPr>
        <w:t>:203</w:t>
      </w:r>
      <w:r w:rsidRPr="005A7A8E">
        <w:rPr>
          <w:rFonts w:ascii="Times New Roman" w:hAnsi="Times New Roman"/>
        </w:rPr>
        <w:t xml:space="preserve">). </w:t>
      </w:r>
    </w:p>
    <w:p w:rsidR="005A7A8E" w:rsidRPr="005A7A8E" w:rsidRDefault="005A7A8E" w:rsidP="00E377E6">
      <w:pPr>
        <w:spacing w:line="480" w:lineRule="auto"/>
        <w:rPr>
          <w:rFonts w:ascii="Times New Roman" w:hAnsi="Times New Roman"/>
        </w:rPr>
      </w:pPr>
      <w:r w:rsidRPr="005A7A8E">
        <w:rPr>
          <w:rFonts w:ascii="Times New Roman" w:hAnsi="Times New Roman"/>
        </w:rPr>
        <w:t>Drugo, nije propisana razina detaljnosti kada upravitelj za svoj rad podnosi račune: „</w:t>
      </w:r>
      <w:r w:rsidRPr="005A7A8E">
        <w:rPr>
          <w:rFonts w:ascii="Times New Roman" w:hAnsi="Times New Roman"/>
          <w:i/>
        </w:rPr>
        <w:t xml:space="preserve">Naš Stečajni zakon ne određuje sadržaj završnog računa, pa su se u praksi događala različita rješenja od iscrpnijeg izvješća stečajnog upravitelja do šturog prikaza računa prihoda i rashoda, ali svakako se rijetko događalo da bi sudac pri ispitivanju završnog računa stečajnog upravitelja jasno znao što čini </w:t>
      </w:r>
      <w:r w:rsidRPr="005A7A8E">
        <w:rPr>
          <w:rFonts w:ascii="Times New Roman" w:hAnsi="Times New Roman"/>
          <w:i/>
        </w:rPr>
        <w:lastRenderedPageBreak/>
        <w:t>sadržaj završnog računa stečajnog upravitelja</w:t>
      </w:r>
      <w:r w:rsidRPr="005A7A8E">
        <w:rPr>
          <w:rFonts w:ascii="Times New Roman" w:hAnsi="Times New Roman"/>
        </w:rPr>
        <w:t xml:space="preserve">“ (Marković, 2008). To znači da ne samo da vjerovnici ne znaju što je upravitelj konkretno radio u postupku, već to rijetko zna i sam sudac. Upravitelji najčešće podnose račune na sumarnoj razini, bez uvida u točnu specifikaciju troškova. Primjerice, u jednom predmetu koji je obrađen u ovom istraživanju upravitelj je kao trošak postupka (koji se stoga namiruje prije ostalih vjerovnika, npr. </w:t>
      </w:r>
      <w:r w:rsidR="004C27E0">
        <w:rPr>
          <w:rFonts w:ascii="Times New Roman" w:hAnsi="Times New Roman"/>
        </w:rPr>
        <w:t xml:space="preserve">prije </w:t>
      </w:r>
      <w:r w:rsidRPr="005A7A8E">
        <w:rPr>
          <w:rFonts w:ascii="Times New Roman" w:hAnsi="Times New Roman"/>
        </w:rPr>
        <w:t xml:space="preserve">radnika dužnika) obračunao izdatak od 160.000 kn „za stručnu literaturu i edukaciju“, no ne može se utvrditi gdje je konkretno otišao taj novac. </w:t>
      </w:r>
    </w:p>
    <w:p w:rsidR="005A7A8E" w:rsidRPr="005A7A8E" w:rsidRDefault="005A7A8E" w:rsidP="00E377E6">
      <w:pPr>
        <w:spacing w:line="480" w:lineRule="auto"/>
        <w:rPr>
          <w:rFonts w:ascii="Times New Roman" w:hAnsi="Times New Roman"/>
        </w:rPr>
      </w:pPr>
      <w:r w:rsidRPr="005A7A8E">
        <w:rPr>
          <w:rFonts w:ascii="Times New Roman" w:hAnsi="Times New Roman"/>
        </w:rPr>
        <w:t>Treće, ne postoji adekvatno propisano rješenje o postupanju s dokumentacijom koja je nastala tijekom stečajnog postupka (Galić, 2008; Horvat 2008)</w:t>
      </w:r>
      <w:r w:rsidR="007F07C4">
        <w:rPr>
          <w:rFonts w:ascii="Times New Roman" w:hAnsi="Times New Roman"/>
        </w:rPr>
        <w:t>,</w:t>
      </w:r>
      <w:r w:rsidRPr="005A7A8E">
        <w:rPr>
          <w:rFonts w:ascii="Times New Roman" w:hAnsi="Times New Roman"/>
        </w:rPr>
        <w:t xml:space="preserve"> </w:t>
      </w:r>
      <w:r w:rsidR="007F07C4">
        <w:rPr>
          <w:rFonts w:ascii="Times New Roman" w:hAnsi="Times New Roman"/>
        </w:rPr>
        <w:t>s</w:t>
      </w:r>
      <w:r w:rsidRPr="005A7A8E">
        <w:rPr>
          <w:rFonts w:ascii="Times New Roman" w:hAnsi="Times New Roman"/>
        </w:rPr>
        <w:t>toga je naknadno teško utvrditi je li bilo postupanja stečajnog upravitelja koja su bila u suprotnosti s ciljevima stečaja. Uslijed toga, iznimno je zahtjevno analizirati stečajne postupke nakon njihova zaključenja</w:t>
      </w:r>
      <w:r w:rsidRPr="005A7A8E">
        <w:rPr>
          <w:rStyle w:val="FootnoteReference"/>
          <w:rFonts w:ascii="Times New Roman" w:hAnsi="Times New Roman"/>
        </w:rPr>
        <w:footnoteReference w:id="15"/>
      </w:r>
      <w:r w:rsidRPr="005A7A8E">
        <w:rPr>
          <w:rFonts w:ascii="Times New Roman" w:hAnsi="Times New Roman"/>
        </w:rPr>
        <w:t xml:space="preserve">. </w:t>
      </w:r>
      <w:r w:rsidR="008F64A8">
        <w:rPr>
          <w:rFonts w:ascii="Times New Roman" w:hAnsi="Times New Roman"/>
        </w:rPr>
        <w:t xml:space="preserve">Također valja napomenuti kako </w:t>
      </w:r>
      <w:r w:rsidR="00C056AB">
        <w:rPr>
          <w:rFonts w:ascii="Times New Roman" w:hAnsi="Times New Roman"/>
        </w:rPr>
        <w:t>se u</w:t>
      </w:r>
      <w:r w:rsidR="008F64A8" w:rsidRPr="008F64A8">
        <w:rPr>
          <w:rFonts w:ascii="Times New Roman" w:hAnsi="Times New Roman"/>
        </w:rPr>
        <w:t xml:space="preserve"> stečajnom postupku ne može podnijeti prijedlog za p</w:t>
      </w:r>
      <w:r w:rsidR="00C056AB">
        <w:rPr>
          <w:rFonts w:ascii="Times New Roman" w:hAnsi="Times New Roman"/>
        </w:rPr>
        <w:t>onavljanje postupka, a revizija</w:t>
      </w:r>
      <w:r w:rsidR="007F07C4">
        <w:rPr>
          <w:rFonts w:ascii="Times New Roman" w:hAnsi="Times New Roman"/>
        </w:rPr>
        <w:t xml:space="preserve"> se</w:t>
      </w:r>
      <w:r w:rsidR="00C056AB">
        <w:rPr>
          <w:rFonts w:ascii="Times New Roman" w:hAnsi="Times New Roman"/>
        </w:rPr>
        <w:t xml:space="preserve"> </w:t>
      </w:r>
      <w:r w:rsidR="008F64A8" w:rsidRPr="008F64A8">
        <w:rPr>
          <w:rFonts w:ascii="Times New Roman" w:hAnsi="Times New Roman"/>
        </w:rPr>
        <w:t>može</w:t>
      </w:r>
      <w:r w:rsidR="00C056AB">
        <w:rPr>
          <w:rFonts w:ascii="Times New Roman" w:hAnsi="Times New Roman"/>
        </w:rPr>
        <w:t xml:space="preserve"> tražiti samo u specifičnim okolnostima</w:t>
      </w:r>
      <w:r w:rsidR="00C056AB">
        <w:rPr>
          <w:rStyle w:val="FootnoteReference"/>
          <w:rFonts w:ascii="Times New Roman" w:hAnsi="Times New Roman"/>
        </w:rPr>
        <w:footnoteReference w:id="16"/>
      </w:r>
      <w:r w:rsidR="008F64A8" w:rsidRPr="008F64A8">
        <w:rPr>
          <w:rFonts w:ascii="Times New Roman" w:hAnsi="Times New Roman"/>
        </w:rPr>
        <w:t>.</w:t>
      </w:r>
    </w:p>
    <w:p w:rsidR="005A7A8E" w:rsidRPr="005A7A8E" w:rsidRDefault="005A7A8E" w:rsidP="00E377E6">
      <w:pPr>
        <w:spacing w:line="480" w:lineRule="auto"/>
        <w:rPr>
          <w:rFonts w:ascii="Times New Roman" w:hAnsi="Times New Roman"/>
        </w:rPr>
      </w:pPr>
      <w:r w:rsidRPr="005A7A8E">
        <w:rPr>
          <w:rFonts w:ascii="Times New Roman" w:hAnsi="Times New Roman"/>
        </w:rPr>
        <w:t xml:space="preserve">Kao preduvjet za provedbu istraživanja, zajamčeno je </w:t>
      </w:r>
      <w:r w:rsidR="007F07C4">
        <w:rPr>
          <w:rFonts w:ascii="Times New Roman" w:hAnsi="Times New Roman"/>
        </w:rPr>
        <w:t>da</w:t>
      </w:r>
      <w:r w:rsidRPr="005A7A8E">
        <w:rPr>
          <w:rFonts w:ascii="Times New Roman" w:hAnsi="Times New Roman"/>
        </w:rPr>
        <w:t xml:space="preserve"> će se zaštititi imena pravnih i fizičkih osoba koja su predmetom istraživanja te su stoga sva imena stečajnih dužnika i stečajnih upravitelja u ovom radu </w:t>
      </w:r>
      <w:r w:rsidR="00976DBA">
        <w:rPr>
          <w:rFonts w:ascii="Times New Roman" w:hAnsi="Times New Roman"/>
        </w:rPr>
        <w:t>izostavljena</w:t>
      </w:r>
      <w:r w:rsidRPr="005A7A8E">
        <w:rPr>
          <w:rFonts w:ascii="Times New Roman" w:hAnsi="Times New Roman"/>
        </w:rPr>
        <w:t xml:space="preserve">. </w:t>
      </w:r>
      <w:r w:rsidR="00245C28" w:rsidRPr="00245C28">
        <w:rPr>
          <w:rFonts w:ascii="Times New Roman" w:hAnsi="Times New Roman"/>
        </w:rPr>
        <w:t>Neposrednije stipulirano: cilj ovoga rada nije upirati prstom u pojedinačne malverzacije, već ukazati na manjkavosti stečajnog sustava radi njegov</w:t>
      </w:r>
      <w:r w:rsidR="00245C28">
        <w:rPr>
          <w:rFonts w:ascii="Times New Roman" w:hAnsi="Times New Roman"/>
        </w:rPr>
        <w:t xml:space="preserve">a </w:t>
      </w:r>
      <w:r w:rsidR="00245C28" w:rsidRPr="00245C28">
        <w:rPr>
          <w:rFonts w:ascii="Times New Roman" w:hAnsi="Times New Roman"/>
        </w:rPr>
        <w:t>unaprjeđenja, kako bi građani i tvrtke mogli uživati dobrobiti uređenijeg ekonomsko-pravnog sustava.</w:t>
      </w:r>
    </w:p>
    <w:p w:rsidR="005A7A8E" w:rsidRPr="005A7A8E" w:rsidRDefault="00245C28" w:rsidP="00E377E6">
      <w:pPr>
        <w:spacing w:line="480" w:lineRule="auto"/>
        <w:rPr>
          <w:rFonts w:ascii="Times New Roman" w:hAnsi="Times New Roman"/>
        </w:rPr>
      </w:pPr>
      <w:r w:rsidRPr="00245C28">
        <w:rPr>
          <w:rFonts w:ascii="Times New Roman" w:hAnsi="Times New Roman"/>
        </w:rPr>
        <w:t>Osim institucionaln</w:t>
      </w:r>
      <w:r>
        <w:rPr>
          <w:rFonts w:ascii="Times New Roman" w:hAnsi="Times New Roman"/>
        </w:rPr>
        <w:t>ih zapreka</w:t>
      </w:r>
      <w:r w:rsidRPr="00245C28">
        <w:rPr>
          <w:rFonts w:ascii="Times New Roman" w:hAnsi="Times New Roman"/>
        </w:rPr>
        <w:t xml:space="preserve"> pristupu stečajnoj dokumentaciji, dokumentacija o stečajnim postupcima je u </w:t>
      </w:r>
      <w:r>
        <w:rPr>
          <w:rFonts w:ascii="Times New Roman" w:hAnsi="Times New Roman"/>
        </w:rPr>
        <w:t>principu</w:t>
      </w:r>
      <w:r w:rsidRPr="00245C28">
        <w:rPr>
          <w:rFonts w:ascii="Times New Roman" w:hAnsi="Times New Roman"/>
        </w:rPr>
        <w:t xml:space="preserve"> nedostupna. Kao preduvjet valja razumjeti okolnosti nastanka i prikupljanja </w:t>
      </w:r>
      <w:r w:rsidRPr="00245C28">
        <w:rPr>
          <w:rFonts w:ascii="Times New Roman" w:hAnsi="Times New Roman"/>
        </w:rPr>
        <w:lastRenderedPageBreak/>
        <w:t>dokumenata u stečajnom postupku. Naime, nakon imenovanja stečajnog upravitelja, potonji fizički ulazi u radni prostor dužnika. Nitko osim samog stečajnog upravitelja ne zna sa sigurnošću kakvu je poslovnu dokumentaciju on zatekao. Često se stečajni upravitelji žale da su našli neuredne poslovne knjige ili da poslovne dokumentacije nije bilo. Katkad prethodna uprava namjerno zametne trag sumnjivim aktivnostima</w:t>
      </w:r>
      <w:r w:rsidR="00382146">
        <w:rPr>
          <w:rStyle w:val="FootnoteReference"/>
          <w:rFonts w:ascii="Times New Roman" w:hAnsi="Times New Roman"/>
        </w:rPr>
        <w:footnoteReference w:id="17"/>
      </w:r>
      <w:r w:rsidRPr="00245C28">
        <w:rPr>
          <w:rFonts w:ascii="Times New Roman" w:hAnsi="Times New Roman"/>
        </w:rPr>
        <w:t xml:space="preserve">. </w:t>
      </w:r>
      <w:r>
        <w:rPr>
          <w:rFonts w:ascii="Times New Roman" w:hAnsi="Times New Roman"/>
        </w:rPr>
        <w:t>N</w:t>
      </w:r>
      <w:r w:rsidRPr="00245C28">
        <w:rPr>
          <w:rFonts w:ascii="Times New Roman" w:hAnsi="Times New Roman"/>
        </w:rPr>
        <w:t>e može se utvrditi zatečeno stanje kod dužnika osim da se stečajnom upravitelju vjeruje na riječ, pri čemu ne postoji efikasan način nadzora ili provjere istinitosti upraviteljevih tvrdnji. U ovom istraživanju niti u jednom slučaju nije pronađen bilo kakav zapisnik, evidencija ili inventurna lista zatečene dokumentacije koju bi upravitelj napravio nakon otvaranja stečaja i u</w:t>
      </w:r>
      <w:r w:rsidR="00857693">
        <w:rPr>
          <w:rFonts w:ascii="Times New Roman" w:hAnsi="Times New Roman"/>
        </w:rPr>
        <w:t>laska u prostor dužnika</w:t>
      </w:r>
      <w:r w:rsidR="004C27E0">
        <w:rPr>
          <w:rFonts w:ascii="Times New Roman" w:hAnsi="Times New Roman"/>
        </w:rPr>
        <w:t xml:space="preserve">. </w:t>
      </w:r>
      <w:r w:rsidR="00857693">
        <w:rPr>
          <w:rFonts w:ascii="Times New Roman" w:hAnsi="Times New Roman"/>
        </w:rPr>
        <w:t xml:space="preserve">SZ </w:t>
      </w:r>
      <w:r w:rsidR="004C27E0">
        <w:rPr>
          <w:rFonts w:ascii="Times New Roman" w:hAnsi="Times New Roman"/>
        </w:rPr>
        <w:t xml:space="preserve">tek općenito </w:t>
      </w:r>
      <w:r w:rsidR="00857693">
        <w:rPr>
          <w:rFonts w:ascii="Times New Roman" w:hAnsi="Times New Roman"/>
        </w:rPr>
        <w:t xml:space="preserve">propisuje kako je stečajni upravitelj </w:t>
      </w:r>
      <w:r w:rsidR="00857693" w:rsidRPr="00857693">
        <w:rPr>
          <w:rFonts w:ascii="Times New Roman" w:hAnsi="Times New Roman"/>
        </w:rPr>
        <w:t>duža</w:t>
      </w:r>
      <w:r w:rsidR="00857693">
        <w:rPr>
          <w:rFonts w:ascii="Times New Roman" w:hAnsi="Times New Roman"/>
        </w:rPr>
        <w:t xml:space="preserve">n postupati savjesno i uredno te </w:t>
      </w:r>
      <w:r w:rsidR="00857693" w:rsidRPr="00857693">
        <w:rPr>
          <w:rFonts w:ascii="Times New Roman" w:hAnsi="Times New Roman"/>
        </w:rPr>
        <w:t>dovesti u red očevidnik knjigovodstvenih podataka do dan</w:t>
      </w:r>
      <w:r w:rsidR="00857693">
        <w:rPr>
          <w:rFonts w:ascii="Times New Roman" w:hAnsi="Times New Roman"/>
        </w:rPr>
        <w:t xml:space="preserve">a otvaranja stečajnoga postupka (čl. 25. st. 1 </w:t>
      </w:r>
      <w:proofErr w:type="spellStart"/>
      <w:r w:rsidR="00857693">
        <w:rPr>
          <w:rFonts w:ascii="Times New Roman" w:hAnsi="Times New Roman"/>
        </w:rPr>
        <w:t>toč</w:t>
      </w:r>
      <w:proofErr w:type="spellEnd"/>
      <w:r w:rsidR="00857693">
        <w:rPr>
          <w:rFonts w:ascii="Times New Roman" w:hAnsi="Times New Roman"/>
        </w:rPr>
        <w:t>. 1. SZ).</w:t>
      </w:r>
    </w:p>
    <w:p w:rsidR="00382146" w:rsidRDefault="00382146" w:rsidP="00E377E6">
      <w:pPr>
        <w:spacing w:line="480" w:lineRule="auto"/>
        <w:rPr>
          <w:rFonts w:ascii="Times New Roman" w:hAnsi="Times New Roman"/>
        </w:rPr>
      </w:pPr>
      <w:r w:rsidRPr="00382146">
        <w:rPr>
          <w:rFonts w:ascii="Times New Roman" w:hAnsi="Times New Roman"/>
        </w:rPr>
        <w:t xml:space="preserve">Nakon otvaranja stečajnog postupka stečajni upravitelj preuzima vođenje poslovanja dužnika, odnosno nadzire vođenje njegovih poslovnih knjiga. Često za računovodstvene poslove upravitelj angažira eksterni knjigovodstveni servis. Podrazumijeva se da angažira onog pružatelja usluga u kojega ima povjerenje, jer ga smije uposliti direktnom pogodbom. Stečajni sudac najčešće uopće ne dolazi u radni prostor dužnika, u koji ne smiju ući ni vjerovnici. Dakle, provedba cijelog stečajnog postupka praktično </w:t>
      </w:r>
      <w:r w:rsidR="0021594C" w:rsidRPr="00382146">
        <w:rPr>
          <w:rFonts w:ascii="Times New Roman" w:hAnsi="Times New Roman"/>
        </w:rPr>
        <w:t xml:space="preserve">je </w:t>
      </w:r>
      <w:r w:rsidRPr="00382146">
        <w:rPr>
          <w:rFonts w:ascii="Times New Roman" w:hAnsi="Times New Roman"/>
        </w:rPr>
        <w:t>u rukama stečajnog upravitelja.</w:t>
      </w:r>
    </w:p>
    <w:p w:rsidR="005A7A8E" w:rsidRPr="005A7A8E" w:rsidRDefault="00382146" w:rsidP="00E377E6">
      <w:pPr>
        <w:spacing w:line="480" w:lineRule="auto"/>
        <w:rPr>
          <w:rFonts w:ascii="Times New Roman" w:hAnsi="Times New Roman"/>
        </w:rPr>
      </w:pPr>
      <w:r>
        <w:rPr>
          <w:rFonts w:ascii="Times New Roman" w:hAnsi="Times New Roman"/>
        </w:rPr>
        <w:t>Kad se nad dužnikom zaključi stečaj, pitanje arhiviranja dokumentacije dužnika – kako dokumentacije koju je upravitelj preuzeo pri dolasku, tako i dokumentacije nastale tijekom trajanja stečajnog postupka – nije učinkovito riješeno. Ključni dokumenti koji su pravno-procesno bitni nalaze se u spisu koji se pohranjuje u arhiv</w:t>
      </w:r>
      <w:r w:rsidR="004C27E0">
        <w:rPr>
          <w:rFonts w:ascii="Times New Roman" w:hAnsi="Times New Roman"/>
        </w:rPr>
        <w:t>ama</w:t>
      </w:r>
      <w:r>
        <w:rPr>
          <w:rFonts w:ascii="Times New Roman" w:hAnsi="Times New Roman"/>
        </w:rPr>
        <w:t xml:space="preserve"> </w:t>
      </w:r>
      <w:r w:rsidR="004C27E0">
        <w:rPr>
          <w:rFonts w:ascii="Times New Roman" w:hAnsi="Times New Roman"/>
        </w:rPr>
        <w:t>trgovačkih sudova</w:t>
      </w:r>
      <w:r>
        <w:rPr>
          <w:rFonts w:ascii="Times New Roman" w:hAnsi="Times New Roman"/>
        </w:rPr>
        <w:t>. To su npr. odluke, upute i zaključci suda i dokumenti vezani uz sudske sporove. No, sva redovna poslovna dokumentacija ne nalazi se u spisima pohranjenima u arhivi nadležnog trgovačkog suda, već ostaje kod stečajnoga upravitelja. Kako ne postoji adekvatno pravno rješenje o pitanju pohrane redovne poslovne dokumentacije dužnika kojom raspolaže stečajni upravitelj, postoji ad-</w:t>
      </w:r>
      <w:proofErr w:type="spellStart"/>
      <w:r>
        <w:rPr>
          <w:rFonts w:ascii="Times New Roman" w:hAnsi="Times New Roman"/>
        </w:rPr>
        <w:t>hoc</w:t>
      </w:r>
      <w:proofErr w:type="spellEnd"/>
      <w:r>
        <w:rPr>
          <w:rFonts w:ascii="Times New Roman" w:hAnsi="Times New Roman"/>
        </w:rPr>
        <w:t xml:space="preserve"> dogovor između Trgovačkog suda u Osijeku i Državnog </w:t>
      </w:r>
      <w:r>
        <w:rPr>
          <w:rFonts w:ascii="Times New Roman" w:hAnsi="Times New Roman"/>
        </w:rPr>
        <w:lastRenderedPageBreak/>
        <w:t>arhiva u Osijeku (nadalje: Arhiv) da se ova dokumentacija pohranjuje u Arhivu. Arhiv za usluge preuzimanja i čuvanja dokumentacije naplaćuje određen iznos koji se isplaćuje iz imovine dužnika (dakle, na teret vjerovnika), prema autonomnom obračunu troškova</w:t>
      </w:r>
      <w:r>
        <w:rPr>
          <w:rStyle w:val="Sidrofusnote"/>
          <w:rFonts w:ascii="Times New Roman" w:hAnsi="Times New Roman"/>
        </w:rPr>
        <w:footnoteReference w:id="18"/>
      </w:r>
      <w:r>
        <w:rPr>
          <w:rFonts w:ascii="Times New Roman" w:hAnsi="Times New Roman"/>
        </w:rPr>
        <w:t>. No, valja uvidjeti da Arhiv preuzima onu dokumentaciju koju mu dostavi stečajni upravitelj i da Arhiv nema apsolutno nikakve ovlasti nad stečajnim upraviteljem. Drugim riječima, ako stečajni upravitelj eventualno ne želi arhivirati određenu dokumentaciju, neće je ni predati na čuvanje. Nadalje, postoje i privatni arhivi, odnosno postoje trgovačka društva koja uz naknadu preuzimaju i čuvaju dokumentaciju dužnika</w:t>
      </w:r>
      <w:r>
        <w:rPr>
          <w:rStyle w:val="Sidrofusnote"/>
          <w:rFonts w:ascii="Times New Roman" w:hAnsi="Times New Roman"/>
        </w:rPr>
        <w:footnoteReference w:id="19"/>
      </w:r>
      <w:r>
        <w:rPr>
          <w:rFonts w:ascii="Times New Roman" w:hAnsi="Times New Roman"/>
        </w:rPr>
        <w:t>. Dakle, stečajni upravitelj nije obvezan po zaključenju stečaja ostaviti poslovnu dokumentaciju Arhivu, već ima diskrecijsko pravo odlučiti hoće li je predati u cijelosti ili djelomično Arhivu</w:t>
      </w:r>
      <w:r w:rsidR="00236225">
        <w:rPr>
          <w:rFonts w:ascii="Times New Roman" w:hAnsi="Times New Roman"/>
        </w:rPr>
        <w:t>,</w:t>
      </w:r>
      <w:r>
        <w:rPr>
          <w:rFonts w:ascii="Times New Roman" w:hAnsi="Times New Roman"/>
        </w:rPr>
        <w:t xml:space="preserve"> ili u privatnu pohranu.</w:t>
      </w:r>
      <w:r w:rsidR="005A7A8E" w:rsidRPr="005A7A8E">
        <w:rPr>
          <w:rFonts w:ascii="Times New Roman" w:hAnsi="Times New Roman"/>
        </w:rPr>
        <w:t xml:space="preserve"> </w:t>
      </w:r>
    </w:p>
    <w:p w:rsidR="005A7A8E" w:rsidRPr="005A7A8E" w:rsidRDefault="00382146" w:rsidP="00E377E6">
      <w:pPr>
        <w:spacing w:line="480" w:lineRule="auto"/>
        <w:rPr>
          <w:rFonts w:ascii="Times New Roman" w:hAnsi="Times New Roman"/>
        </w:rPr>
      </w:pPr>
      <w:r>
        <w:rPr>
          <w:rFonts w:ascii="Times New Roman" w:hAnsi="Times New Roman"/>
        </w:rPr>
        <w:t xml:space="preserve">Dokumenti koji su od osobitog interesa za vjerovnike primarno </w:t>
      </w:r>
      <w:r w:rsidR="0021594C">
        <w:rPr>
          <w:rFonts w:ascii="Times New Roman" w:hAnsi="Times New Roman"/>
        </w:rPr>
        <w:t xml:space="preserve">su </w:t>
      </w:r>
      <w:r>
        <w:rPr>
          <w:rFonts w:ascii="Times New Roman" w:hAnsi="Times New Roman"/>
        </w:rPr>
        <w:t xml:space="preserve">izvodi s tekućeg i žiro računa dužnika, odnosno dokumentacija pomoću koje se može pratiti </w:t>
      </w:r>
      <w:r w:rsidR="00CE0676">
        <w:rPr>
          <w:rFonts w:ascii="Times New Roman" w:hAnsi="Times New Roman"/>
        </w:rPr>
        <w:t>tijek</w:t>
      </w:r>
      <w:r>
        <w:rPr>
          <w:rFonts w:ascii="Times New Roman" w:hAnsi="Times New Roman"/>
        </w:rPr>
        <w:t xml:space="preserve"> novca – uplate i isplate s računa, odnosno dolazne i odlazne lokacije s kojih i na koje se uplaćuje i isplaćuje novac. </w:t>
      </w:r>
      <w:r w:rsidR="005A7A8E" w:rsidRPr="005A7A8E">
        <w:rPr>
          <w:rFonts w:ascii="Times New Roman" w:hAnsi="Times New Roman"/>
        </w:rPr>
        <w:t>Realne uplate i isplate najbolje pokazuju konkretan rad stečajnog upravitelja, odnosno ispunjenje ciljeva stečaja. U ovom istraživanju samo u jednom slučaju, i to za ograničeno vremensko razdoblje (dakle, ne tijekom cijelog stečajnog postupka), bilo je moguće pronaći takvu dokumentaciju.</w:t>
      </w:r>
    </w:p>
    <w:p w:rsidR="00B96481" w:rsidRDefault="005A7A8E">
      <w:pPr>
        <w:spacing w:line="480" w:lineRule="auto"/>
        <w:rPr>
          <w:rFonts w:ascii="Times New Roman" w:hAnsi="Times New Roman"/>
        </w:rPr>
      </w:pPr>
      <w:r w:rsidRPr="005A7A8E">
        <w:rPr>
          <w:rFonts w:ascii="Times New Roman" w:hAnsi="Times New Roman"/>
        </w:rPr>
        <w:t xml:space="preserve">Sve u svemu, ono što od dokumenata postoji i čemu se može prići, nalazi se ili u </w:t>
      </w:r>
      <w:r w:rsidR="004C27E0">
        <w:rPr>
          <w:rFonts w:ascii="Times New Roman" w:hAnsi="Times New Roman"/>
        </w:rPr>
        <w:t>t</w:t>
      </w:r>
      <w:r w:rsidRPr="005A7A8E">
        <w:rPr>
          <w:rFonts w:ascii="Times New Roman" w:hAnsi="Times New Roman"/>
        </w:rPr>
        <w:t xml:space="preserve">rgovačkim sudovima ili u </w:t>
      </w:r>
      <w:r w:rsidR="004C27E0">
        <w:rPr>
          <w:rFonts w:ascii="Times New Roman" w:hAnsi="Times New Roman"/>
        </w:rPr>
        <w:t>d</w:t>
      </w:r>
      <w:r w:rsidRPr="005A7A8E">
        <w:rPr>
          <w:rFonts w:ascii="Times New Roman" w:hAnsi="Times New Roman"/>
        </w:rPr>
        <w:t xml:space="preserve">ržavnim arhivima. No, dokumenti u </w:t>
      </w:r>
      <w:r w:rsidR="004C27E0">
        <w:rPr>
          <w:rFonts w:ascii="Times New Roman" w:hAnsi="Times New Roman"/>
        </w:rPr>
        <w:t>t</w:t>
      </w:r>
      <w:r w:rsidRPr="005A7A8E">
        <w:rPr>
          <w:rFonts w:ascii="Times New Roman" w:hAnsi="Times New Roman"/>
        </w:rPr>
        <w:t>rgovačkim sudovima, premda se čuvaju trajno, većinom su procesnog sadržaja i ondje se rijetko može dobiti uvid u konkretn</w:t>
      </w:r>
      <w:r w:rsidR="00695569">
        <w:rPr>
          <w:rFonts w:ascii="Times New Roman" w:hAnsi="Times New Roman"/>
        </w:rPr>
        <w:t>e</w:t>
      </w:r>
      <w:r w:rsidRPr="005A7A8E">
        <w:rPr>
          <w:rFonts w:ascii="Times New Roman" w:hAnsi="Times New Roman"/>
        </w:rPr>
        <w:t xml:space="preserve"> postup</w:t>
      </w:r>
      <w:r w:rsidR="00695569">
        <w:rPr>
          <w:rFonts w:ascii="Times New Roman" w:hAnsi="Times New Roman"/>
        </w:rPr>
        <w:t>ke</w:t>
      </w:r>
      <w:r w:rsidRPr="005A7A8E">
        <w:rPr>
          <w:rFonts w:ascii="Times New Roman" w:hAnsi="Times New Roman"/>
        </w:rPr>
        <w:t xml:space="preserve"> stečajnih upravitelja, već najčešće samo u njihova sumarna izvješća. S druge strane, dokumenti u </w:t>
      </w:r>
      <w:r w:rsidR="004C27E0">
        <w:rPr>
          <w:rFonts w:ascii="Times New Roman" w:hAnsi="Times New Roman"/>
        </w:rPr>
        <w:t>a</w:t>
      </w:r>
      <w:r w:rsidRPr="005A7A8E">
        <w:rPr>
          <w:rFonts w:ascii="Times New Roman" w:hAnsi="Times New Roman"/>
        </w:rPr>
        <w:t>rhiv</w:t>
      </w:r>
      <w:r w:rsidR="004C27E0">
        <w:rPr>
          <w:rFonts w:ascii="Times New Roman" w:hAnsi="Times New Roman"/>
        </w:rPr>
        <w:t>ima</w:t>
      </w:r>
      <w:r w:rsidRPr="005A7A8E">
        <w:rPr>
          <w:rFonts w:ascii="Times New Roman" w:hAnsi="Times New Roman"/>
        </w:rPr>
        <w:t xml:space="preserve"> izlučuju se (škartiraju) nakon određenog razdoblja, prema arhivističkim propisima</w:t>
      </w:r>
      <w:r w:rsidR="004C27E0">
        <w:rPr>
          <w:rStyle w:val="FootnoteReference"/>
          <w:rFonts w:ascii="Times New Roman" w:hAnsi="Times New Roman"/>
        </w:rPr>
        <w:footnoteReference w:id="20"/>
      </w:r>
      <w:r w:rsidRPr="005A7A8E">
        <w:rPr>
          <w:rFonts w:ascii="Times New Roman" w:hAnsi="Times New Roman"/>
        </w:rPr>
        <w:t xml:space="preserve">. Tako se dolazi do </w:t>
      </w:r>
      <w:r w:rsidRPr="005A7A8E">
        <w:rPr>
          <w:rFonts w:ascii="Times New Roman" w:hAnsi="Times New Roman"/>
        </w:rPr>
        <w:lastRenderedPageBreak/>
        <w:t>paradoksalne situacije: stečajeve koji su nedavno zaključeni i koji su još „vrući“ (rokovi zastare još nisu nastupili i još se vode sporovi) eksterni interesenti ne smiju obrađivati, a u starijim stečajevima dobar dio dokumentacije već je škartiran.</w:t>
      </w:r>
    </w:p>
    <w:p w:rsidR="00405C03" w:rsidRDefault="00405C03">
      <w:pPr>
        <w:spacing w:line="480" w:lineRule="auto"/>
        <w:rPr>
          <w:rFonts w:ascii="Times New Roman" w:hAnsi="Times New Roman"/>
        </w:rPr>
      </w:pPr>
    </w:p>
    <w:p w:rsidR="005A7A8E" w:rsidRPr="005A7A8E" w:rsidRDefault="005A7A8E" w:rsidP="00E377E6">
      <w:pPr>
        <w:pStyle w:val="Heading1"/>
        <w:spacing w:line="480" w:lineRule="auto"/>
        <w:jc w:val="left"/>
      </w:pPr>
      <w:r w:rsidRPr="005A7A8E">
        <w:t>Metodologija</w:t>
      </w:r>
    </w:p>
    <w:p w:rsidR="00A35454" w:rsidRDefault="00A35454" w:rsidP="00A35454">
      <w:pPr>
        <w:spacing w:line="480" w:lineRule="auto"/>
        <w:rPr>
          <w:rFonts w:ascii="Times New Roman" w:hAnsi="Times New Roman"/>
        </w:rPr>
      </w:pPr>
      <w:r>
        <w:rPr>
          <w:rFonts w:ascii="Times New Roman" w:hAnsi="Times New Roman"/>
        </w:rPr>
        <w:t xml:space="preserve">Kao metoda, studija slučaja formirana na temelju praktičnih znanja i vještina iskusnijih poduzetnika može biti „(…) </w:t>
      </w:r>
      <w:r>
        <w:rPr>
          <w:rFonts w:ascii="Times New Roman" w:hAnsi="Times New Roman"/>
          <w:i/>
        </w:rPr>
        <w:t>izvor dragocjenih spoznaja na početku razvoja znanstvenih disciplina, ali i kod znanosti u kojima je eksperimentalno izučavanje njihova predmeta preskupo, opasno ili zbog drugih razloga neizvedivo</w:t>
      </w:r>
      <w:r>
        <w:rPr>
          <w:rFonts w:ascii="Times New Roman" w:hAnsi="Times New Roman"/>
        </w:rPr>
        <w:t>“ (</w:t>
      </w:r>
      <w:proofErr w:type="spellStart"/>
      <w:r>
        <w:rPr>
          <w:rFonts w:ascii="Times New Roman" w:hAnsi="Times New Roman"/>
        </w:rPr>
        <w:t>Biličić</w:t>
      </w:r>
      <w:proofErr w:type="spellEnd"/>
      <w:r>
        <w:rPr>
          <w:rFonts w:ascii="Times New Roman" w:hAnsi="Times New Roman"/>
        </w:rPr>
        <w:t>, 2009: 217).</w:t>
      </w:r>
      <w:r w:rsidRPr="00F369D4">
        <w:rPr>
          <w:rFonts w:ascii="Times New Roman" w:hAnsi="Times New Roman"/>
        </w:rPr>
        <w:t xml:space="preserve"> </w:t>
      </w:r>
      <w:r>
        <w:rPr>
          <w:rFonts w:ascii="Times New Roman" w:hAnsi="Times New Roman"/>
        </w:rPr>
        <w:t>Učenje iz tuđih neuspjeha potencijalna je osnova uspjeha budućih poduzetnika.</w:t>
      </w:r>
      <w:r w:rsidRPr="00F369D4">
        <w:rPr>
          <w:rFonts w:ascii="Times New Roman" w:hAnsi="Times New Roman"/>
        </w:rPr>
        <w:t xml:space="preserve"> </w:t>
      </w:r>
      <w:r>
        <w:rPr>
          <w:rFonts w:ascii="Times New Roman" w:hAnsi="Times New Roman"/>
        </w:rPr>
        <w:t>Zaključeni stečajevi trebali bi biti riznice visoko kvalitetnih informacija.</w:t>
      </w:r>
    </w:p>
    <w:p w:rsidR="00236225" w:rsidRDefault="00236225" w:rsidP="00E377E6">
      <w:pPr>
        <w:spacing w:line="480" w:lineRule="auto"/>
        <w:rPr>
          <w:rFonts w:ascii="Times New Roman" w:hAnsi="Times New Roman"/>
        </w:rPr>
      </w:pPr>
      <w:r>
        <w:rPr>
          <w:rFonts w:ascii="Times New Roman" w:hAnsi="Times New Roman"/>
        </w:rPr>
        <w:t>Odabran je uzorak trgovačkih društava u stečaju s područja nadležnosti Trgovačkog suda u Osijeku (područje Osječko-baranjske, Vukovarsko-srijemske, Brodsko-posavske i Požeško-slavonske županije, odnosno veći dio istočne Hrvatske) i to na sljedeći način. Odabrani su samo predmeti u kojima je stečajni postupak zaključen, odnosno kod kojih je dužnik izbrisan iz registra Trgovačkog suda</w:t>
      </w:r>
      <w:r>
        <w:rPr>
          <w:rStyle w:val="Sidrofusnote"/>
          <w:rFonts w:ascii="Times New Roman" w:hAnsi="Times New Roman"/>
        </w:rPr>
        <w:footnoteReference w:id="21"/>
      </w:r>
      <w:r>
        <w:rPr>
          <w:rFonts w:ascii="Times New Roman" w:hAnsi="Times New Roman"/>
        </w:rPr>
        <w:t>. Odabrana su samo dionička društva jer se time nastojalo izbjeći iscrpljivanje resursa istraživanja na obradu manjih društava ograničene odgovornosti, koja imaju manji broj zaposlenih i manju vrijednost imovine, i samim time su od manjeg značaja za gospodarstvo u cjelini.</w:t>
      </w:r>
      <w:r w:rsidR="005A7A8E" w:rsidRPr="005A7A8E">
        <w:rPr>
          <w:rFonts w:ascii="Times New Roman" w:hAnsi="Times New Roman"/>
        </w:rPr>
        <w:t xml:space="preserve"> Također, kod manjih (pa i srednje velikih) trgovačkih društava nad kojima se otvara stečaj najčešće se ni ne provodi uobičajeni stečajni postupak jer je imovina dužnika potpuno iscrpljena</w:t>
      </w:r>
      <w:r w:rsidR="00AD1939">
        <w:rPr>
          <w:rFonts w:ascii="Times New Roman" w:hAnsi="Times New Roman"/>
        </w:rPr>
        <w:t>,</w:t>
      </w:r>
      <w:r w:rsidR="005A7A8E" w:rsidRPr="005A7A8E">
        <w:rPr>
          <w:rFonts w:ascii="Times New Roman" w:hAnsi="Times New Roman"/>
        </w:rPr>
        <w:t xml:space="preserve"> pa se zbog nedostatnosti imovine skraćenim postupkom stečaj istodobno otvara i zaključuje. </w:t>
      </w:r>
      <w:r>
        <w:rPr>
          <w:rFonts w:ascii="Times New Roman" w:hAnsi="Times New Roman"/>
        </w:rPr>
        <w:t>U uzorak su odabrani samo stečajevi zaključeni nakon 2000. godine, s ciljem isključenja starijih predmeta.</w:t>
      </w:r>
      <w:r w:rsidR="005A7A8E" w:rsidRPr="005A7A8E">
        <w:rPr>
          <w:rFonts w:ascii="Times New Roman" w:hAnsi="Times New Roman"/>
        </w:rPr>
        <w:t xml:space="preserve"> Na ovaj način kreiran </w:t>
      </w:r>
      <w:r w:rsidR="005A7A8E" w:rsidRPr="005A7A8E">
        <w:rPr>
          <w:rFonts w:ascii="Times New Roman" w:hAnsi="Times New Roman"/>
        </w:rPr>
        <w:lastRenderedPageBreak/>
        <w:t xml:space="preserve">je </w:t>
      </w:r>
      <w:r w:rsidRPr="00236225">
        <w:rPr>
          <w:rFonts w:ascii="Times New Roman" w:hAnsi="Times New Roman"/>
        </w:rPr>
        <w:t>ukupan broj dostupnih zaključenih stečajeva</w:t>
      </w:r>
      <w:r w:rsidR="005A7A8E" w:rsidRPr="005A7A8E">
        <w:rPr>
          <w:rFonts w:ascii="Times New Roman" w:hAnsi="Times New Roman"/>
        </w:rPr>
        <w:t xml:space="preserve"> </w:t>
      </w:r>
      <w:r>
        <w:rPr>
          <w:rFonts w:ascii="Times New Roman" w:hAnsi="Times New Roman"/>
        </w:rPr>
        <w:t xml:space="preserve">koji se sastoji </w:t>
      </w:r>
      <w:r w:rsidR="005A7A8E" w:rsidRPr="005A7A8E">
        <w:rPr>
          <w:rFonts w:ascii="Times New Roman" w:hAnsi="Times New Roman"/>
        </w:rPr>
        <w:t xml:space="preserve">od 88 stečajnih predmeta, </w:t>
      </w:r>
      <w:r>
        <w:rPr>
          <w:rFonts w:ascii="Times New Roman" w:hAnsi="Times New Roman"/>
        </w:rPr>
        <w:t xml:space="preserve">odakle </w:t>
      </w:r>
      <w:r w:rsidR="005A7A8E" w:rsidRPr="005A7A8E">
        <w:rPr>
          <w:rFonts w:ascii="Times New Roman" w:hAnsi="Times New Roman"/>
        </w:rPr>
        <w:t xml:space="preserve">je </w:t>
      </w:r>
      <w:r w:rsidRPr="00236225">
        <w:rPr>
          <w:rFonts w:ascii="Times New Roman" w:hAnsi="Times New Roman"/>
        </w:rPr>
        <w:t>zbog ograničeni</w:t>
      </w:r>
      <w:r>
        <w:rPr>
          <w:rFonts w:ascii="Times New Roman" w:hAnsi="Times New Roman"/>
        </w:rPr>
        <w:t>h vremenskih i ljudskih resursa</w:t>
      </w:r>
      <w:r>
        <w:rPr>
          <w:rStyle w:val="FootnoteReference"/>
          <w:rFonts w:ascii="Times New Roman" w:hAnsi="Times New Roman"/>
        </w:rPr>
        <w:footnoteReference w:id="22"/>
      </w:r>
      <w:r>
        <w:rPr>
          <w:rFonts w:ascii="Times New Roman" w:hAnsi="Times New Roman"/>
        </w:rPr>
        <w:t xml:space="preserve"> </w:t>
      </w:r>
      <w:r w:rsidR="005A7A8E" w:rsidRPr="005A7A8E">
        <w:rPr>
          <w:rFonts w:ascii="Times New Roman" w:hAnsi="Times New Roman"/>
        </w:rPr>
        <w:t>nasumično odabran uzorak od 30 stečajnih predmeta.</w:t>
      </w:r>
      <w:r>
        <w:rPr>
          <w:rFonts w:ascii="Times New Roman" w:hAnsi="Times New Roman"/>
        </w:rPr>
        <w:t xml:space="preserve"> </w:t>
      </w:r>
      <w:r w:rsidRPr="00236225">
        <w:rPr>
          <w:rFonts w:ascii="Times New Roman" w:hAnsi="Times New Roman"/>
        </w:rPr>
        <w:t>Prvi zaključen stečaj u uzorku datira iz listopada 2000. godine, a posljednji je zaključen u lipnju 2009. godine.</w:t>
      </w:r>
    </w:p>
    <w:p w:rsidR="005A7A8E" w:rsidRPr="005A7A8E" w:rsidRDefault="005A7A8E" w:rsidP="00E377E6">
      <w:pPr>
        <w:spacing w:line="480" w:lineRule="auto"/>
        <w:rPr>
          <w:rFonts w:ascii="Times New Roman" w:hAnsi="Times New Roman"/>
        </w:rPr>
      </w:pPr>
      <w:r w:rsidRPr="005A7A8E">
        <w:rPr>
          <w:rFonts w:ascii="Times New Roman" w:hAnsi="Times New Roman"/>
        </w:rPr>
        <w:t xml:space="preserve">Metodom terenskog istraživanja u razdoblju od listopada 2013. do prosinca 2014. u prostorima pisarnice Trgovačkog suda u Osijeku pregledavana je i obrađivana dokumentacija navedenog uzorka. Nakon toga, od prosinca 2013. do ožujka 2014. za navedeni uzorak dioničkih društava pretraživala se i obrađivala dostupna poslovna dokumentacija u čitaonicama Državnog arhiva u Osijeku i Arhivskog sabirnog centra u Vinkovcima </w:t>
      </w:r>
      <w:r w:rsidR="005B0388">
        <w:rPr>
          <w:rFonts w:ascii="Times New Roman" w:hAnsi="Times New Roman"/>
        </w:rPr>
        <w:t xml:space="preserve">koji je dio </w:t>
      </w:r>
      <w:r w:rsidRPr="005A7A8E">
        <w:rPr>
          <w:rFonts w:ascii="Times New Roman" w:hAnsi="Times New Roman"/>
        </w:rPr>
        <w:t>Državnog arhiva u Vukovaru.</w:t>
      </w:r>
    </w:p>
    <w:p w:rsidR="005A7A8E" w:rsidRPr="005A7A8E" w:rsidRDefault="005A7A8E" w:rsidP="00E377E6">
      <w:pPr>
        <w:spacing w:line="480" w:lineRule="auto"/>
        <w:rPr>
          <w:rFonts w:ascii="Times New Roman" w:hAnsi="Times New Roman"/>
        </w:rPr>
      </w:pPr>
      <w:r w:rsidRPr="005A7A8E">
        <w:rPr>
          <w:rFonts w:ascii="Times New Roman" w:hAnsi="Times New Roman"/>
        </w:rPr>
        <w:t xml:space="preserve">Za </w:t>
      </w:r>
      <w:r w:rsidR="005B0388">
        <w:rPr>
          <w:rFonts w:ascii="Times New Roman" w:hAnsi="Times New Roman"/>
        </w:rPr>
        <w:t>jedanaest</w:t>
      </w:r>
      <w:r w:rsidRPr="005A7A8E">
        <w:rPr>
          <w:rFonts w:ascii="Times New Roman" w:hAnsi="Times New Roman"/>
        </w:rPr>
        <w:t xml:space="preserve"> od </w:t>
      </w:r>
      <w:r w:rsidR="005B0388">
        <w:rPr>
          <w:rFonts w:ascii="Times New Roman" w:hAnsi="Times New Roman"/>
        </w:rPr>
        <w:t>trideset</w:t>
      </w:r>
      <w:r w:rsidRPr="005A7A8E">
        <w:rPr>
          <w:rFonts w:ascii="Times New Roman" w:hAnsi="Times New Roman"/>
        </w:rPr>
        <w:t xml:space="preserve"> dioničkih društava u uzorku nije bilo moguće utvrditi knjigovodstvenu vrijednost imovine, odnosno gubitak ili dobit dužnika u vrijeme otvaranja stečaja (ili u razdoblju prije otvaranja stečaja). Stoga su ovi podaci zatraženi iz Registra godišnjih financijskih izvješća koji se vodi pri Financijskoj agenciji</w:t>
      </w:r>
      <w:r w:rsidRPr="005A7A8E">
        <w:rPr>
          <w:rStyle w:val="FootnoteReference"/>
          <w:rFonts w:ascii="Times New Roman" w:hAnsi="Times New Roman"/>
        </w:rPr>
        <w:footnoteReference w:id="23"/>
      </w:r>
      <w:r w:rsidRPr="005A7A8E">
        <w:rPr>
          <w:rFonts w:ascii="Times New Roman" w:hAnsi="Times New Roman"/>
        </w:rPr>
        <w:t xml:space="preserve">. Za </w:t>
      </w:r>
      <w:r w:rsidR="00596984" w:rsidRPr="00596984">
        <w:rPr>
          <w:rFonts w:ascii="Times New Roman" w:hAnsi="Times New Roman"/>
        </w:rPr>
        <w:t xml:space="preserve">sedam od </w:t>
      </w:r>
      <w:r w:rsidR="00596984">
        <w:rPr>
          <w:rFonts w:ascii="Times New Roman" w:hAnsi="Times New Roman"/>
        </w:rPr>
        <w:t xml:space="preserve">navedenih </w:t>
      </w:r>
      <w:r w:rsidR="00596984" w:rsidRPr="00596984">
        <w:rPr>
          <w:rFonts w:ascii="Times New Roman" w:hAnsi="Times New Roman"/>
        </w:rPr>
        <w:t>jedanaest stečajnih postupaka</w:t>
      </w:r>
      <w:r w:rsidRPr="005A7A8E">
        <w:rPr>
          <w:rFonts w:ascii="Times New Roman" w:hAnsi="Times New Roman"/>
        </w:rPr>
        <w:t xml:space="preserve"> pribavljena su temeljna financijska izvješća u godini otvaranja stečaja. </w:t>
      </w:r>
      <w:r w:rsidR="00596984">
        <w:rPr>
          <w:rFonts w:ascii="Times New Roman" w:hAnsi="Times New Roman"/>
        </w:rPr>
        <w:t>No, z</w:t>
      </w:r>
      <w:r w:rsidRPr="005A7A8E">
        <w:rPr>
          <w:rFonts w:ascii="Times New Roman" w:hAnsi="Times New Roman"/>
        </w:rPr>
        <w:t xml:space="preserve">a preostala </w:t>
      </w:r>
      <w:r w:rsidR="00596984">
        <w:rPr>
          <w:rFonts w:ascii="Times New Roman" w:hAnsi="Times New Roman"/>
        </w:rPr>
        <w:t>četiri</w:t>
      </w:r>
      <w:r w:rsidRPr="005A7A8E">
        <w:rPr>
          <w:rFonts w:ascii="Times New Roman" w:hAnsi="Times New Roman"/>
        </w:rPr>
        <w:t xml:space="preserve"> dionička društva ni u Financijskoj agenciji nisu postojali nikakvi podaci, premda su tri od navedena četiri dionička društva bila iznimno velika i </w:t>
      </w:r>
      <w:r w:rsidR="00596984">
        <w:rPr>
          <w:rFonts w:ascii="Times New Roman" w:hAnsi="Times New Roman"/>
        </w:rPr>
        <w:t xml:space="preserve">gospodarski </w:t>
      </w:r>
      <w:r w:rsidRPr="005A7A8E">
        <w:rPr>
          <w:rFonts w:ascii="Times New Roman" w:hAnsi="Times New Roman"/>
        </w:rPr>
        <w:t>značajna trgovačka društva (</w:t>
      </w:r>
      <w:r w:rsidR="00596984">
        <w:rPr>
          <w:rFonts w:ascii="Times New Roman" w:hAnsi="Times New Roman"/>
        </w:rPr>
        <w:t xml:space="preserve">čak </w:t>
      </w:r>
      <w:r w:rsidRPr="005A7A8E">
        <w:rPr>
          <w:rFonts w:ascii="Times New Roman" w:hAnsi="Times New Roman"/>
        </w:rPr>
        <w:t xml:space="preserve">i na području bivše Jugoslavije), nastala prije više desetljeća, zapošljavala velik postotak lokalnog stanovništva i bila među ključnim ekonomskim subjektima u </w:t>
      </w:r>
      <w:r w:rsidR="00596984">
        <w:rPr>
          <w:rFonts w:ascii="Times New Roman" w:hAnsi="Times New Roman"/>
        </w:rPr>
        <w:t>svojoj djel</w:t>
      </w:r>
      <w:r w:rsidR="00314456">
        <w:rPr>
          <w:rFonts w:ascii="Times New Roman" w:hAnsi="Times New Roman"/>
        </w:rPr>
        <w:t>a</w:t>
      </w:r>
      <w:r w:rsidR="00596984">
        <w:rPr>
          <w:rFonts w:ascii="Times New Roman" w:hAnsi="Times New Roman"/>
        </w:rPr>
        <w:t>tnosti</w:t>
      </w:r>
      <w:r w:rsidRPr="005A7A8E">
        <w:rPr>
          <w:rFonts w:ascii="Times New Roman" w:hAnsi="Times New Roman"/>
        </w:rPr>
        <w:t>.</w:t>
      </w:r>
    </w:p>
    <w:p w:rsidR="005A7A8E" w:rsidRDefault="005A7A8E" w:rsidP="00E377E6">
      <w:pPr>
        <w:spacing w:line="480" w:lineRule="auto"/>
        <w:rPr>
          <w:rFonts w:ascii="Times New Roman" w:hAnsi="Times New Roman"/>
        </w:rPr>
      </w:pPr>
      <w:r w:rsidRPr="005A7A8E">
        <w:rPr>
          <w:rFonts w:ascii="Times New Roman" w:hAnsi="Times New Roman"/>
        </w:rPr>
        <w:t xml:space="preserve">Obrada je bila usredotočena na utvrđivanje prosječnih vrijednosti: </w:t>
      </w:r>
      <w:r w:rsidR="00596984">
        <w:rPr>
          <w:rFonts w:ascii="Times New Roman" w:hAnsi="Times New Roman"/>
        </w:rPr>
        <w:t xml:space="preserve">vremenskog </w:t>
      </w:r>
      <w:r w:rsidRPr="005A7A8E">
        <w:rPr>
          <w:rFonts w:ascii="Times New Roman" w:hAnsi="Times New Roman"/>
        </w:rPr>
        <w:t xml:space="preserve">trajanja stečajnih postupaka, postotka namirenja </w:t>
      </w:r>
      <w:r w:rsidR="00596984">
        <w:rPr>
          <w:rFonts w:ascii="Times New Roman" w:hAnsi="Times New Roman"/>
        </w:rPr>
        <w:t xml:space="preserve">tražbina </w:t>
      </w:r>
      <w:r w:rsidRPr="005A7A8E">
        <w:rPr>
          <w:rFonts w:ascii="Times New Roman" w:hAnsi="Times New Roman"/>
        </w:rPr>
        <w:t xml:space="preserve">vjerovnika, veličine imovine dužnika, visine novčanih nagrada stečajnim upraviteljima </w:t>
      </w:r>
      <w:r w:rsidR="00596984">
        <w:rPr>
          <w:rFonts w:ascii="Times New Roman" w:hAnsi="Times New Roman"/>
        </w:rPr>
        <w:t>te na specifične radnje stečajnih upravitelja čija pojava divergira od ciljeva stečajnog postupka.</w:t>
      </w:r>
      <w:r w:rsidRPr="005A7A8E">
        <w:rPr>
          <w:rFonts w:ascii="Times New Roman" w:hAnsi="Times New Roman"/>
        </w:rPr>
        <w:t xml:space="preserve"> Kao što je navedeno u prethodnom poglavlju, sva imena stečajnih dužnika i stečajnih upravitelja su </w:t>
      </w:r>
      <w:proofErr w:type="spellStart"/>
      <w:r w:rsidRPr="005A7A8E">
        <w:rPr>
          <w:rFonts w:ascii="Times New Roman" w:hAnsi="Times New Roman"/>
        </w:rPr>
        <w:t>anonimizirana</w:t>
      </w:r>
      <w:proofErr w:type="spellEnd"/>
      <w:r w:rsidRPr="005A7A8E">
        <w:rPr>
          <w:rFonts w:ascii="Times New Roman" w:hAnsi="Times New Roman"/>
        </w:rPr>
        <w:t>.</w:t>
      </w:r>
    </w:p>
    <w:p w:rsidR="00405C03" w:rsidRPr="005A7A8E" w:rsidRDefault="00405C03" w:rsidP="00E377E6">
      <w:pPr>
        <w:spacing w:line="480" w:lineRule="auto"/>
        <w:rPr>
          <w:rFonts w:ascii="Times New Roman" w:hAnsi="Times New Roman"/>
        </w:rPr>
      </w:pPr>
    </w:p>
    <w:p w:rsidR="005A7A8E" w:rsidRPr="005A7A8E" w:rsidRDefault="005A7A8E" w:rsidP="00E377E6">
      <w:pPr>
        <w:pStyle w:val="Heading1"/>
        <w:spacing w:line="480" w:lineRule="auto"/>
        <w:jc w:val="left"/>
      </w:pPr>
      <w:r w:rsidRPr="005A7A8E">
        <w:t>Rezultati i</w:t>
      </w:r>
      <w:r w:rsidR="00596984">
        <w:t>straživanja</w:t>
      </w:r>
    </w:p>
    <w:p w:rsidR="005A7A8E" w:rsidRPr="005A7A8E" w:rsidRDefault="00596984" w:rsidP="00E377E6">
      <w:pPr>
        <w:spacing w:line="480" w:lineRule="auto"/>
        <w:rPr>
          <w:rFonts w:ascii="Times New Roman" w:hAnsi="Times New Roman"/>
        </w:rPr>
      </w:pPr>
      <w:r w:rsidRPr="00596984">
        <w:rPr>
          <w:rFonts w:ascii="Times New Roman" w:hAnsi="Times New Roman"/>
        </w:rPr>
        <w:t>Analizom uzorka od trideset zaključenih stečajeva ustanovljeno je da postoji veliki problem u neurednoj pohrani dokumentacije nakon zaključenih stečajnih postupaka. Problematika neurednog pohranjivanja dokumenata ogleda se u sljedećem:</w:t>
      </w:r>
    </w:p>
    <w:p w:rsidR="005A7A8E" w:rsidRPr="005A7A8E" w:rsidRDefault="005A7A8E" w:rsidP="00E377E6">
      <w:pPr>
        <w:numPr>
          <w:ilvl w:val="0"/>
          <w:numId w:val="3"/>
        </w:numPr>
        <w:spacing w:after="0" w:line="480" w:lineRule="auto"/>
        <w:rPr>
          <w:rFonts w:ascii="Times New Roman" w:hAnsi="Times New Roman"/>
        </w:rPr>
      </w:pPr>
      <w:r w:rsidRPr="005A7A8E">
        <w:rPr>
          <w:rFonts w:ascii="Times New Roman" w:hAnsi="Times New Roman"/>
        </w:rPr>
        <w:t xml:space="preserve">za </w:t>
      </w:r>
      <w:r w:rsidR="00330801">
        <w:rPr>
          <w:rFonts w:ascii="Times New Roman" w:hAnsi="Times New Roman"/>
        </w:rPr>
        <w:t>četrnaest</w:t>
      </w:r>
      <w:r w:rsidRPr="005A7A8E">
        <w:rPr>
          <w:rFonts w:ascii="Times New Roman" w:hAnsi="Times New Roman"/>
        </w:rPr>
        <w:t xml:space="preserve"> od </w:t>
      </w:r>
      <w:r w:rsidR="00330801">
        <w:rPr>
          <w:rFonts w:ascii="Times New Roman" w:hAnsi="Times New Roman"/>
        </w:rPr>
        <w:t>trideset</w:t>
      </w:r>
      <w:r w:rsidRPr="005A7A8E">
        <w:rPr>
          <w:rFonts w:ascii="Times New Roman" w:hAnsi="Times New Roman"/>
        </w:rPr>
        <w:t xml:space="preserve"> dioničkih društava u promatranom uzorku nije bilo moguće utvrditi broj radnika </w:t>
      </w:r>
      <w:r w:rsidR="00330801">
        <w:rPr>
          <w:rFonts w:ascii="Times New Roman" w:hAnsi="Times New Roman"/>
        </w:rPr>
        <w:t xml:space="preserve">zaposlenih kod društva </w:t>
      </w:r>
      <w:r w:rsidRPr="005A7A8E">
        <w:rPr>
          <w:rFonts w:ascii="Times New Roman" w:hAnsi="Times New Roman"/>
        </w:rPr>
        <w:t>dužnika u trenutku otvaranja stečaja,</w:t>
      </w:r>
    </w:p>
    <w:p w:rsidR="005A7A8E" w:rsidRPr="005A7A8E" w:rsidRDefault="005A7A8E" w:rsidP="00E377E6">
      <w:pPr>
        <w:numPr>
          <w:ilvl w:val="0"/>
          <w:numId w:val="3"/>
        </w:numPr>
        <w:spacing w:after="0" w:line="480" w:lineRule="auto"/>
        <w:rPr>
          <w:rFonts w:ascii="Times New Roman" w:hAnsi="Times New Roman"/>
        </w:rPr>
      </w:pPr>
      <w:r w:rsidRPr="005A7A8E">
        <w:rPr>
          <w:rFonts w:ascii="Times New Roman" w:hAnsi="Times New Roman"/>
        </w:rPr>
        <w:t xml:space="preserve">za </w:t>
      </w:r>
      <w:r w:rsidR="00330801">
        <w:rPr>
          <w:rFonts w:ascii="Times New Roman" w:hAnsi="Times New Roman"/>
        </w:rPr>
        <w:t>četiri</w:t>
      </w:r>
      <w:r w:rsidRPr="005A7A8E">
        <w:rPr>
          <w:rFonts w:ascii="Times New Roman" w:hAnsi="Times New Roman"/>
        </w:rPr>
        <w:t xml:space="preserve"> od </w:t>
      </w:r>
      <w:r w:rsidR="00330801">
        <w:rPr>
          <w:rFonts w:ascii="Times New Roman" w:hAnsi="Times New Roman"/>
        </w:rPr>
        <w:t>trideset</w:t>
      </w:r>
      <w:r w:rsidR="00330801" w:rsidRPr="005A7A8E">
        <w:rPr>
          <w:rFonts w:ascii="Times New Roman" w:hAnsi="Times New Roman"/>
        </w:rPr>
        <w:t xml:space="preserve"> </w:t>
      </w:r>
      <w:r w:rsidRPr="005A7A8E">
        <w:rPr>
          <w:rFonts w:ascii="Times New Roman" w:hAnsi="Times New Roman"/>
        </w:rPr>
        <w:t>dioničkih društava u uzorku nije bilo moguće utvrditi knji</w:t>
      </w:r>
      <w:r w:rsidR="00467962">
        <w:rPr>
          <w:rFonts w:ascii="Times New Roman" w:hAnsi="Times New Roman"/>
        </w:rPr>
        <w:t>govodstvenu vrijednost imovine,</w:t>
      </w:r>
    </w:p>
    <w:p w:rsidR="005A7A8E" w:rsidRPr="005A7A8E" w:rsidRDefault="005A7A8E" w:rsidP="00E377E6">
      <w:pPr>
        <w:numPr>
          <w:ilvl w:val="0"/>
          <w:numId w:val="3"/>
        </w:numPr>
        <w:spacing w:after="0" w:line="480" w:lineRule="auto"/>
        <w:rPr>
          <w:rFonts w:ascii="Times New Roman" w:hAnsi="Times New Roman"/>
        </w:rPr>
      </w:pPr>
      <w:r w:rsidRPr="005A7A8E">
        <w:rPr>
          <w:rFonts w:ascii="Times New Roman" w:hAnsi="Times New Roman"/>
        </w:rPr>
        <w:t xml:space="preserve">za </w:t>
      </w:r>
      <w:r w:rsidR="00330801">
        <w:rPr>
          <w:rFonts w:ascii="Times New Roman" w:hAnsi="Times New Roman"/>
        </w:rPr>
        <w:t>trinaest</w:t>
      </w:r>
      <w:r w:rsidRPr="005A7A8E">
        <w:rPr>
          <w:rFonts w:ascii="Times New Roman" w:hAnsi="Times New Roman"/>
        </w:rPr>
        <w:t xml:space="preserve"> od </w:t>
      </w:r>
      <w:r w:rsidR="00330801">
        <w:rPr>
          <w:rFonts w:ascii="Times New Roman" w:hAnsi="Times New Roman"/>
        </w:rPr>
        <w:t>trideset</w:t>
      </w:r>
      <w:r w:rsidR="00330801" w:rsidRPr="005A7A8E">
        <w:rPr>
          <w:rFonts w:ascii="Times New Roman" w:hAnsi="Times New Roman"/>
        </w:rPr>
        <w:t xml:space="preserve"> </w:t>
      </w:r>
      <w:r w:rsidRPr="005A7A8E">
        <w:rPr>
          <w:rFonts w:ascii="Times New Roman" w:hAnsi="Times New Roman"/>
        </w:rPr>
        <w:t>dioničkih društava u uzorku nije bilo moguće utvrditi kolika je bila stečajna masa,</w:t>
      </w:r>
    </w:p>
    <w:p w:rsidR="005A7A8E" w:rsidRPr="005A7A8E" w:rsidRDefault="005A7A8E" w:rsidP="00E377E6">
      <w:pPr>
        <w:numPr>
          <w:ilvl w:val="0"/>
          <w:numId w:val="3"/>
        </w:numPr>
        <w:spacing w:after="0" w:line="480" w:lineRule="auto"/>
        <w:rPr>
          <w:rFonts w:ascii="Times New Roman" w:hAnsi="Times New Roman"/>
        </w:rPr>
      </w:pPr>
      <w:r w:rsidRPr="005A7A8E">
        <w:rPr>
          <w:rFonts w:ascii="Times New Roman" w:hAnsi="Times New Roman"/>
        </w:rPr>
        <w:t xml:space="preserve">za </w:t>
      </w:r>
      <w:r w:rsidR="00330801">
        <w:rPr>
          <w:rFonts w:ascii="Times New Roman" w:hAnsi="Times New Roman"/>
        </w:rPr>
        <w:t>petnaest</w:t>
      </w:r>
      <w:r w:rsidRPr="005A7A8E">
        <w:rPr>
          <w:rFonts w:ascii="Times New Roman" w:hAnsi="Times New Roman"/>
        </w:rPr>
        <w:t xml:space="preserve"> od </w:t>
      </w:r>
      <w:r w:rsidR="00330801">
        <w:rPr>
          <w:rFonts w:ascii="Times New Roman" w:hAnsi="Times New Roman"/>
        </w:rPr>
        <w:t>trideset</w:t>
      </w:r>
      <w:r w:rsidR="00330801" w:rsidRPr="005A7A8E">
        <w:rPr>
          <w:rFonts w:ascii="Times New Roman" w:hAnsi="Times New Roman"/>
        </w:rPr>
        <w:t xml:space="preserve"> </w:t>
      </w:r>
      <w:r w:rsidRPr="005A7A8E">
        <w:rPr>
          <w:rFonts w:ascii="Times New Roman" w:hAnsi="Times New Roman"/>
        </w:rPr>
        <w:t xml:space="preserve">dioničkih društava u uzorku nije bilo moguće utvrditi koliki su bili troškovi </w:t>
      </w:r>
      <w:r w:rsidR="00330801">
        <w:rPr>
          <w:rFonts w:ascii="Times New Roman" w:hAnsi="Times New Roman"/>
        </w:rPr>
        <w:t xml:space="preserve">stečajnog </w:t>
      </w:r>
      <w:r w:rsidRPr="005A7A8E">
        <w:rPr>
          <w:rFonts w:ascii="Times New Roman" w:hAnsi="Times New Roman"/>
        </w:rPr>
        <w:t>postupka,</w:t>
      </w:r>
    </w:p>
    <w:p w:rsidR="005A7A8E" w:rsidRPr="005A7A8E" w:rsidRDefault="005A7A8E" w:rsidP="00E377E6">
      <w:pPr>
        <w:numPr>
          <w:ilvl w:val="0"/>
          <w:numId w:val="3"/>
        </w:numPr>
        <w:spacing w:after="0" w:line="480" w:lineRule="auto"/>
        <w:rPr>
          <w:rFonts w:ascii="Times New Roman" w:hAnsi="Times New Roman"/>
        </w:rPr>
      </w:pPr>
      <w:r w:rsidRPr="005A7A8E">
        <w:rPr>
          <w:rFonts w:ascii="Times New Roman" w:hAnsi="Times New Roman"/>
        </w:rPr>
        <w:t xml:space="preserve">za </w:t>
      </w:r>
      <w:r w:rsidR="00330801">
        <w:rPr>
          <w:rFonts w:ascii="Times New Roman" w:hAnsi="Times New Roman"/>
        </w:rPr>
        <w:t>deset</w:t>
      </w:r>
      <w:r w:rsidRPr="005A7A8E">
        <w:rPr>
          <w:rFonts w:ascii="Times New Roman" w:hAnsi="Times New Roman"/>
        </w:rPr>
        <w:t xml:space="preserve"> od </w:t>
      </w:r>
      <w:r w:rsidR="00330801">
        <w:rPr>
          <w:rFonts w:ascii="Times New Roman" w:hAnsi="Times New Roman"/>
        </w:rPr>
        <w:t>trideset</w:t>
      </w:r>
      <w:r w:rsidR="00330801" w:rsidRPr="005A7A8E">
        <w:rPr>
          <w:rFonts w:ascii="Times New Roman" w:hAnsi="Times New Roman"/>
        </w:rPr>
        <w:t xml:space="preserve"> </w:t>
      </w:r>
      <w:r w:rsidRPr="005A7A8E">
        <w:rPr>
          <w:rFonts w:ascii="Times New Roman" w:hAnsi="Times New Roman"/>
        </w:rPr>
        <w:t xml:space="preserve">dioničkih društava u uzorku nije bilo moguće utvrditi koliki je bio postotak namirenja </w:t>
      </w:r>
      <w:r w:rsidR="00330801">
        <w:rPr>
          <w:rFonts w:ascii="Times New Roman" w:hAnsi="Times New Roman"/>
        </w:rPr>
        <w:t xml:space="preserve">tražbina </w:t>
      </w:r>
      <w:r w:rsidRPr="005A7A8E">
        <w:rPr>
          <w:rFonts w:ascii="Times New Roman" w:hAnsi="Times New Roman"/>
        </w:rPr>
        <w:t>vjerovnika.</w:t>
      </w:r>
    </w:p>
    <w:p w:rsidR="00330801" w:rsidRDefault="00330801" w:rsidP="00E377E6">
      <w:pPr>
        <w:spacing w:line="480" w:lineRule="auto"/>
        <w:rPr>
          <w:rFonts w:ascii="Times New Roman" w:hAnsi="Times New Roman"/>
        </w:rPr>
      </w:pPr>
      <w:r w:rsidRPr="00330801">
        <w:rPr>
          <w:rFonts w:ascii="Times New Roman" w:hAnsi="Times New Roman"/>
        </w:rPr>
        <w:t xml:space="preserve">Ovdje treba ponoviti kako se radi o relativno velikim stečajnim dužnicima. Stoga je osnovano pretpostaviti da ukoliko postoje ovakvi nedostaci temeljne stečajne dokumentacije kod većih dužnika, kod manjih </w:t>
      </w:r>
      <w:r w:rsidR="00314456" w:rsidRPr="00330801">
        <w:rPr>
          <w:rFonts w:ascii="Times New Roman" w:hAnsi="Times New Roman"/>
        </w:rPr>
        <w:t xml:space="preserve">je </w:t>
      </w:r>
      <w:r w:rsidRPr="00330801">
        <w:rPr>
          <w:rFonts w:ascii="Times New Roman" w:hAnsi="Times New Roman"/>
        </w:rPr>
        <w:t>dužnika najvjerojatnije riječ o još oskudnijim podacima.</w:t>
      </w:r>
    </w:p>
    <w:p w:rsidR="005A7A8E" w:rsidRDefault="00330801" w:rsidP="00E377E6">
      <w:pPr>
        <w:spacing w:line="480" w:lineRule="auto"/>
        <w:rPr>
          <w:rFonts w:ascii="Times New Roman" w:hAnsi="Times New Roman"/>
        </w:rPr>
      </w:pPr>
      <w:r>
        <w:rPr>
          <w:rFonts w:ascii="Times New Roman" w:hAnsi="Times New Roman"/>
        </w:rPr>
        <w:t>R</w:t>
      </w:r>
      <w:r w:rsidR="005A7A8E" w:rsidRPr="005A7A8E">
        <w:rPr>
          <w:rFonts w:ascii="Times New Roman" w:hAnsi="Times New Roman"/>
        </w:rPr>
        <w:t>ezultati istraživanja prikazani su u tablici 1.</w:t>
      </w:r>
    </w:p>
    <w:p w:rsidR="00AD1939" w:rsidRDefault="00AD1939" w:rsidP="00E377E6">
      <w:pPr>
        <w:spacing w:line="480" w:lineRule="auto"/>
        <w:rPr>
          <w:rFonts w:ascii="Times New Roman" w:hAnsi="Times New Roman"/>
        </w:rPr>
      </w:pPr>
    </w:p>
    <w:p w:rsidR="00A46B47" w:rsidRDefault="00A46B47" w:rsidP="00E377E6">
      <w:pPr>
        <w:spacing w:line="480" w:lineRule="auto"/>
        <w:rPr>
          <w:rFonts w:ascii="Times New Roman" w:hAnsi="Times New Roman"/>
        </w:rPr>
      </w:pPr>
    </w:p>
    <w:p w:rsidR="00A46B47" w:rsidRDefault="00A46B47" w:rsidP="00E377E6">
      <w:pPr>
        <w:spacing w:line="480" w:lineRule="auto"/>
        <w:rPr>
          <w:rFonts w:ascii="Times New Roman" w:hAnsi="Times New Roman"/>
        </w:rPr>
      </w:pPr>
    </w:p>
    <w:p w:rsidR="00A46B47" w:rsidRDefault="00A46B47" w:rsidP="00E377E6">
      <w:pPr>
        <w:spacing w:line="480" w:lineRule="auto"/>
        <w:rPr>
          <w:rFonts w:ascii="Times New Roman" w:hAnsi="Times New Roman"/>
        </w:rPr>
      </w:pPr>
    </w:p>
    <w:p w:rsidR="00AD1939" w:rsidRDefault="00AD1939" w:rsidP="00E377E6">
      <w:pPr>
        <w:spacing w:line="480" w:lineRule="auto"/>
        <w:rPr>
          <w:rFonts w:ascii="Times New Roman" w:hAnsi="Times New Roman"/>
        </w:rPr>
      </w:pPr>
    </w:p>
    <w:p w:rsidR="005A7A8E" w:rsidRPr="005A7A8E" w:rsidRDefault="005A7A8E" w:rsidP="00E377E6">
      <w:pPr>
        <w:spacing w:line="480" w:lineRule="auto"/>
        <w:ind w:firstLine="0"/>
        <w:jc w:val="center"/>
        <w:rPr>
          <w:rFonts w:ascii="Times New Roman" w:hAnsi="Times New Roman"/>
        </w:rPr>
      </w:pPr>
      <w:r w:rsidRPr="005A7A8E">
        <w:rPr>
          <w:rFonts w:ascii="Times New Roman" w:hAnsi="Times New Roman"/>
        </w:rPr>
        <w:lastRenderedPageBreak/>
        <w:t>Tablica 1. Rezultati istraživanja</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389"/>
        <w:gridCol w:w="27"/>
        <w:gridCol w:w="1220"/>
        <w:gridCol w:w="1220"/>
        <w:gridCol w:w="1242"/>
      </w:tblGrid>
      <w:tr w:rsidR="00AD1939" w:rsidRPr="00AD1939" w:rsidTr="00613272">
        <w:trPr>
          <w:trHeight w:val="887"/>
          <w:jc w:val="center"/>
        </w:trPr>
        <w:tc>
          <w:tcPr>
            <w:tcW w:w="5098" w:type="dxa"/>
            <w:tcBorders>
              <w:bottom w:val="double" w:sz="4" w:space="0" w:color="auto"/>
              <w:right w:val="double" w:sz="4" w:space="0" w:color="auto"/>
            </w:tcBorders>
            <w:shd w:val="clear" w:color="000000" w:fill="auto"/>
            <w:vAlign w:val="center"/>
            <w:hideMark/>
          </w:tcPr>
          <w:p w:rsidR="00AD1939" w:rsidRPr="00AD1939" w:rsidRDefault="00AD1939" w:rsidP="00AD1939">
            <w:pPr>
              <w:spacing w:after="0"/>
              <w:ind w:firstLine="0"/>
              <w:jc w:val="center"/>
              <w:rPr>
                <w:rFonts w:ascii="Arial Narrow" w:hAnsi="Arial Narrow"/>
                <w:b/>
                <w:bCs/>
                <w:color w:val="000000"/>
              </w:rPr>
            </w:pPr>
            <w:r w:rsidRPr="00AD1939">
              <w:rPr>
                <w:rFonts w:ascii="Arial Narrow" w:hAnsi="Arial Narrow"/>
                <w:b/>
                <w:bCs/>
                <w:color w:val="000000"/>
              </w:rPr>
              <w:t>Pojedinačni pokazatelji uzorka</w:t>
            </w:r>
          </w:p>
        </w:tc>
        <w:tc>
          <w:tcPr>
            <w:tcW w:w="1416" w:type="dxa"/>
            <w:gridSpan w:val="2"/>
            <w:tcBorders>
              <w:left w:val="double" w:sz="4" w:space="0" w:color="auto"/>
              <w:bottom w:val="double" w:sz="4" w:space="0" w:color="auto"/>
            </w:tcBorders>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Pr>
                <w:rFonts w:ascii="Arial Narrow" w:hAnsi="Arial Narrow"/>
                <w:bCs/>
                <w:color w:val="000000"/>
              </w:rPr>
              <w:t>Statistička osnova*</w:t>
            </w:r>
          </w:p>
        </w:tc>
        <w:tc>
          <w:tcPr>
            <w:tcW w:w="1220" w:type="dxa"/>
            <w:tcBorders>
              <w:bottom w:val="double" w:sz="4" w:space="0" w:color="auto"/>
            </w:tcBorders>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Minimum</w:t>
            </w:r>
          </w:p>
        </w:tc>
        <w:tc>
          <w:tcPr>
            <w:tcW w:w="1220" w:type="dxa"/>
            <w:tcBorders>
              <w:bottom w:val="double" w:sz="4" w:space="0" w:color="auto"/>
            </w:tcBorders>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Maksimum</w:t>
            </w:r>
          </w:p>
        </w:tc>
        <w:tc>
          <w:tcPr>
            <w:tcW w:w="1242" w:type="dxa"/>
            <w:tcBorders>
              <w:bottom w:val="double" w:sz="4" w:space="0" w:color="auto"/>
            </w:tcBorders>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Prosjek</w:t>
            </w:r>
            <w:r w:rsidRPr="00AD1939">
              <w:rPr>
                <w:rFonts w:ascii="Arial Narrow" w:hAnsi="Arial Narrow"/>
                <w:bCs/>
                <w:color w:val="000000"/>
              </w:rPr>
              <w:br/>
              <w:t>(aritmetička sredina)</w:t>
            </w:r>
          </w:p>
        </w:tc>
      </w:tr>
      <w:tr w:rsidR="00AD1939" w:rsidRPr="00AD1939" w:rsidTr="00613272">
        <w:trPr>
          <w:trHeight w:val="150"/>
          <w:jc w:val="center"/>
        </w:trPr>
        <w:tc>
          <w:tcPr>
            <w:tcW w:w="5098" w:type="dxa"/>
            <w:tcBorders>
              <w:top w:val="double" w:sz="4" w:space="0" w:color="auto"/>
              <w:right w:val="double" w:sz="4" w:space="0" w:color="auto"/>
            </w:tcBorders>
            <w:shd w:val="clear" w:color="000000" w:fill="auto"/>
            <w:vAlign w:val="center"/>
            <w:hideMark/>
          </w:tcPr>
          <w:p w:rsidR="00AD1939" w:rsidRPr="00AD1939" w:rsidRDefault="00AD1939" w:rsidP="00AD1939">
            <w:pPr>
              <w:spacing w:after="0"/>
              <w:ind w:firstLine="0"/>
              <w:jc w:val="left"/>
              <w:rPr>
                <w:rFonts w:ascii="Arial Narrow" w:hAnsi="Arial Narrow"/>
                <w:bCs/>
                <w:color w:val="000000"/>
              </w:rPr>
            </w:pPr>
            <w:r w:rsidRPr="00AD1939">
              <w:rPr>
                <w:rFonts w:ascii="Arial Narrow" w:hAnsi="Arial Narrow"/>
                <w:bCs/>
                <w:color w:val="000000"/>
              </w:rPr>
              <w:t>Broj zaposlenih kod dužnika prije otvaranja stečaja</w:t>
            </w:r>
          </w:p>
        </w:tc>
        <w:tc>
          <w:tcPr>
            <w:tcW w:w="1416" w:type="dxa"/>
            <w:gridSpan w:val="2"/>
            <w:tcBorders>
              <w:top w:val="double" w:sz="4" w:space="0" w:color="auto"/>
              <w:left w:val="double" w:sz="4" w:space="0" w:color="auto"/>
            </w:tcBorders>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Pr>
                <w:rFonts w:ascii="Arial Narrow" w:hAnsi="Arial Narrow"/>
                <w:bCs/>
                <w:color w:val="000000"/>
              </w:rPr>
              <w:t>16</w:t>
            </w:r>
          </w:p>
        </w:tc>
        <w:tc>
          <w:tcPr>
            <w:tcW w:w="1220" w:type="dxa"/>
            <w:tcBorders>
              <w:top w:val="double" w:sz="4" w:space="0" w:color="auto"/>
            </w:tcBorders>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w:t>
            </w:r>
          </w:p>
        </w:tc>
        <w:tc>
          <w:tcPr>
            <w:tcW w:w="1220" w:type="dxa"/>
            <w:tcBorders>
              <w:top w:val="double" w:sz="4" w:space="0" w:color="auto"/>
            </w:tcBorders>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887</w:t>
            </w:r>
          </w:p>
        </w:tc>
        <w:tc>
          <w:tcPr>
            <w:tcW w:w="1242" w:type="dxa"/>
            <w:tcBorders>
              <w:top w:val="double" w:sz="4" w:space="0" w:color="auto"/>
            </w:tcBorders>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138</w:t>
            </w:r>
          </w:p>
        </w:tc>
      </w:tr>
      <w:tr w:rsidR="00AD1939" w:rsidRPr="00AD1939" w:rsidTr="00613272">
        <w:trPr>
          <w:trHeight w:val="224"/>
          <w:jc w:val="center"/>
        </w:trPr>
        <w:tc>
          <w:tcPr>
            <w:tcW w:w="5098" w:type="dxa"/>
            <w:tcBorders>
              <w:right w:val="double" w:sz="4" w:space="0" w:color="auto"/>
            </w:tcBorders>
            <w:shd w:val="clear" w:color="000000" w:fill="auto"/>
            <w:vAlign w:val="center"/>
            <w:hideMark/>
          </w:tcPr>
          <w:p w:rsidR="00AD1939" w:rsidRPr="00AD1939" w:rsidRDefault="00AD1939" w:rsidP="00AD1939">
            <w:pPr>
              <w:spacing w:after="0"/>
              <w:ind w:firstLine="0"/>
              <w:jc w:val="left"/>
              <w:rPr>
                <w:rFonts w:ascii="Arial Narrow" w:hAnsi="Arial Narrow"/>
                <w:bCs/>
                <w:color w:val="000000"/>
              </w:rPr>
            </w:pPr>
            <w:r w:rsidRPr="00AD1939">
              <w:rPr>
                <w:rFonts w:ascii="Arial Narrow" w:hAnsi="Arial Narrow"/>
                <w:bCs/>
                <w:color w:val="000000"/>
              </w:rPr>
              <w:t>Knjigovodstvena vrijednost imovine u vrijeme otvaranja stečaja (u kn)</w:t>
            </w:r>
          </w:p>
        </w:tc>
        <w:tc>
          <w:tcPr>
            <w:tcW w:w="1416" w:type="dxa"/>
            <w:gridSpan w:val="2"/>
            <w:tcBorders>
              <w:left w:val="double" w:sz="4" w:space="0" w:color="auto"/>
            </w:tcBorders>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Pr>
                <w:rFonts w:ascii="Arial Narrow" w:hAnsi="Arial Narrow"/>
                <w:bCs/>
                <w:color w:val="000000"/>
              </w:rPr>
              <w:t>26</w:t>
            </w:r>
          </w:p>
        </w:tc>
        <w:tc>
          <w:tcPr>
            <w:tcW w:w="1220" w:type="dxa"/>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3.027.176</w:t>
            </w:r>
          </w:p>
        </w:tc>
        <w:tc>
          <w:tcPr>
            <w:tcW w:w="1220" w:type="dxa"/>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139.346.066</w:t>
            </w:r>
          </w:p>
        </w:tc>
        <w:tc>
          <w:tcPr>
            <w:tcW w:w="1242" w:type="dxa"/>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39.038.320</w:t>
            </w:r>
          </w:p>
        </w:tc>
      </w:tr>
      <w:tr w:rsidR="00AD1939" w:rsidRPr="00AD1939" w:rsidTr="00613272">
        <w:trPr>
          <w:trHeight w:val="64"/>
          <w:jc w:val="center"/>
        </w:trPr>
        <w:tc>
          <w:tcPr>
            <w:tcW w:w="5098" w:type="dxa"/>
            <w:tcBorders>
              <w:right w:val="double" w:sz="4" w:space="0" w:color="auto"/>
            </w:tcBorders>
            <w:shd w:val="clear" w:color="000000" w:fill="auto"/>
            <w:vAlign w:val="center"/>
            <w:hideMark/>
          </w:tcPr>
          <w:p w:rsidR="00AD1939" w:rsidRPr="00AD1939" w:rsidRDefault="00AD1939" w:rsidP="00AD1939">
            <w:pPr>
              <w:spacing w:after="0"/>
              <w:ind w:firstLine="0"/>
              <w:jc w:val="left"/>
              <w:rPr>
                <w:rFonts w:ascii="Arial Narrow" w:hAnsi="Arial Narrow"/>
                <w:bCs/>
                <w:color w:val="000000"/>
              </w:rPr>
            </w:pPr>
            <w:r w:rsidRPr="00AD1939">
              <w:rPr>
                <w:rFonts w:ascii="Arial Narrow" w:hAnsi="Arial Narrow"/>
                <w:bCs/>
                <w:color w:val="000000"/>
              </w:rPr>
              <w:t>Dobit/gubitak u vrijeme otvaranja stečaja (u kn)</w:t>
            </w:r>
          </w:p>
        </w:tc>
        <w:tc>
          <w:tcPr>
            <w:tcW w:w="1416" w:type="dxa"/>
            <w:gridSpan w:val="2"/>
            <w:tcBorders>
              <w:left w:val="double" w:sz="4" w:space="0" w:color="auto"/>
            </w:tcBorders>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Pr>
                <w:rFonts w:ascii="Arial Narrow" w:hAnsi="Arial Narrow"/>
                <w:bCs/>
                <w:color w:val="000000"/>
              </w:rPr>
              <w:t>24</w:t>
            </w:r>
          </w:p>
        </w:tc>
        <w:tc>
          <w:tcPr>
            <w:tcW w:w="1220" w:type="dxa"/>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-15.110.039</w:t>
            </w:r>
          </w:p>
        </w:tc>
        <w:tc>
          <w:tcPr>
            <w:tcW w:w="1220" w:type="dxa"/>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11.343.835</w:t>
            </w:r>
          </w:p>
        </w:tc>
        <w:tc>
          <w:tcPr>
            <w:tcW w:w="1242" w:type="dxa"/>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-4.635.904</w:t>
            </w:r>
          </w:p>
        </w:tc>
      </w:tr>
      <w:tr w:rsidR="00AD1939" w:rsidRPr="00AD1939" w:rsidTr="00613272">
        <w:trPr>
          <w:trHeight w:val="64"/>
          <w:jc w:val="center"/>
        </w:trPr>
        <w:tc>
          <w:tcPr>
            <w:tcW w:w="5098" w:type="dxa"/>
            <w:tcBorders>
              <w:right w:val="double" w:sz="4" w:space="0" w:color="auto"/>
            </w:tcBorders>
            <w:shd w:val="clear" w:color="000000" w:fill="auto"/>
            <w:vAlign w:val="center"/>
            <w:hideMark/>
          </w:tcPr>
          <w:p w:rsidR="00AD1939" w:rsidRPr="00AD1939" w:rsidRDefault="00AD1939" w:rsidP="00AD1939">
            <w:pPr>
              <w:spacing w:after="0"/>
              <w:ind w:firstLine="0"/>
              <w:jc w:val="left"/>
              <w:rPr>
                <w:rFonts w:ascii="Arial Narrow" w:hAnsi="Arial Narrow"/>
                <w:bCs/>
                <w:color w:val="000000"/>
              </w:rPr>
            </w:pPr>
            <w:r w:rsidRPr="00AD1939">
              <w:rPr>
                <w:rFonts w:ascii="Arial Narrow" w:hAnsi="Arial Narrow"/>
                <w:bCs/>
                <w:color w:val="000000"/>
              </w:rPr>
              <w:t xml:space="preserve">Trajanje postupka </w:t>
            </w:r>
            <w:r w:rsidR="00613272">
              <w:rPr>
                <w:rFonts w:ascii="Arial Narrow" w:hAnsi="Arial Narrow"/>
                <w:bCs/>
                <w:color w:val="000000"/>
              </w:rPr>
              <w:t>(</w:t>
            </w:r>
            <w:r w:rsidRPr="00AD1939">
              <w:rPr>
                <w:rFonts w:ascii="Arial Narrow" w:hAnsi="Arial Narrow"/>
                <w:bCs/>
                <w:color w:val="000000"/>
              </w:rPr>
              <w:t>u godinama</w:t>
            </w:r>
            <w:r w:rsidR="00613272">
              <w:rPr>
                <w:rFonts w:ascii="Arial Narrow" w:hAnsi="Arial Narrow"/>
                <w:bCs/>
                <w:color w:val="000000"/>
              </w:rPr>
              <w:t>)</w:t>
            </w:r>
          </w:p>
        </w:tc>
        <w:tc>
          <w:tcPr>
            <w:tcW w:w="1416" w:type="dxa"/>
            <w:gridSpan w:val="2"/>
            <w:tcBorders>
              <w:left w:val="double" w:sz="4" w:space="0" w:color="auto"/>
            </w:tcBorders>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Pr>
                <w:rFonts w:ascii="Arial Narrow" w:hAnsi="Arial Narrow"/>
                <w:bCs/>
                <w:color w:val="000000"/>
              </w:rPr>
              <w:t>29</w:t>
            </w:r>
          </w:p>
        </w:tc>
        <w:tc>
          <w:tcPr>
            <w:tcW w:w="1220" w:type="dxa"/>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0,71</w:t>
            </w:r>
          </w:p>
        </w:tc>
        <w:tc>
          <w:tcPr>
            <w:tcW w:w="1220"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8,32</w:t>
            </w:r>
          </w:p>
        </w:tc>
        <w:tc>
          <w:tcPr>
            <w:tcW w:w="1242"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3,68</w:t>
            </w:r>
          </w:p>
        </w:tc>
      </w:tr>
      <w:tr w:rsidR="00AD1939" w:rsidRPr="00AD1939" w:rsidTr="00613272">
        <w:trPr>
          <w:trHeight w:val="64"/>
          <w:jc w:val="center"/>
        </w:trPr>
        <w:tc>
          <w:tcPr>
            <w:tcW w:w="5098" w:type="dxa"/>
            <w:tcBorders>
              <w:right w:val="double" w:sz="4" w:space="0" w:color="auto"/>
            </w:tcBorders>
            <w:shd w:val="clear" w:color="000000" w:fill="auto"/>
            <w:vAlign w:val="center"/>
            <w:hideMark/>
          </w:tcPr>
          <w:p w:rsidR="00AD1939" w:rsidRPr="00AD1939" w:rsidRDefault="00AD1939" w:rsidP="00AD1939">
            <w:pPr>
              <w:spacing w:after="0"/>
              <w:ind w:firstLine="0"/>
              <w:jc w:val="left"/>
              <w:rPr>
                <w:rFonts w:ascii="Arial Narrow" w:hAnsi="Arial Narrow"/>
                <w:bCs/>
                <w:color w:val="000000"/>
              </w:rPr>
            </w:pPr>
            <w:r w:rsidRPr="00AD1939">
              <w:rPr>
                <w:rFonts w:ascii="Arial Narrow" w:hAnsi="Arial Narrow"/>
                <w:bCs/>
                <w:color w:val="000000"/>
              </w:rPr>
              <w:t>Iznos prijavljenih potraživanja (u kn)</w:t>
            </w:r>
          </w:p>
        </w:tc>
        <w:tc>
          <w:tcPr>
            <w:tcW w:w="1416" w:type="dxa"/>
            <w:gridSpan w:val="2"/>
            <w:tcBorders>
              <w:left w:val="double" w:sz="4" w:space="0" w:color="auto"/>
            </w:tcBorders>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Pr>
                <w:rFonts w:ascii="Arial Narrow" w:hAnsi="Arial Narrow"/>
                <w:bCs/>
                <w:color w:val="000000"/>
              </w:rPr>
              <w:t>29</w:t>
            </w:r>
          </w:p>
        </w:tc>
        <w:tc>
          <w:tcPr>
            <w:tcW w:w="1220" w:type="dxa"/>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217.085</w:t>
            </w:r>
          </w:p>
        </w:tc>
        <w:tc>
          <w:tcPr>
            <w:tcW w:w="1220"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193.428.499</w:t>
            </w:r>
          </w:p>
        </w:tc>
        <w:tc>
          <w:tcPr>
            <w:tcW w:w="1242"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31.410.230</w:t>
            </w:r>
          </w:p>
        </w:tc>
      </w:tr>
      <w:tr w:rsidR="00AD1939" w:rsidRPr="00AD1939" w:rsidTr="00613272">
        <w:trPr>
          <w:trHeight w:val="64"/>
          <w:jc w:val="center"/>
        </w:trPr>
        <w:tc>
          <w:tcPr>
            <w:tcW w:w="5098" w:type="dxa"/>
            <w:tcBorders>
              <w:right w:val="double" w:sz="4" w:space="0" w:color="auto"/>
            </w:tcBorders>
            <w:shd w:val="clear" w:color="000000" w:fill="auto"/>
            <w:vAlign w:val="center"/>
            <w:hideMark/>
          </w:tcPr>
          <w:p w:rsidR="00AD1939" w:rsidRPr="00AD1939" w:rsidRDefault="00AD1939" w:rsidP="00AD1939">
            <w:pPr>
              <w:spacing w:after="0"/>
              <w:ind w:firstLine="0"/>
              <w:jc w:val="left"/>
              <w:rPr>
                <w:rFonts w:ascii="Arial Narrow" w:hAnsi="Arial Narrow"/>
                <w:bCs/>
                <w:color w:val="000000"/>
              </w:rPr>
            </w:pPr>
            <w:r w:rsidRPr="00AD1939">
              <w:rPr>
                <w:rFonts w:ascii="Arial Narrow" w:hAnsi="Arial Narrow"/>
                <w:bCs/>
                <w:color w:val="000000"/>
              </w:rPr>
              <w:t xml:space="preserve">Trajanje blokade žiro </w:t>
            </w:r>
            <w:r w:rsidR="00613272">
              <w:rPr>
                <w:rFonts w:ascii="Arial Narrow" w:hAnsi="Arial Narrow"/>
                <w:bCs/>
                <w:color w:val="000000"/>
              </w:rPr>
              <w:t>računa prije otvaranja stečaja (</w:t>
            </w:r>
            <w:r w:rsidRPr="00AD1939">
              <w:rPr>
                <w:rFonts w:ascii="Arial Narrow" w:hAnsi="Arial Narrow"/>
                <w:bCs/>
                <w:color w:val="000000"/>
              </w:rPr>
              <w:t>dana</w:t>
            </w:r>
            <w:r w:rsidR="00613272">
              <w:rPr>
                <w:rFonts w:ascii="Arial Narrow" w:hAnsi="Arial Narrow"/>
                <w:bCs/>
                <w:color w:val="000000"/>
              </w:rPr>
              <w:t>)</w:t>
            </w:r>
          </w:p>
        </w:tc>
        <w:tc>
          <w:tcPr>
            <w:tcW w:w="1416" w:type="dxa"/>
            <w:gridSpan w:val="2"/>
            <w:tcBorders>
              <w:left w:val="double" w:sz="4" w:space="0" w:color="auto"/>
            </w:tcBorders>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Pr>
                <w:rFonts w:ascii="Arial Narrow" w:hAnsi="Arial Narrow"/>
                <w:bCs/>
                <w:color w:val="000000"/>
              </w:rPr>
              <w:t>19</w:t>
            </w:r>
          </w:p>
        </w:tc>
        <w:tc>
          <w:tcPr>
            <w:tcW w:w="1220" w:type="dxa"/>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60</w:t>
            </w:r>
          </w:p>
        </w:tc>
        <w:tc>
          <w:tcPr>
            <w:tcW w:w="1220"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3.574</w:t>
            </w:r>
          </w:p>
        </w:tc>
        <w:tc>
          <w:tcPr>
            <w:tcW w:w="1242"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1.107</w:t>
            </w:r>
          </w:p>
        </w:tc>
      </w:tr>
      <w:tr w:rsidR="00AD1939" w:rsidRPr="00AD1939" w:rsidTr="00613272">
        <w:trPr>
          <w:trHeight w:val="157"/>
          <w:jc w:val="center"/>
        </w:trPr>
        <w:tc>
          <w:tcPr>
            <w:tcW w:w="5098" w:type="dxa"/>
            <w:tcBorders>
              <w:right w:val="double" w:sz="4" w:space="0" w:color="auto"/>
            </w:tcBorders>
            <w:shd w:val="clear" w:color="000000" w:fill="auto"/>
            <w:vAlign w:val="center"/>
            <w:hideMark/>
          </w:tcPr>
          <w:p w:rsidR="00AD1939" w:rsidRPr="00AD1939" w:rsidRDefault="00AD1939" w:rsidP="00AD1939">
            <w:pPr>
              <w:spacing w:after="0"/>
              <w:ind w:firstLine="0"/>
              <w:jc w:val="left"/>
              <w:rPr>
                <w:rFonts w:ascii="Arial Narrow" w:hAnsi="Arial Narrow"/>
                <w:bCs/>
                <w:color w:val="000000"/>
              </w:rPr>
            </w:pPr>
            <w:r w:rsidRPr="00AD1939">
              <w:rPr>
                <w:rFonts w:ascii="Arial Narrow" w:hAnsi="Arial Narrow"/>
                <w:bCs/>
                <w:color w:val="000000"/>
              </w:rPr>
              <w:t>Iznos mjesečne naknade stečajnom upravitelju, neto (u kn)</w:t>
            </w:r>
          </w:p>
        </w:tc>
        <w:tc>
          <w:tcPr>
            <w:tcW w:w="1416" w:type="dxa"/>
            <w:gridSpan w:val="2"/>
            <w:tcBorders>
              <w:left w:val="double" w:sz="4" w:space="0" w:color="auto"/>
            </w:tcBorders>
            <w:shd w:val="clear" w:color="auto" w:fill="auto"/>
            <w:noWrap/>
            <w:vAlign w:val="center"/>
          </w:tcPr>
          <w:p w:rsidR="00AD1939" w:rsidRPr="00AD1939" w:rsidRDefault="00AD1939" w:rsidP="00613272">
            <w:pPr>
              <w:spacing w:after="0"/>
              <w:ind w:firstLine="0"/>
              <w:jc w:val="center"/>
              <w:rPr>
                <w:rFonts w:ascii="Arial Narrow" w:hAnsi="Arial Narrow"/>
                <w:bCs/>
                <w:color w:val="000000"/>
              </w:rPr>
            </w:pPr>
            <w:r>
              <w:rPr>
                <w:rFonts w:ascii="Arial Narrow" w:hAnsi="Arial Narrow"/>
                <w:bCs/>
                <w:color w:val="000000"/>
              </w:rPr>
              <w:t>29</w:t>
            </w:r>
          </w:p>
        </w:tc>
        <w:tc>
          <w:tcPr>
            <w:tcW w:w="1220" w:type="dxa"/>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3.500</w:t>
            </w:r>
          </w:p>
        </w:tc>
        <w:tc>
          <w:tcPr>
            <w:tcW w:w="1220"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11.000</w:t>
            </w:r>
          </w:p>
        </w:tc>
        <w:tc>
          <w:tcPr>
            <w:tcW w:w="1242"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5.490</w:t>
            </w:r>
          </w:p>
        </w:tc>
      </w:tr>
      <w:tr w:rsidR="00AD1939" w:rsidRPr="00AD1939" w:rsidTr="00613272">
        <w:trPr>
          <w:trHeight w:val="64"/>
          <w:jc w:val="center"/>
        </w:trPr>
        <w:tc>
          <w:tcPr>
            <w:tcW w:w="5098" w:type="dxa"/>
            <w:tcBorders>
              <w:right w:val="double" w:sz="4" w:space="0" w:color="auto"/>
            </w:tcBorders>
            <w:shd w:val="clear" w:color="000000" w:fill="auto"/>
            <w:noWrap/>
            <w:vAlign w:val="center"/>
            <w:hideMark/>
          </w:tcPr>
          <w:p w:rsidR="00AD1939" w:rsidRPr="00AD1939" w:rsidRDefault="00AD1939" w:rsidP="00AD1939">
            <w:pPr>
              <w:spacing w:after="0"/>
              <w:ind w:firstLine="0"/>
              <w:jc w:val="left"/>
              <w:rPr>
                <w:rFonts w:ascii="Arial Narrow" w:hAnsi="Arial Narrow"/>
                <w:bCs/>
                <w:color w:val="000000"/>
              </w:rPr>
            </w:pPr>
            <w:r w:rsidRPr="00AD1939">
              <w:rPr>
                <w:rFonts w:ascii="Arial Narrow" w:hAnsi="Arial Narrow"/>
                <w:bCs/>
                <w:color w:val="000000"/>
              </w:rPr>
              <w:t>Stečajna masa (u kn)</w:t>
            </w:r>
          </w:p>
        </w:tc>
        <w:tc>
          <w:tcPr>
            <w:tcW w:w="1416" w:type="dxa"/>
            <w:gridSpan w:val="2"/>
            <w:tcBorders>
              <w:left w:val="double" w:sz="4" w:space="0" w:color="auto"/>
            </w:tcBorders>
            <w:shd w:val="clear" w:color="auto" w:fill="auto"/>
            <w:noWrap/>
            <w:vAlign w:val="center"/>
          </w:tcPr>
          <w:p w:rsidR="00AD1939" w:rsidRPr="00AD1939" w:rsidRDefault="00613272" w:rsidP="00613272">
            <w:pPr>
              <w:spacing w:after="0"/>
              <w:ind w:firstLine="0"/>
              <w:jc w:val="center"/>
              <w:rPr>
                <w:rFonts w:ascii="Arial Narrow" w:hAnsi="Arial Narrow"/>
                <w:bCs/>
                <w:color w:val="000000"/>
              </w:rPr>
            </w:pPr>
            <w:r>
              <w:rPr>
                <w:rFonts w:ascii="Arial Narrow" w:hAnsi="Arial Narrow"/>
                <w:bCs/>
                <w:color w:val="000000"/>
              </w:rPr>
              <w:t>17</w:t>
            </w:r>
          </w:p>
        </w:tc>
        <w:tc>
          <w:tcPr>
            <w:tcW w:w="1220" w:type="dxa"/>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3.157.122</w:t>
            </w:r>
          </w:p>
        </w:tc>
        <w:tc>
          <w:tcPr>
            <w:tcW w:w="1220"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116.409.734</w:t>
            </w:r>
          </w:p>
        </w:tc>
        <w:tc>
          <w:tcPr>
            <w:tcW w:w="1242"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38.426.903</w:t>
            </w:r>
          </w:p>
        </w:tc>
      </w:tr>
      <w:tr w:rsidR="00AD1939" w:rsidRPr="00AD1939" w:rsidTr="00613272">
        <w:trPr>
          <w:trHeight w:val="64"/>
          <w:jc w:val="center"/>
        </w:trPr>
        <w:tc>
          <w:tcPr>
            <w:tcW w:w="5098" w:type="dxa"/>
            <w:tcBorders>
              <w:right w:val="double" w:sz="4" w:space="0" w:color="auto"/>
            </w:tcBorders>
            <w:shd w:val="clear" w:color="000000" w:fill="auto"/>
            <w:noWrap/>
            <w:vAlign w:val="center"/>
            <w:hideMark/>
          </w:tcPr>
          <w:p w:rsidR="00AD1939" w:rsidRPr="00AD1939" w:rsidRDefault="00AD1939" w:rsidP="00AD1939">
            <w:pPr>
              <w:spacing w:after="0"/>
              <w:ind w:firstLine="0"/>
              <w:jc w:val="left"/>
              <w:rPr>
                <w:rFonts w:ascii="Arial Narrow" w:hAnsi="Arial Narrow"/>
                <w:bCs/>
                <w:color w:val="000000"/>
              </w:rPr>
            </w:pPr>
            <w:r w:rsidRPr="00AD1939">
              <w:rPr>
                <w:rFonts w:ascii="Arial Narrow" w:hAnsi="Arial Narrow"/>
                <w:bCs/>
                <w:color w:val="000000"/>
              </w:rPr>
              <w:t>Troškovi postupka (u kn)</w:t>
            </w:r>
          </w:p>
        </w:tc>
        <w:tc>
          <w:tcPr>
            <w:tcW w:w="1416" w:type="dxa"/>
            <w:gridSpan w:val="2"/>
            <w:tcBorders>
              <w:left w:val="double" w:sz="4" w:space="0" w:color="auto"/>
            </w:tcBorders>
            <w:shd w:val="clear" w:color="auto" w:fill="auto"/>
            <w:noWrap/>
            <w:vAlign w:val="center"/>
          </w:tcPr>
          <w:p w:rsidR="00AD1939" w:rsidRPr="00AD1939" w:rsidRDefault="00613272" w:rsidP="00613272">
            <w:pPr>
              <w:spacing w:after="0"/>
              <w:ind w:firstLine="0"/>
              <w:jc w:val="center"/>
              <w:rPr>
                <w:rFonts w:ascii="Arial Narrow" w:hAnsi="Arial Narrow"/>
                <w:bCs/>
                <w:color w:val="000000"/>
              </w:rPr>
            </w:pPr>
            <w:r>
              <w:rPr>
                <w:rFonts w:ascii="Arial Narrow" w:hAnsi="Arial Narrow"/>
                <w:bCs/>
                <w:color w:val="000000"/>
              </w:rPr>
              <w:t>15</w:t>
            </w:r>
          </w:p>
        </w:tc>
        <w:tc>
          <w:tcPr>
            <w:tcW w:w="1220" w:type="dxa"/>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237.426</w:t>
            </w:r>
          </w:p>
        </w:tc>
        <w:tc>
          <w:tcPr>
            <w:tcW w:w="1220"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14.139.184</w:t>
            </w:r>
          </w:p>
        </w:tc>
        <w:tc>
          <w:tcPr>
            <w:tcW w:w="1242"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3.341.905</w:t>
            </w:r>
          </w:p>
        </w:tc>
      </w:tr>
      <w:tr w:rsidR="00AD1939" w:rsidRPr="00AD1939" w:rsidTr="00613272">
        <w:trPr>
          <w:trHeight w:val="64"/>
          <w:jc w:val="center"/>
        </w:trPr>
        <w:tc>
          <w:tcPr>
            <w:tcW w:w="5098" w:type="dxa"/>
            <w:tcBorders>
              <w:right w:val="double" w:sz="4" w:space="0" w:color="auto"/>
            </w:tcBorders>
            <w:shd w:val="clear" w:color="000000" w:fill="auto"/>
            <w:vAlign w:val="center"/>
            <w:hideMark/>
          </w:tcPr>
          <w:p w:rsidR="00AD1939" w:rsidRPr="00AD1939" w:rsidRDefault="00613272" w:rsidP="00AD1939">
            <w:pPr>
              <w:spacing w:after="0"/>
              <w:ind w:firstLine="0"/>
              <w:jc w:val="left"/>
              <w:rPr>
                <w:rFonts w:ascii="Arial Narrow" w:hAnsi="Arial Narrow"/>
                <w:bCs/>
                <w:color w:val="000000"/>
              </w:rPr>
            </w:pPr>
            <w:r>
              <w:rPr>
                <w:rFonts w:ascii="Arial Narrow" w:hAnsi="Arial Narrow"/>
                <w:bCs/>
                <w:color w:val="000000"/>
              </w:rPr>
              <w:t>Razina</w:t>
            </w:r>
            <w:r w:rsidR="00AD1939" w:rsidRPr="00AD1939">
              <w:rPr>
                <w:rFonts w:ascii="Arial Narrow" w:hAnsi="Arial Narrow"/>
                <w:bCs/>
                <w:color w:val="000000"/>
              </w:rPr>
              <w:t xml:space="preserve"> namirenja vjerovnika 1. reda</w:t>
            </w:r>
          </w:p>
        </w:tc>
        <w:tc>
          <w:tcPr>
            <w:tcW w:w="1416" w:type="dxa"/>
            <w:gridSpan w:val="2"/>
            <w:tcBorders>
              <w:left w:val="double" w:sz="4" w:space="0" w:color="auto"/>
            </w:tcBorders>
            <w:shd w:val="clear" w:color="auto" w:fill="auto"/>
            <w:noWrap/>
            <w:vAlign w:val="center"/>
          </w:tcPr>
          <w:p w:rsidR="00AD1939" w:rsidRPr="00AD1939" w:rsidRDefault="00613272" w:rsidP="00613272">
            <w:pPr>
              <w:spacing w:after="0"/>
              <w:ind w:firstLine="0"/>
              <w:jc w:val="center"/>
              <w:rPr>
                <w:rFonts w:ascii="Arial Narrow" w:hAnsi="Arial Narrow"/>
                <w:bCs/>
                <w:color w:val="000000"/>
              </w:rPr>
            </w:pPr>
            <w:r>
              <w:rPr>
                <w:rFonts w:ascii="Arial Narrow" w:hAnsi="Arial Narrow"/>
                <w:bCs/>
                <w:color w:val="000000"/>
              </w:rPr>
              <w:t>20</w:t>
            </w:r>
          </w:p>
        </w:tc>
        <w:tc>
          <w:tcPr>
            <w:tcW w:w="1220" w:type="dxa"/>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0,00%</w:t>
            </w:r>
          </w:p>
        </w:tc>
        <w:tc>
          <w:tcPr>
            <w:tcW w:w="1220"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100,00%</w:t>
            </w:r>
          </w:p>
        </w:tc>
        <w:tc>
          <w:tcPr>
            <w:tcW w:w="1242"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51,37%</w:t>
            </w:r>
          </w:p>
        </w:tc>
      </w:tr>
      <w:tr w:rsidR="00AD1939" w:rsidRPr="00AD1939" w:rsidTr="00613272">
        <w:trPr>
          <w:trHeight w:val="64"/>
          <w:jc w:val="center"/>
        </w:trPr>
        <w:tc>
          <w:tcPr>
            <w:tcW w:w="5098" w:type="dxa"/>
            <w:tcBorders>
              <w:right w:val="double" w:sz="4" w:space="0" w:color="auto"/>
            </w:tcBorders>
            <w:shd w:val="clear" w:color="000000" w:fill="auto"/>
            <w:vAlign w:val="center"/>
            <w:hideMark/>
          </w:tcPr>
          <w:p w:rsidR="00AD1939" w:rsidRPr="00AD1939" w:rsidRDefault="00613272" w:rsidP="00AD1939">
            <w:pPr>
              <w:spacing w:after="0"/>
              <w:ind w:firstLine="0"/>
              <w:jc w:val="left"/>
              <w:rPr>
                <w:rFonts w:ascii="Arial Narrow" w:hAnsi="Arial Narrow"/>
                <w:bCs/>
                <w:color w:val="000000"/>
              </w:rPr>
            </w:pPr>
            <w:r>
              <w:rPr>
                <w:rFonts w:ascii="Arial Narrow" w:hAnsi="Arial Narrow"/>
                <w:bCs/>
                <w:color w:val="000000"/>
              </w:rPr>
              <w:t>Razina</w:t>
            </w:r>
            <w:r w:rsidRPr="00AD1939">
              <w:rPr>
                <w:rFonts w:ascii="Arial Narrow" w:hAnsi="Arial Narrow"/>
                <w:bCs/>
                <w:color w:val="000000"/>
              </w:rPr>
              <w:t xml:space="preserve"> </w:t>
            </w:r>
            <w:r w:rsidR="00AD1939" w:rsidRPr="00AD1939">
              <w:rPr>
                <w:rFonts w:ascii="Arial Narrow" w:hAnsi="Arial Narrow"/>
                <w:bCs/>
                <w:color w:val="000000"/>
              </w:rPr>
              <w:t>namirenja vjerovnika 2. reda</w:t>
            </w:r>
          </w:p>
        </w:tc>
        <w:tc>
          <w:tcPr>
            <w:tcW w:w="1416" w:type="dxa"/>
            <w:gridSpan w:val="2"/>
            <w:tcBorders>
              <w:left w:val="double" w:sz="4" w:space="0" w:color="auto"/>
            </w:tcBorders>
            <w:shd w:val="clear" w:color="auto" w:fill="auto"/>
            <w:noWrap/>
            <w:vAlign w:val="center"/>
          </w:tcPr>
          <w:p w:rsidR="00AD1939" w:rsidRPr="00AD1939" w:rsidRDefault="00613272" w:rsidP="00613272">
            <w:pPr>
              <w:spacing w:after="0"/>
              <w:ind w:firstLine="0"/>
              <w:jc w:val="center"/>
              <w:rPr>
                <w:rFonts w:ascii="Arial Narrow" w:hAnsi="Arial Narrow"/>
                <w:bCs/>
                <w:color w:val="000000"/>
              </w:rPr>
            </w:pPr>
            <w:r>
              <w:rPr>
                <w:rFonts w:ascii="Arial Narrow" w:hAnsi="Arial Narrow"/>
                <w:bCs/>
                <w:color w:val="000000"/>
              </w:rPr>
              <w:t>18</w:t>
            </w:r>
          </w:p>
        </w:tc>
        <w:tc>
          <w:tcPr>
            <w:tcW w:w="1220" w:type="dxa"/>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0,00%</w:t>
            </w:r>
          </w:p>
        </w:tc>
        <w:tc>
          <w:tcPr>
            <w:tcW w:w="1220"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100,00%</w:t>
            </w:r>
          </w:p>
        </w:tc>
        <w:tc>
          <w:tcPr>
            <w:tcW w:w="1242" w:type="dxa"/>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32,83%</w:t>
            </w:r>
          </w:p>
        </w:tc>
      </w:tr>
      <w:tr w:rsidR="00AD1939" w:rsidRPr="00AD1939" w:rsidTr="00613272">
        <w:trPr>
          <w:trHeight w:val="64"/>
          <w:jc w:val="center"/>
        </w:trPr>
        <w:tc>
          <w:tcPr>
            <w:tcW w:w="5098" w:type="dxa"/>
            <w:tcBorders>
              <w:bottom w:val="double" w:sz="4" w:space="0" w:color="auto"/>
              <w:right w:val="double" w:sz="4" w:space="0" w:color="auto"/>
            </w:tcBorders>
            <w:shd w:val="clear" w:color="000000" w:fill="auto"/>
            <w:vAlign w:val="center"/>
            <w:hideMark/>
          </w:tcPr>
          <w:p w:rsidR="00AD1939" w:rsidRPr="00AD1939" w:rsidRDefault="00613272" w:rsidP="00AD1939">
            <w:pPr>
              <w:spacing w:after="0"/>
              <w:ind w:firstLine="0"/>
              <w:jc w:val="left"/>
              <w:rPr>
                <w:rFonts w:ascii="Arial Narrow" w:hAnsi="Arial Narrow"/>
                <w:bCs/>
                <w:color w:val="000000"/>
              </w:rPr>
            </w:pPr>
            <w:r>
              <w:rPr>
                <w:rFonts w:ascii="Arial Narrow" w:hAnsi="Arial Narrow"/>
                <w:bCs/>
                <w:color w:val="000000"/>
              </w:rPr>
              <w:t>Razina</w:t>
            </w:r>
            <w:r w:rsidRPr="00AD1939">
              <w:rPr>
                <w:rFonts w:ascii="Arial Narrow" w:hAnsi="Arial Narrow"/>
                <w:bCs/>
                <w:color w:val="000000"/>
              </w:rPr>
              <w:t xml:space="preserve"> </w:t>
            </w:r>
            <w:r w:rsidR="00AD1939" w:rsidRPr="00AD1939">
              <w:rPr>
                <w:rFonts w:ascii="Arial Narrow" w:hAnsi="Arial Narrow"/>
                <w:bCs/>
                <w:color w:val="000000"/>
              </w:rPr>
              <w:t>namirenja vjerovnika 3. reda</w:t>
            </w:r>
          </w:p>
        </w:tc>
        <w:tc>
          <w:tcPr>
            <w:tcW w:w="1416" w:type="dxa"/>
            <w:gridSpan w:val="2"/>
            <w:tcBorders>
              <w:left w:val="double" w:sz="4" w:space="0" w:color="auto"/>
              <w:bottom w:val="double" w:sz="4" w:space="0" w:color="auto"/>
            </w:tcBorders>
            <w:shd w:val="clear" w:color="auto" w:fill="auto"/>
            <w:noWrap/>
            <w:vAlign w:val="center"/>
          </w:tcPr>
          <w:p w:rsidR="00AD1939" w:rsidRPr="00AD1939" w:rsidRDefault="00613272" w:rsidP="00613272">
            <w:pPr>
              <w:spacing w:after="0"/>
              <w:ind w:firstLine="0"/>
              <w:jc w:val="center"/>
              <w:rPr>
                <w:rFonts w:ascii="Arial Narrow" w:hAnsi="Arial Narrow"/>
                <w:bCs/>
                <w:color w:val="000000"/>
              </w:rPr>
            </w:pPr>
            <w:r>
              <w:rPr>
                <w:rFonts w:ascii="Arial Narrow" w:hAnsi="Arial Narrow"/>
                <w:bCs/>
                <w:color w:val="000000"/>
              </w:rPr>
              <w:t>16</w:t>
            </w:r>
          </w:p>
        </w:tc>
        <w:tc>
          <w:tcPr>
            <w:tcW w:w="1220" w:type="dxa"/>
            <w:tcBorders>
              <w:bottom w:val="double" w:sz="4" w:space="0" w:color="auto"/>
            </w:tcBorders>
            <w:vAlign w:val="center"/>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0,00%</w:t>
            </w:r>
          </w:p>
        </w:tc>
        <w:tc>
          <w:tcPr>
            <w:tcW w:w="1220" w:type="dxa"/>
            <w:tcBorders>
              <w:bottom w:val="double" w:sz="4" w:space="0" w:color="auto"/>
            </w:tcBorders>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100,00%</w:t>
            </w:r>
          </w:p>
        </w:tc>
        <w:tc>
          <w:tcPr>
            <w:tcW w:w="1242" w:type="dxa"/>
            <w:tcBorders>
              <w:bottom w:val="double" w:sz="4" w:space="0" w:color="auto"/>
            </w:tcBorders>
            <w:shd w:val="clear" w:color="auto" w:fill="auto"/>
            <w:noWrap/>
            <w:vAlign w:val="center"/>
            <w:hideMark/>
          </w:tcPr>
          <w:p w:rsidR="00AD1939" w:rsidRPr="00AD1939" w:rsidRDefault="00AD1939" w:rsidP="00613272">
            <w:pPr>
              <w:spacing w:after="0"/>
              <w:ind w:firstLine="0"/>
              <w:jc w:val="center"/>
              <w:rPr>
                <w:rFonts w:ascii="Arial Narrow" w:hAnsi="Arial Narrow"/>
                <w:bCs/>
                <w:color w:val="000000"/>
              </w:rPr>
            </w:pPr>
            <w:r w:rsidRPr="00AD1939">
              <w:rPr>
                <w:rFonts w:ascii="Arial Narrow" w:hAnsi="Arial Narrow"/>
                <w:bCs/>
                <w:color w:val="000000"/>
              </w:rPr>
              <w:t>22,75%</w:t>
            </w:r>
          </w:p>
        </w:tc>
      </w:tr>
      <w:tr w:rsidR="00AD1939" w:rsidRPr="00AD1939" w:rsidTr="00613272">
        <w:trPr>
          <w:trHeight w:val="412"/>
          <w:jc w:val="center"/>
        </w:trPr>
        <w:tc>
          <w:tcPr>
            <w:tcW w:w="10196" w:type="dxa"/>
            <w:gridSpan w:val="6"/>
            <w:tcBorders>
              <w:top w:val="double" w:sz="4" w:space="0" w:color="auto"/>
            </w:tcBorders>
            <w:shd w:val="clear" w:color="000000" w:fill="auto"/>
            <w:vAlign w:val="center"/>
          </w:tcPr>
          <w:p w:rsidR="00AD1939" w:rsidRPr="00AD1939" w:rsidRDefault="00AD1939" w:rsidP="00613272">
            <w:pPr>
              <w:spacing w:after="0"/>
              <w:ind w:firstLine="0"/>
              <w:jc w:val="center"/>
              <w:rPr>
                <w:rFonts w:ascii="Arial Narrow" w:hAnsi="Arial Narrow"/>
                <w:b/>
                <w:bCs/>
                <w:color w:val="000000"/>
              </w:rPr>
            </w:pPr>
            <w:r w:rsidRPr="00AD1939">
              <w:rPr>
                <w:rFonts w:ascii="Arial Narrow" w:hAnsi="Arial Narrow"/>
                <w:b/>
                <w:bCs/>
                <w:color w:val="000000"/>
              </w:rPr>
              <w:t xml:space="preserve">Sumarni pokazatelji </w:t>
            </w:r>
            <w:r w:rsidRPr="00613272">
              <w:rPr>
                <w:rFonts w:ascii="Arial Narrow" w:hAnsi="Arial Narrow"/>
                <w:bCs/>
                <w:color w:val="000000"/>
              </w:rPr>
              <w:t>(ukupni iznosi svih društava u uzorku)</w:t>
            </w:r>
          </w:p>
        </w:tc>
      </w:tr>
      <w:tr w:rsidR="00AD1939" w:rsidRPr="00AD1939" w:rsidTr="006A4E97">
        <w:trPr>
          <w:trHeight w:val="64"/>
          <w:jc w:val="center"/>
        </w:trPr>
        <w:tc>
          <w:tcPr>
            <w:tcW w:w="6487" w:type="dxa"/>
            <w:gridSpan w:val="2"/>
            <w:shd w:val="clear" w:color="000000" w:fill="auto"/>
            <w:vAlign w:val="center"/>
          </w:tcPr>
          <w:p w:rsidR="00AD1939" w:rsidRPr="00AD1939" w:rsidRDefault="00AD1939" w:rsidP="00AD1939">
            <w:pPr>
              <w:spacing w:after="0"/>
              <w:ind w:firstLine="0"/>
              <w:rPr>
                <w:rFonts w:ascii="Arial Narrow" w:hAnsi="Arial Narrow"/>
                <w:bCs/>
                <w:color w:val="000000"/>
              </w:rPr>
            </w:pPr>
            <w:r w:rsidRPr="00AD1939">
              <w:rPr>
                <w:rFonts w:ascii="Arial Narrow" w:hAnsi="Arial Narrow"/>
                <w:bCs/>
                <w:color w:val="000000"/>
              </w:rPr>
              <w:t>Knjigovodstvena vrijednost imovine u vrijeme otvaranja stečaja (u kn)</w:t>
            </w:r>
          </w:p>
        </w:tc>
        <w:tc>
          <w:tcPr>
            <w:tcW w:w="3709" w:type="dxa"/>
            <w:gridSpan w:val="4"/>
          </w:tcPr>
          <w:p w:rsidR="00AD1939" w:rsidRPr="00AD1939" w:rsidRDefault="00AD1939" w:rsidP="00AD1939">
            <w:pPr>
              <w:spacing w:after="0"/>
              <w:ind w:firstLine="0"/>
              <w:jc w:val="center"/>
              <w:rPr>
                <w:rFonts w:ascii="Arial Narrow" w:hAnsi="Arial Narrow"/>
                <w:bCs/>
                <w:color w:val="000000"/>
              </w:rPr>
            </w:pPr>
            <w:r w:rsidRPr="00AD1939">
              <w:rPr>
                <w:rFonts w:ascii="Arial Narrow" w:hAnsi="Arial Narrow"/>
                <w:bCs/>
                <w:color w:val="000000"/>
              </w:rPr>
              <w:t>1.014.996.315</w:t>
            </w:r>
          </w:p>
        </w:tc>
      </w:tr>
      <w:tr w:rsidR="00AD1939" w:rsidRPr="00AD1939" w:rsidTr="00996F24">
        <w:trPr>
          <w:trHeight w:val="64"/>
          <w:jc w:val="center"/>
        </w:trPr>
        <w:tc>
          <w:tcPr>
            <w:tcW w:w="6487" w:type="dxa"/>
            <w:gridSpan w:val="2"/>
            <w:shd w:val="clear" w:color="000000" w:fill="auto"/>
            <w:vAlign w:val="center"/>
          </w:tcPr>
          <w:p w:rsidR="00AD1939" w:rsidRPr="00AD1939" w:rsidRDefault="00AD1939" w:rsidP="00AD1939">
            <w:pPr>
              <w:spacing w:after="0"/>
              <w:ind w:firstLine="0"/>
              <w:rPr>
                <w:rFonts w:ascii="Arial Narrow" w:hAnsi="Arial Narrow"/>
                <w:bCs/>
                <w:color w:val="000000"/>
              </w:rPr>
            </w:pPr>
            <w:r w:rsidRPr="00AD1939">
              <w:rPr>
                <w:rFonts w:ascii="Arial Narrow" w:hAnsi="Arial Narrow"/>
                <w:bCs/>
                <w:color w:val="000000"/>
              </w:rPr>
              <w:t>Stečajna masa (u kn)</w:t>
            </w:r>
          </w:p>
        </w:tc>
        <w:tc>
          <w:tcPr>
            <w:tcW w:w="3709" w:type="dxa"/>
            <w:gridSpan w:val="4"/>
          </w:tcPr>
          <w:p w:rsidR="00AD1939" w:rsidRPr="00AD1939" w:rsidRDefault="00AD1939" w:rsidP="00AD1939">
            <w:pPr>
              <w:spacing w:after="0"/>
              <w:ind w:firstLine="0"/>
              <w:jc w:val="center"/>
              <w:rPr>
                <w:rFonts w:ascii="Arial Narrow" w:hAnsi="Arial Narrow"/>
                <w:bCs/>
                <w:color w:val="000000"/>
              </w:rPr>
            </w:pPr>
            <w:r w:rsidRPr="00AD1939">
              <w:rPr>
                <w:rFonts w:ascii="Arial Narrow" w:hAnsi="Arial Narrow"/>
                <w:bCs/>
                <w:color w:val="000000"/>
              </w:rPr>
              <w:t>653.257.348</w:t>
            </w:r>
          </w:p>
        </w:tc>
      </w:tr>
      <w:tr w:rsidR="00AD1939" w:rsidRPr="00AD1939" w:rsidTr="00031CAE">
        <w:trPr>
          <w:trHeight w:val="64"/>
          <w:jc w:val="center"/>
        </w:trPr>
        <w:tc>
          <w:tcPr>
            <w:tcW w:w="6487" w:type="dxa"/>
            <w:gridSpan w:val="2"/>
            <w:shd w:val="clear" w:color="000000" w:fill="auto"/>
            <w:vAlign w:val="center"/>
          </w:tcPr>
          <w:p w:rsidR="00AD1939" w:rsidRPr="00AD1939" w:rsidRDefault="00AD1939" w:rsidP="00AD1939">
            <w:pPr>
              <w:spacing w:after="0"/>
              <w:ind w:firstLine="0"/>
              <w:rPr>
                <w:rFonts w:ascii="Arial Narrow" w:hAnsi="Arial Narrow"/>
                <w:bCs/>
                <w:color w:val="000000"/>
              </w:rPr>
            </w:pPr>
            <w:r w:rsidRPr="00AD1939">
              <w:rPr>
                <w:rFonts w:ascii="Arial Narrow" w:hAnsi="Arial Narrow"/>
                <w:bCs/>
                <w:color w:val="000000"/>
              </w:rPr>
              <w:t>Iznos prijavljenih potraživanja (u kn)</w:t>
            </w:r>
          </w:p>
        </w:tc>
        <w:tc>
          <w:tcPr>
            <w:tcW w:w="3709" w:type="dxa"/>
            <w:gridSpan w:val="4"/>
          </w:tcPr>
          <w:p w:rsidR="00AD1939" w:rsidRPr="00AD1939" w:rsidRDefault="00AD1939" w:rsidP="00AD1939">
            <w:pPr>
              <w:spacing w:after="0"/>
              <w:ind w:firstLine="0"/>
              <w:jc w:val="center"/>
              <w:rPr>
                <w:rFonts w:ascii="Arial Narrow" w:hAnsi="Arial Narrow"/>
                <w:bCs/>
                <w:color w:val="000000"/>
              </w:rPr>
            </w:pPr>
            <w:r w:rsidRPr="00AD1939">
              <w:rPr>
                <w:rFonts w:ascii="Arial Narrow" w:hAnsi="Arial Narrow"/>
                <w:bCs/>
                <w:color w:val="000000"/>
              </w:rPr>
              <w:t>910.896.670</w:t>
            </w:r>
          </w:p>
        </w:tc>
      </w:tr>
      <w:tr w:rsidR="00AD1939" w:rsidRPr="00AD1939" w:rsidTr="00AD1939">
        <w:trPr>
          <w:trHeight w:val="64"/>
          <w:jc w:val="center"/>
        </w:trPr>
        <w:tc>
          <w:tcPr>
            <w:tcW w:w="6487" w:type="dxa"/>
            <w:gridSpan w:val="2"/>
            <w:tcBorders>
              <w:bottom w:val="double" w:sz="4" w:space="0" w:color="auto"/>
            </w:tcBorders>
            <w:shd w:val="clear" w:color="000000" w:fill="auto"/>
            <w:vAlign w:val="center"/>
          </w:tcPr>
          <w:p w:rsidR="00AD1939" w:rsidRPr="00AD1939" w:rsidRDefault="00AD1939" w:rsidP="00AD1939">
            <w:pPr>
              <w:spacing w:after="0"/>
              <w:ind w:firstLine="0"/>
              <w:rPr>
                <w:rFonts w:ascii="Arial Narrow" w:hAnsi="Arial Narrow"/>
                <w:bCs/>
                <w:color w:val="000000"/>
              </w:rPr>
            </w:pPr>
            <w:r w:rsidRPr="00AD1939">
              <w:rPr>
                <w:rFonts w:ascii="Arial Narrow" w:hAnsi="Arial Narrow"/>
                <w:bCs/>
                <w:color w:val="000000"/>
              </w:rPr>
              <w:t>Broj zaposlenih kod dužnika prije otvaranja stečaja</w:t>
            </w:r>
          </w:p>
        </w:tc>
        <w:tc>
          <w:tcPr>
            <w:tcW w:w="3709" w:type="dxa"/>
            <w:gridSpan w:val="4"/>
            <w:tcBorders>
              <w:bottom w:val="double" w:sz="4" w:space="0" w:color="auto"/>
            </w:tcBorders>
          </w:tcPr>
          <w:p w:rsidR="00AD1939" w:rsidRPr="00AD1939" w:rsidRDefault="00AD1939" w:rsidP="00AD1939">
            <w:pPr>
              <w:spacing w:after="0"/>
              <w:ind w:firstLine="0"/>
              <w:jc w:val="center"/>
              <w:rPr>
                <w:rFonts w:ascii="Arial Narrow" w:hAnsi="Arial Narrow"/>
                <w:bCs/>
                <w:color w:val="000000"/>
              </w:rPr>
            </w:pPr>
            <w:r w:rsidRPr="00AD1939">
              <w:rPr>
                <w:rFonts w:ascii="Arial Narrow" w:hAnsi="Arial Narrow"/>
                <w:bCs/>
                <w:color w:val="000000"/>
              </w:rPr>
              <w:t>2.212</w:t>
            </w:r>
          </w:p>
        </w:tc>
      </w:tr>
      <w:tr w:rsidR="00AD1939" w:rsidRPr="00AD1939" w:rsidTr="00AD1939">
        <w:trPr>
          <w:trHeight w:val="64"/>
          <w:jc w:val="center"/>
        </w:trPr>
        <w:tc>
          <w:tcPr>
            <w:tcW w:w="10196" w:type="dxa"/>
            <w:gridSpan w:val="6"/>
            <w:tcBorders>
              <w:top w:val="double" w:sz="4" w:space="0" w:color="auto"/>
            </w:tcBorders>
            <w:shd w:val="clear" w:color="000000" w:fill="auto"/>
            <w:vAlign w:val="center"/>
          </w:tcPr>
          <w:p w:rsidR="00AD1939" w:rsidRPr="00AD1939" w:rsidRDefault="00AD1939" w:rsidP="00A46B47">
            <w:pPr>
              <w:spacing w:after="0"/>
              <w:ind w:firstLine="0"/>
              <w:jc w:val="left"/>
              <w:rPr>
                <w:rFonts w:ascii="Arial Narrow" w:hAnsi="Arial Narrow"/>
                <w:bCs/>
                <w:color w:val="000000"/>
              </w:rPr>
            </w:pPr>
            <w:r>
              <w:rPr>
                <w:rFonts w:ascii="Arial Narrow" w:hAnsi="Arial Narrow"/>
                <w:bCs/>
                <w:color w:val="000000"/>
              </w:rPr>
              <w:t xml:space="preserve">* Statistička osnova </w:t>
            </w:r>
            <w:r w:rsidR="00A46B47">
              <w:rPr>
                <w:rFonts w:ascii="Arial Narrow" w:hAnsi="Arial Narrow"/>
                <w:bCs/>
                <w:color w:val="000000"/>
              </w:rPr>
              <w:t>predstavlja</w:t>
            </w:r>
            <w:r>
              <w:rPr>
                <w:rFonts w:ascii="Arial Narrow" w:hAnsi="Arial Narrow"/>
                <w:bCs/>
                <w:color w:val="000000"/>
              </w:rPr>
              <w:t xml:space="preserve"> broj društava </w:t>
            </w:r>
            <w:r w:rsidR="00613272">
              <w:rPr>
                <w:rFonts w:ascii="Arial Narrow" w:hAnsi="Arial Narrow"/>
                <w:bCs/>
                <w:color w:val="000000"/>
              </w:rPr>
              <w:t xml:space="preserve">iz uzorka </w:t>
            </w:r>
            <w:r>
              <w:rPr>
                <w:rFonts w:ascii="Arial Narrow" w:hAnsi="Arial Narrow"/>
                <w:bCs/>
                <w:color w:val="000000"/>
              </w:rPr>
              <w:t>za koje su pribavljeni podaci, odnosno za koje podaci postoje, na temelju kojih su izračunati statistički pokazatelji</w:t>
            </w:r>
            <w:r w:rsidR="00613272">
              <w:rPr>
                <w:rFonts w:ascii="Arial Narrow" w:hAnsi="Arial Narrow"/>
                <w:bCs/>
                <w:color w:val="000000"/>
              </w:rPr>
              <w:t xml:space="preserve"> minimuma, maksimuma i prosjeka, kao i sumarni pokazatelji.</w:t>
            </w:r>
          </w:p>
        </w:tc>
      </w:tr>
    </w:tbl>
    <w:p w:rsidR="005A7A8E" w:rsidRPr="005A7A8E" w:rsidRDefault="005A7A8E" w:rsidP="00E377E6">
      <w:pPr>
        <w:spacing w:line="480" w:lineRule="auto"/>
        <w:rPr>
          <w:rFonts w:ascii="Times New Roman" w:hAnsi="Times New Roman"/>
        </w:rPr>
      </w:pPr>
      <w:r w:rsidRPr="005A7A8E">
        <w:rPr>
          <w:rFonts w:ascii="Times New Roman" w:hAnsi="Times New Roman"/>
        </w:rPr>
        <w:t>Izvor: izračun autora</w:t>
      </w:r>
    </w:p>
    <w:p w:rsidR="005A7A8E" w:rsidRPr="005A7A8E" w:rsidRDefault="005A7A8E" w:rsidP="00E377E6">
      <w:pPr>
        <w:spacing w:line="480" w:lineRule="auto"/>
        <w:rPr>
          <w:rFonts w:ascii="Times New Roman" w:hAnsi="Times New Roman"/>
        </w:rPr>
      </w:pPr>
    </w:p>
    <w:p w:rsidR="005A7A8E" w:rsidRPr="005A7A8E" w:rsidRDefault="005A7A8E" w:rsidP="00E377E6">
      <w:pPr>
        <w:spacing w:line="480" w:lineRule="auto"/>
        <w:rPr>
          <w:rFonts w:ascii="Times New Roman" w:hAnsi="Times New Roman"/>
        </w:rPr>
      </w:pPr>
      <w:r w:rsidRPr="005A7A8E">
        <w:rPr>
          <w:rFonts w:ascii="Times New Roman" w:hAnsi="Times New Roman"/>
        </w:rPr>
        <w:t>Ukupna knjigovodstvena vrijednost imovine dužnika u promatranom uzorku iznosi 1,01 milijardi kuna</w:t>
      </w:r>
      <w:r w:rsidRPr="005A7A8E">
        <w:rPr>
          <w:rStyle w:val="FootnoteReference"/>
          <w:rFonts w:ascii="Times New Roman" w:hAnsi="Times New Roman"/>
        </w:rPr>
        <w:footnoteReference w:id="24"/>
      </w:r>
      <w:r w:rsidRPr="005A7A8E">
        <w:rPr>
          <w:rFonts w:ascii="Times New Roman" w:hAnsi="Times New Roman"/>
        </w:rPr>
        <w:t>. Ukupan broj radnika koji su bili zaposleni u ovim dioničkim društvima iznosi</w:t>
      </w:r>
      <w:r w:rsidR="00343030">
        <w:rPr>
          <w:rFonts w:ascii="Times New Roman" w:hAnsi="Times New Roman"/>
        </w:rPr>
        <w:t>o je</w:t>
      </w:r>
      <w:r w:rsidRPr="005A7A8E">
        <w:rPr>
          <w:rFonts w:ascii="Times New Roman" w:hAnsi="Times New Roman"/>
        </w:rPr>
        <w:t xml:space="preserve"> 2.212, a s obzirom na podatke koji nedostaju broj radnika u uzorku realno nije manji od 2.500. Samo u jednom </w:t>
      </w:r>
      <w:r w:rsidR="00823441">
        <w:rPr>
          <w:rFonts w:ascii="Times New Roman" w:hAnsi="Times New Roman"/>
        </w:rPr>
        <w:t xml:space="preserve">stečajnom </w:t>
      </w:r>
      <w:r w:rsidRPr="005A7A8E">
        <w:rPr>
          <w:rFonts w:ascii="Times New Roman" w:hAnsi="Times New Roman"/>
        </w:rPr>
        <w:t>postupku izvršeno je restrukturiranje, a ostalih 29 dužnika je likvidirano. Restrukturirano je društvo koje je zapošljavalo 110 radnika, što znači da je najmanje 2.400 r</w:t>
      </w:r>
      <w:r w:rsidR="00343030">
        <w:rPr>
          <w:rFonts w:ascii="Times New Roman" w:hAnsi="Times New Roman"/>
        </w:rPr>
        <w:t xml:space="preserve">adnika u uzorku izgubilo posao, </w:t>
      </w:r>
      <w:r w:rsidRPr="005A7A8E">
        <w:rPr>
          <w:rFonts w:ascii="Times New Roman" w:hAnsi="Times New Roman"/>
        </w:rPr>
        <w:t>s obzirom da za 14 društava nije bilo moguće ut</w:t>
      </w:r>
      <w:r w:rsidR="00343030">
        <w:rPr>
          <w:rFonts w:ascii="Times New Roman" w:hAnsi="Times New Roman"/>
        </w:rPr>
        <w:t>vrditi broj radnika kod dužnika</w:t>
      </w:r>
      <w:r w:rsidRPr="005A7A8E">
        <w:rPr>
          <w:rFonts w:ascii="Times New Roman" w:hAnsi="Times New Roman"/>
        </w:rPr>
        <w:t>.</w:t>
      </w:r>
    </w:p>
    <w:p w:rsidR="005A7A8E" w:rsidRPr="005A7A8E" w:rsidRDefault="005A7A8E" w:rsidP="00E377E6">
      <w:pPr>
        <w:spacing w:line="480" w:lineRule="auto"/>
        <w:rPr>
          <w:rFonts w:ascii="Times New Roman" w:hAnsi="Times New Roman"/>
        </w:rPr>
      </w:pPr>
      <w:r w:rsidRPr="005A7A8E">
        <w:rPr>
          <w:rFonts w:ascii="Times New Roman" w:hAnsi="Times New Roman"/>
        </w:rPr>
        <w:lastRenderedPageBreak/>
        <w:t xml:space="preserve">Rezultati </w:t>
      </w:r>
      <w:r w:rsidR="00823441">
        <w:rPr>
          <w:rFonts w:ascii="Times New Roman" w:hAnsi="Times New Roman"/>
        </w:rPr>
        <w:t xml:space="preserve">analize </w:t>
      </w:r>
      <w:r w:rsidRPr="005A7A8E">
        <w:rPr>
          <w:rFonts w:ascii="Times New Roman" w:hAnsi="Times New Roman"/>
        </w:rPr>
        <w:t xml:space="preserve">pokazuju i kako se stečajevi otvaraju izrazito kasno, u prosjeku </w:t>
      </w:r>
      <w:r w:rsidR="00823441">
        <w:rPr>
          <w:rFonts w:ascii="Times New Roman" w:hAnsi="Times New Roman"/>
        </w:rPr>
        <w:t>tri</w:t>
      </w:r>
      <w:r w:rsidRPr="005A7A8E">
        <w:rPr>
          <w:rFonts w:ascii="Times New Roman" w:hAnsi="Times New Roman"/>
        </w:rPr>
        <w:t xml:space="preserve"> godine nakon </w:t>
      </w:r>
      <w:r w:rsidR="00823441">
        <w:rPr>
          <w:rFonts w:ascii="Times New Roman" w:hAnsi="Times New Roman"/>
        </w:rPr>
        <w:t>dana</w:t>
      </w:r>
      <w:r w:rsidRPr="005A7A8E">
        <w:rPr>
          <w:rFonts w:ascii="Times New Roman" w:hAnsi="Times New Roman"/>
        </w:rPr>
        <w:t xml:space="preserve"> blokade računa, što ukazuje na izrazito </w:t>
      </w:r>
      <w:r w:rsidR="00823441">
        <w:rPr>
          <w:rFonts w:ascii="Times New Roman" w:hAnsi="Times New Roman"/>
        </w:rPr>
        <w:t>nepoštivanje SZ koji propisuje otvaranje stečaja nakon šezdeset dana</w:t>
      </w:r>
      <w:r w:rsidRPr="005A7A8E">
        <w:rPr>
          <w:rFonts w:ascii="Times New Roman" w:hAnsi="Times New Roman"/>
        </w:rPr>
        <w:t xml:space="preserve">. U uzorku je i dioničko društvo koje je gotovo </w:t>
      </w:r>
      <w:r w:rsidR="00823441">
        <w:rPr>
          <w:rFonts w:ascii="Times New Roman" w:hAnsi="Times New Roman"/>
        </w:rPr>
        <w:t>deset</w:t>
      </w:r>
      <w:r w:rsidRPr="005A7A8E">
        <w:rPr>
          <w:rFonts w:ascii="Times New Roman" w:hAnsi="Times New Roman"/>
        </w:rPr>
        <w:t xml:space="preserve"> godina bilo insolventno prije otvaranja stečaja. Ovdje leži dio razloga zašto se opstanak dužnika i restrukturiranja u stečaju rijetko izvršavaju; stečaj se najčešće otvara kada svi poslovni potencijali u društvu budu nepovratno uništeni.</w:t>
      </w:r>
      <w:r w:rsidR="00823441">
        <w:rPr>
          <w:rFonts w:ascii="Times New Roman" w:hAnsi="Times New Roman"/>
        </w:rPr>
        <w:t xml:space="preserve"> Premda je navedeno </w:t>
      </w:r>
      <w:r w:rsidR="00A12172">
        <w:rPr>
          <w:rFonts w:ascii="Times New Roman" w:hAnsi="Times New Roman"/>
        </w:rPr>
        <w:t xml:space="preserve">da </w:t>
      </w:r>
      <w:r w:rsidR="00823441">
        <w:rPr>
          <w:rFonts w:ascii="Times New Roman" w:hAnsi="Times New Roman"/>
        </w:rPr>
        <w:t xml:space="preserve">su u uzorak odabirani veći dužnici, minimalan broj zaposlenika prije otvaranja stečaja iznosio je jedan, a to je također zbog </w:t>
      </w:r>
      <w:r w:rsidR="00A85F1C">
        <w:rPr>
          <w:rFonts w:ascii="Times New Roman" w:hAnsi="Times New Roman"/>
        </w:rPr>
        <w:t>pre</w:t>
      </w:r>
      <w:r w:rsidR="00823441">
        <w:rPr>
          <w:rFonts w:ascii="Times New Roman" w:hAnsi="Times New Roman"/>
        </w:rPr>
        <w:t xml:space="preserve">kasnog otvaranja stečaja. Naime, </w:t>
      </w:r>
      <w:r w:rsidR="00F36302">
        <w:rPr>
          <w:rFonts w:ascii="Times New Roman" w:hAnsi="Times New Roman"/>
        </w:rPr>
        <w:t xml:space="preserve">uslijed višegodišnjeg poslovanja pod bremenom </w:t>
      </w:r>
      <w:r w:rsidR="00823441">
        <w:rPr>
          <w:rFonts w:ascii="Times New Roman" w:hAnsi="Times New Roman"/>
        </w:rPr>
        <w:t xml:space="preserve">insolventnosti društva od više stotina zaposlenika svedu se </w:t>
      </w:r>
      <w:r w:rsidR="00F36302">
        <w:rPr>
          <w:rFonts w:ascii="Times New Roman" w:hAnsi="Times New Roman"/>
        </w:rPr>
        <w:t>do</w:t>
      </w:r>
      <w:r w:rsidR="00823441">
        <w:rPr>
          <w:rFonts w:ascii="Times New Roman" w:hAnsi="Times New Roman"/>
        </w:rPr>
        <w:t xml:space="preserve"> otvaranja stečaja na svega nekoliko radnika.</w:t>
      </w:r>
    </w:p>
    <w:p w:rsidR="005A7A8E" w:rsidRPr="005A7A8E" w:rsidRDefault="005A7A8E" w:rsidP="00E377E6">
      <w:pPr>
        <w:spacing w:line="480" w:lineRule="auto"/>
        <w:rPr>
          <w:rFonts w:ascii="Times New Roman" w:hAnsi="Times New Roman"/>
        </w:rPr>
      </w:pPr>
      <w:r w:rsidRPr="005A7A8E">
        <w:rPr>
          <w:rFonts w:ascii="Times New Roman" w:hAnsi="Times New Roman"/>
        </w:rPr>
        <w:t xml:space="preserve">Postupci su u prosjeku trajali 3,7 godina, što je manje od očekivanog s obzirom na to da su ovo veći dužnici, i na već uvriježeno mišljenje </w:t>
      </w:r>
      <w:r w:rsidR="00A85F1C">
        <w:rPr>
          <w:rFonts w:ascii="Times New Roman" w:hAnsi="Times New Roman"/>
        </w:rPr>
        <w:t>da</w:t>
      </w:r>
      <w:r w:rsidRPr="005A7A8E">
        <w:rPr>
          <w:rFonts w:ascii="Times New Roman" w:hAnsi="Times New Roman"/>
        </w:rPr>
        <w:t xml:space="preserve"> stečajevi traju iznimno dugo</w:t>
      </w:r>
      <w:r w:rsidR="002F6C7D">
        <w:rPr>
          <w:rStyle w:val="FootnoteReference"/>
          <w:rFonts w:ascii="Times New Roman" w:hAnsi="Times New Roman"/>
        </w:rPr>
        <w:footnoteReference w:id="25"/>
      </w:r>
      <w:r w:rsidRPr="005A7A8E">
        <w:rPr>
          <w:rFonts w:ascii="Times New Roman" w:hAnsi="Times New Roman"/>
        </w:rPr>
        <w:t xml:space="preserve">. Pritom valja uzeti u obzir da se stečajevi često nastavljaju i nakon zaključenja, nakon što se riješe </w:t>
      </w:r>
      <w:r w:rsidR="00A85F1C">
        <w:rPr>
          <w:rFonts w:ascii="Times New Roman" w:hAnsi="Times New Roman"/>
        </w:rPr>
        <w:t xml:space="preserve">sudski </w:t>
      </w:r>
      <w:r w:rsidRPr="005A7A8E">
        <w:rPr>
          <w:rFonts w:ascii="Times New Roman" w:hAnsi="Times New Roman"/>
        </w:rPr>
        <w:t xml:space="preserve">sporovi i nakon što naknadno bude unovčena </w:t>
      </w:r>
      <w:r w:rsidR="00A85F1C">
        <w:rPr>
          <w:rFonts w:ascii="Times New Roman" w:hAnsi="Times New Roman"/>
        </w:rPr>
        <w:t>raspoloživa</w:t>
      </w:r>
      <w:r w:rsidRPr="005A7A8E">
        <w:rPr>
          <w:rFonts w:ascii="Times New Roman" w:hAnsi="Times New Roman"/>
        </w:rPr>
        <w:t xml:space="preserve"> imovina dužnika. U uzorku postoje primjeri u kojima se stečajni postupak vodi i </w:t>
      </w:r>
      <w:r w:rsidR="00A85F1C">
        <w:rPr>
          <w:rFonts w:ascii="Times New Roman" w:hAnsi="Times New Roman"/>
        </w:rPr>
        <w:t>pet</w:t>
      </w:r>
      <w:r w:rsidRPr="005A7A8E">
        <w:rPr>
          <w:rFonts w:ascii="Times New Roman" w:hAnsi="Times New Roman"/>
        </w:rPr>
        <w:t xml:space="preserve"> godina nakon zaključenja.</w:t>
      </w:r>
    </w:p>
    <w:p w:rsidR="005A7A8E" w:rsidRPr="005A7A8E" w:rsidRDefault="00A85F1C" w:rsidP="00E377E6">
      <w:pPr>
        <w:spacing w:line="480" w:lineRule="auto"/>
        <w:rPr>
          <w:rFonts w:ascii="Times New Roman" w:hAnsi="Times New Roman"/>
        </w:rPr>
      </w:pPr>
      <w:r>
        <w:rPr>
          <w:rFonts w:ascii="Times New Roman" w:hAnsi="Times New Roman"/>
        </w:rPr>
        <w:t xml:space="preserve">Postoji izrazita disproporcija u pogledu razine namirenja tražbina vjerovnika pa se može reći da je doista svaki stečaj predmet za sebe sa specifičnim karakteristikama. U osam slučajeva prvi se red vjerovnika namirio u </w:t>
      </w:r>
      <w:r w:rsidR="00A12172">
        <w:rPr>
          <w:rFonts w:ascii="Times New Roman" w:hAnsi="Times New Roman"/>
        </w:rPr>
        <w:t>sto</w:t>
      </w:r>
      <w:r>
        <w:rPr>
          <w:rFonts w:ascii="Times New Roman" w:hAnsi="Times New Roman"/>
        </w:rPr>
        <w:t xml:space="preserve">postotnom iznosu, u šest slučajeva drugi je red vjerovnika namiren u </w:t>
      </w:r>
      <w:r w:rsidR="00A12172">
        <w:rPr>
          <w:rFonts w:ascii="Times New Roman" w:hAnsi="Times New Roman"/>
        </w:rPr>
        <w:t>sto</w:t>
      </w:r>
      <w:r>
        <w:rPr>
          <w:rFonts w:ascii="Times New Roman" w:hAnsi="Times New Roman"/>
        </w:rPr>
        <w:t xml:space="preserve">postotnom iznosu, dok se u tri slučaja i treći red vjerovnika također namirio u </w:t>
      </w:r>
      <w:r w:rsidR="00A12172">
        <w:rPr>
          <w:rFonts w:ascii="Times New Roman" w:hAnsi="Times New Roman"/>
        </w:rPr>
        <w:t>sto</w:t>
      </w:r>
      <w:r>
        <w:rPr>
          <w:rFonts w:ascii="Times New Roman" w:hAnsi="Times New Roman"/>
        </w:rPr>
        <w:t>postotnom iznosu. S druge strane, u četiri slučaja vjerovnici prvog reda uopće nisu namireni (tj. iznos namirenja je 0%), u jedanaest slučajeva vjerovnici drugog reda uopće nisu namireni, dok vjerovnici trećeg reda uopće nisu namireni u trinaest slučajeva</w:t>
      </w:r>
      <w:r>
        <w:rPr>
          <w:rStyle w:val="Sidrofusnote"/>
          <w:rFonts w:ascii="Times New Roman" w:hAnsi="Times New Roman"/>
        </w:rPr>
        <w:footnoteReference w:id="26"/>
      </w:r>
      <w:r>
        <w:rPr>
          <w:rFonts w:ascii="Times New Roman" w:hAnsi="Times New Roman"/>
        </w:rPr>
        <w:t>.</w:t>
      </w:r>
      <w:r w:rsidR="005A7A8E" w:rsidRPr="005A7A8E">
        <w:rPr>
          <w:rFonts w:ascii="Times New Roman" w:hAnsi="Times New Roman"/>
        </w:rPr>
        <w:t xml:space="preserve"> </w:t>
      </w:r>
    </w:p>
    <w:p w:rsidR="005A7A8E" w:rsidRPr="005A7A8E" w:rsidRDefault="005A7A8E" w:rsidP="00E377E6">
      <w:pPr>
        <w:spacing w:line="480" w:lineRule="auto"/>
        <w:rPr>
          <w:rFonts w:ascii="Times New Roman" w:hAnsi="Times New Roman"/>
        </w:rPr>
      </w:pPr>
      <w:r w:rsidRPr="005A7A8E">
        <w:rPr>
          <w:rFonts w:ascii="Times New Roman" w:hAnsi="Times New Roman"/>
        </w:rPr>
        <w:lastRenderedPageBreak/>
        <w:t>U istraživanju su uočene pojave koje su u koliziji s opć</w:t>
      </w:r>
      <w:r w:rsidR="00E377E6">
        <w:rPr>
          <w:rFonts w:ascii="Times New Roman" w:hAnsi="Times New Roman"/>
        </w:rPr>
        <w:t xml:space="preserve">im ciljevima stečajnog postupka. Neke od njih </w:t>
      </w:r>
      <w:r w:rsidR="00F36302">
        <w:rPr>
          <w:rFonts w:ascii="Times New Roman" w:hAnsi="Times New Roman"/>
        </w:rPr>
        <w:t>izdvojene su u sljedećim odlomcima.</w:t>
      </w:r>
    </w:p>
    <w:p w:rsidR="005A7A8E" w:rsidRPr="005A7A8E" w:rsidRDefault="005A7A8E" w:rsidP="00F36302">
      <w:pPr>
        <w:spacing w:after="0" w:line="480" w:lineRule="auto"/>
        <w:ind w:firstLine="851"/>
        <w:rPr>
          <w:rFonts w:ascii="Times New Roman" w:hAnsi="Times New Roman"/>
        </w:rPr>
      </w:pPr>
      <w:r w:rsidRPr="005A7A8E">
        <w:rPr>
          <w:rFonts w:ascii="Times New Roman" w:hAnsi="Times New Roman"/>
        </w:rPr>
        <w:t>Kod stečajnog dužnika koji je imao 109,51 mil</w:t>
      </w:r>
      <w:r w:rsidR="00A85F1C">
        <w:rPr>
          <w:rFonts w:ascii="Times New Roman" w:hAnsi="Times New Roman"/>
        </w:rPr>
        <w:t>ijuna</w:t>
      </w:r>
      <w:r w:rsidRPr="005A7A8E">
        <w:rPr>
          <w:rFonts w:ascii="Times New Roman" w:hAnsi="Times New Roman"/>
        </w:rPr>
        <w:t xml:space="preserve"> k</w:t>
      </w:r>
      <w:r w:rsidR="00A85F1C">
        <w:rPr>
          <w:rFonts w:ascii="Times New Roman" w:hAnsi="Times New Roman"/>
        </w:rPr>
        <w:t>una</w:t>
      </w:r>
      <w:r w:rsidRPr="005A7A8E">
        <w:rPr>
          <w:rFonts w:ascii="Times New Roman" w:hAnsi="Times New Roman"/>
        </w:rPr>
        <w:t xml:space="preserve"> knjigovodstvene vrijednosti imovine prije otvorenja stečaja, imovina dužnika nije utvrđena ni tri godine nakon otvaranja stečaja</w:t>
      </w:r>
      <w:r w:rsidRPr="005A7A8E">
        <w:rPr>
          <w:rStyle w:val="FootnoteReference"/>
          <w:rFonts w:ascii="Times New Roman" w:hAnsi="Times New Roman"/>
        </w:rPr>
        <w:footnoteReference w:id="27"/>
      </w:r>
      <w:r w:rsidRPr="005A7A8E">
        <w:rPr>
          <w:rFonts w:ascii="Times New Roman" w:hAnsi="Times New Roman"/>
        </w:rPr>
        <w:t xml:space="preserve">. Imenovan je stečajni upravitelj kojemu je određena mjesečna novčana nagrada u iznosu od 4.000 </w:t>
      </w:r>
      <w:r w:rsidR="00A85F1C">
        <w:rPr>
          <w:rFonts w:ascii="Times New Roman" w:hAnsi="Times New Roman"/>
        </w:rPr>
        <w:t xml:space="preserve">kuna </w:t>
      </w:r>
      <w:r w:rsidRPr="005A7A8E">
        <w:rPr>
          <w:rFonts w:ascii="Times New Roman" w:hAnsi="Times New Roman"/>
        </w:rPr>
        <w:t>neto. Potom su pripo</w:t>
      </w:r>
      <w:r w:rsidR="00A85F1C">
        <w:rPr>
          <w:rFonts w:ascii="Times New Roman" w:hAnsi="Times New Roman"/>
        </w:rPr>
        <w:t xml:space="preserve">jeni dodatni stečajni predmeti, </w:t>
      </w:r>
      <w:r w:rsidRPr="005A7A8E">
        <w:rPr>
          <w:rFonts w:ascii="Times New Roman" w:hAnsi="Times New Roman"/>
        </w:rPr>
        <w:t xml:space="preserve">zbog vlasnički povezanih osoba </w:t>
      </w:r>
      <w:r w:rsidR="00A85F1C">
        <w:rPr>
          <w:rFonts w:ascii="Times New Roman" w:hAnsi="Times New Roman"/>
        </w:rPr>
        <w:t>koje su također otišle u stečaj</w:t>
      </w:r>
      <w:r w:rsidRPr="005A7A8E">
        <w:rPr>
          <w:rFonts w:ascii="Times New Roman" w:hAnsi="Times New Roman"/>
        </w:rPr>
        <w:t xml:space="preserve">, a upravitelju je mjesečna nagrada udvostručena. Konačno, predmeti su opet razdvojeni u dva postupka, a upraviteljima je određena mjesečna nagrada od ukupno 11.000 </w:t>
      </w:r>
      <w:r w:rsidR="00AA65FC">
        <w:rPr>
          <w:rFonts w:ascii="Times New Roman" w:hAnsi="Times New Roman"/>
        </w:rPr>
        <w:t>kuna, neto (5.000 + 6.000</w:t>
      </w:r>
      <w:r w:rsidRPr="005A7A8E">
        <w:rPr>
          <w:rFonts w:ascii="Times New Roman" w:hAnsi="Times New Roman"/>
        </w:rPr>
        <w:t xml:space="preserve">). Radnici se u studenom 2002. </w:t>
      </w:r>
      <w:r w:rsidR="00C67B21">
        <w:rPr>
          <w:rFonts w:ascii="Times New Roman" w:hAnsi="Times New Roman"/>
        </w:rPr>
        <w:t xml:space="preserve">godine </w:t>
      </w:r>
      <w:r w:rsidRPr="005A7A8E">
        <w:rPr>
          <w:rFonts w:ascii="Times New Roman" w:hAnsi="Times New Roman"/>
        </w:rPr>
        <w:t xml:space="preserve">žale sudu da skupština vjerovnika nije održavana dvije godine, niti su dobivali ikakva izvješća o tijeku postupka. Stečajni upravitelj angažirao je odvjetnika koji je istodobno zastupao i vjerovnike i dužnika, a nakon smjene stečajnog upravitelja ovaj je odvjetnik podnio račun za usluge s iznosom 2,16 </w:t>
      </w:r>
      <w:r w:rsidR="00A85F1C" w:rsidRPr="005A7A8E">
        <w:rPr>
          <w:rFonts w:ascii="Times New Roman" w:hAnsi="Times New Roman"/>
        </w:rPr>
        <w:t>mil</w:t>
      </w:r>
      <w:r w:rsidR="00A85F1C">
        <w:rPr>
          <w:rFonts w:ascii="Times New Roman" w:hAnsi="Times New Roman"/>
        </w:rPr>
        <w:t>ijuna</w:t>
      </w:r>
      <w:r w:rsidR="00A85F1C" w:rsidRPr="005A7A8E">
        <w:rPr>
          <w:rFonts w:ascii="Times New Roman" w:hAnsi="Times New Roman"/>
        </w:rPr>
        <w:t xml:space="preserve"> k</w:t>
      </w:r>
      <w:r w:rsidR="00A85F1C">
        <w:rPr>
          <w:rFonts w:ascii="Times New Roman" w:hAnsi="Times New Roman"/>
        </w:rPr>
        <w:t>una</w:t>
      </w:r>
      <w:r w:rsidR="00A12172">
        <w:rPr>
          <w:rFonts w:ascii="Times New Roman" w:hAnsi="Times New Roman"/>
        </w:rPr>
        <w:t>.</w:t>
      </w:r>
      <w:r w:rsidRPr="005A7A8E">
        <w:rPr>
          <w:rFonts w:ascii="Times New Roman" w:hAnsi="Times New Roman"/>
        </w:rPr>
        <w:t xml:space="preserve"> Stečajni upravitelj smjestio je strojeve svoje privatne tvrtke u halu dužnika i </w:t>
      </w:r>
      <w:r w:rsidR="00C67B21">
        <w:rPr>
          <w:rFonts w:ascii="Times New Roman" w:hAnsi="Times New Roman"/>
        </w:rPr>
        <w:t xml:space="preserve">koristio je za poslovanje svoje </w:t>
      </w:r>
      <w:r w:rsidRPr="005A7A8E">
        <w:rPr>
          <w:rFonts w:ascii="Times New Roman" w:hAnsi="Times New Roman"/>
        </w:rPr>
        <w:t xml:space="preserve">tvrtke. </w:t>
      </w:r>
    </w:p>
    <w:p w:rsidR="005A7A8E" w:rsidRPr="005A7A8E" w:rsidRDefault="005A7A8E" w:rsidP="00F36302">
      <w:pPr>
        <w:spacing w:after="0" w:line="480" w:lineRule="auto"/>
        <w:ind w:firstLine="851"/>
        <w:rPr>
          <w:rFonts w:ascii="Times New Roman" w:hAnsi="Times New Roman"/>
        </w:rPr>
      </w:pPr>
      <w:r w:rsidRPr="005A7A8E">
        <w:rPr>
          <w:rFonts w:ascii="Times New Roman" w:hAnsi="Times New Roman"/>
        </w:rPr>
        <w:t xml:space="preserve">Kod stečajnog dužnika koji je imao 48,29 </w:t>
      </w:r>
      <w:r w:rsidR="00A85F1C" w:rsidRPr="005A7A8E">
        <w:rPr>
          <w:rFonts w:ascii="Times New Roman" w:hAnsi="Times New Roman"/>
        </w:rPr>
        <w:t>mil</w:t>
      </w:r>
      <w:r w:rsidR="00A85F1C">
        <w:rPr>
          <w:rFonts w:ascii="Times New Roman" w:hAnsi="Times New Roman"/>
        </w:rPr>
        <w:t>ijuna</w:t>
      </w:r>
      <w:r w:rsidR="00A85F1C" w:rsidRPr="005A7A8E">
        <w:rPr>
          <w:rFonts w:ascii="Times New Roman" w:hAnsi="Times New Roman"/>
        </w:rPr>
        <w:t xml:space="preserve"> k</w:t>
      </w:r>
      <w:r w:rsidR="00A85F1C">
        <w:rPr>
          <w:rFonts w:ascii="Times New Roman" w:hAnsi="Times New Roman"/>
        </w:rPr>
        <w:t>una</w:t>
      </w:r>
      <w:r w:rsidRPr="005A7A8E">
        <w:rPr>
          <w:rFonts w:ascii="Times New Roman" w:hAnsi="Times New Roman"/>
        </w:rPr>
        <w:t xml:space="preserve"> knjigovodstvene vrijednosti imovine prije otvorenja stečaja i 234 radnika, stečajni upravitelj primao je mjesečnu nagradu za rad u iznosu od ukupno 9.000 </w:t>
      </w:r>
      <w:r w:rsidR="00A85F1C">
        <w:rPr>
          <w:rFonts w:ascii="Times New Roman" w:hAnsi="Times New Roman"/>
        </w:rPr>
        <w:t xml:space="preserve">kuna </w:t>
      </w:r>
      <w:r w:rsidRPr="005A7A8E">
        <w:rPr>
          <w:rFonts w:ascii="Times New Roman" w:hAnsi="Times New Roman"/>
        </w:rPr>
        <w:t xml:space="preserve">neto. Od toga je 6.000 </w:t>
      </w:r>
      <w:r w:rsidR="00A85F1C">
        <w:rPr>
          <w:rFonts w:ascii="Times New Roman" w:hAnsi="Times New Roman"/>
        </w:rPr>
        <w:t xml:space="preserve">kuna </w:t>
      </w:r>
      <w:r w:rsidRPr="005A7A8E">
        <w:rPr>
          <w:rFonts w:ascii="Times New Roman" w:hAnsi="Times New Roman"/>
        </w:rPr>
        <w:t xml:space="preserve">bila nagrada, a 3.000 </w:t>
      </w:r>
      <w:r w:rsidR="00A85F1C">
        <w:rPr>
          <w:rFonts w:ascii="Times New Roman" w:hAnsi="Times New Roman"/>
        </w:rPr>
        <w:t xml:space="preserve">kuna </w:t>
      </w:r>
      <w:r w:rsidRPr="005A7A8E">
        <w:rPr>
          <w:rFonts w:ascii="Times New Roman" w:hAnsi="Times New Roman"/>
        </w:rPr>
        <w:t xml:space="preserve">odobrenje za troškove prijevoza, premda je upravitelj koristio službeni automobil </w:t>
      </w:r>
      <w:r w:rsidR="00C67B21">
        <w:rPr>
          <w:rFonts w:ascii="Times New Roman" w:hAnsi="Times New Roman"/>
        </w:rPr>
        <w:t xml:space="preserve">visoke klase samog </w:t>
      </w:r>
      <w:r w:rsidRPr="005A7A8E">
        <w:rPr>
          <w:rFonts w:ascii="Times New Roman" w:hAnsi="Times New Roman"/>
        </w:rPr>
        <w:t>dužnika</w:t>
      </w:r>
      <w:r w:rsidR="00C67B21">
        <w:rPr>
          <w:rFonts w:ascii="Times New Roman" w:hAnsi="Times New Roman"/>
        </w:rPr>
        <w:t xml:space="preserve">, </w:t>
      </w:r>
      <w:r w:rsidRPr="005A7A8E">
        <w:rPr>
          <w:rFonts w:ascii="Times New Roman" w:hAnsi="Times New Roman"/>
        </w:rPr>
        <w:t xml:space="preserve">a troškove goriva naplaćivao od dužnika kao </w:t>
      </w:r>
      <w:r w:rsidR="00C67B21">
        <w:rPr>
          <w:rFonts w:ascii="Times New Roman" w:hAnsi="Times New Roman"/>
        </w:rPr>
        <w:t>sastavni dio troškova stečajnog</w:t>
      </w:r>
      <w:r w:rsidRPr="005A7A8E">
        <w:rPr>
          <w:rFonts w:ascii="Times New Roman" w:hAnsi="Times New Roman"/>
        </w:rPr>
        <w:t xml:space="preserve"> postupka. Kao konačnu nagradu za rad </w:t>
      </w:r>
      <w:r w:rsidR="00A12172" w:rsidRPr="005A7A8E">
        <w:rPr>
          <w:rFonts w:ascii="Times New Roman" w:hAnsi="Times New Roman"/>
        </w:rPr>
        <w:t xml:space="preserve">upravitelju </w:t>
      </w:r>
      <w:r w:rsidRPr="005A7A8E">
        <w:rPr>
          <w:rFonts w:ascii="Times New Roman" w:hAnsi="Times New Roman"/>
        </w:rPr>
        <w:t xml:space="preserve">je </w:t>
      </w:r>
      <w:r w:rsidR="00A12172" w:rsidRPr="005A7A8E">
        <w:rPr>
          <w:rFonts w:ascii="Times New Roman" w:hAnsi="Times New Roman"/>
        </w:rPr>
        <w:t xml:space="preserve">isplaćeno </w:t>
      </w:r>
      <w:r w:rsidRPr="005A7A8E">
        <w:rPr>
          <w:rFonts w:ascii="Times New Roman" w:hAnsi="Times New Roman"/>
        </w:rPr>
        <w:t xml:space="preserve">64.614 </w:t>
      </w:r>
      <w:r w:rsidR="00A85F1C">
        <w:rPr>
          <w:rFonts w:ascii="Times New Roman" w:hAnsi="Times New Roman"/>
        </w:rPr>
        <w:t xml:space="preserve">kuna </w:t>
      </w:r>
      <w:r w:rsidRPr="005A7A8E">
        <w:rPr>
          <w:rFonts w:ascii="Times New Roman" w:hAnsi="Times New Roman"/>
        </w:rPr>
        <w:t xml:space="preserve">neto. </w:t>
      </w:r>
      <w:r w:rsidR="00C67B21">
        <w:rPr>
          <w:rFonts w:ascii="Times New Roman" w:hAnsi="Times New Roman"/>
        </w:rPr>
        <w:t>Stečajnom upravitelju isplaćeno je ukupno najmanje 349.998 kuna neto, dok su ukupne plaće radnicima iznosile 564.374 k</w:t>
      </w:r>
      <w:r w:rsidR="00AA65FC">
        <w:rPr>
          <w:rFonts w:ascii="Times New Roman" w:hAnsi="Times New Roman"/>
        </w:rPr>
        <w:t>una</w:t>
      </w:r>
      <w:r w:rsidR="00C67B21">
        <w:rPr>
          <w:rFonts w:ascii="Times New Roman" w:hAnsi="Times New Roman"/>
        </w:rPr>
        <w:t xml:space="preserve"> bruto. </w:t>
      </w:r>
      <w:r w:rsidRPr="005A7A8E">
        <w:rPr>
          <w:rFonts w:ascii="Times New Roman" w:hAnsi="Times New Roman"/>
        </w:rPr>
        <w:t xml:space="preserve">Tražbine prvog reda namirene su 20,96%, dok tražbine ostalih redova uopće nisu namirene (npr. plaće radnika prije otvaranja stečaja, otpremnine radnika, računi za HEP plin, HEP Elektroslavoniju, Carinsku ispostavu </w:t>
      </w:r>
      <w:r w:rsidR="00C67B21">
        <w:rPr>
          <w:rFonts w:ascii="Times New Roman" w:hAnsi="Times New Roman"/>
        </w:rPr>
        <w:t>i druge vjerovnike</w:t>
      </w:r>
      <w:r w:rsidRPr="005A7A8E">
        <w:rPr>
          <w:rFonts w:ascii="Times New Roman" w:hAnsi="Times New Roman"/>
        </w:rPr>
        <w:t xml:space="preserve">). Radnici dužnika bili su izrazito nezadovoljni i održavali su prosvjede jer </w:t>
      </w:r>
      <w:r w:rsidRPr="005A7A8E">
        <w:rPr>
          <w:rFonts w:ascii="Times New Roman" w:hAnsi="Times New Roman"/>
        </w:rPr>
        <w:lastRenderedPageBreak/>
        <w:t>ih stečajni upravitelj nije htio izvijestiti o tijeku postupka, a kada su tražili sastanak s njim nije se pojavio jer je</w:t>
      </w:r>
      <w:r w:rsidR="00C67B21">
        <w:rPr>
          <w:rFonts w:ascii="Times New Roman" w:hAnsi="Times New Roman"/>
        </w:rPr>
        <w:t>,</w:t>
      </w:r>
      <w:r w:rsidR="00C67B21" w:rsidRPr="00C67B21">
        <w:rPr>
          <w:rFonts w:ascii="Times New Roman" w:hAnsi="Times New Roman"/>
        </w:rPr>
        <w:t xml:space="preserve"> </w:t>
      </w:r>
      <w:r w:rsidR="00C67B21" w:rsidRPr="005A7A8E">
        <w:rPr>
          <w:rFonts w:ascii="Times New Roman" w:hAnsi="Times New Roman"/>
        </w:rPr>
        <w:t xml:space="preserve">prema izjavama radnika </w:t>
      </w:r>
      <w:r w:rsidR="00C67B21">
        <w:rPr>
          <w:rFonts w:ascii="Times New Roman" w:hAnsi="Times New Roman"/>
        </w:rPr>
        <w:t>priloženim</w:t>
      </w:r>
      <w:r w:rsidR="00C67B21" w:rsidRPr="005A7A8E">
        <w:rPr>
          <w:rFonts w:ascii="Times New Roman" w:hAnsi="Times New Roman"/>
        </w:rPr>
        <w:t xml:space="preserve"> u spis</w:t>
      </w:r>
      <w:r w:rsidR="00C67B21">
        <w:rPr>
          <w:rFonts w:ascii="Times New Roman" w:hAnsi="Times New Roman"/>
        </w:rPr>
        <w:t>, "imao obveza"</w:t>
      </w:r>
      <w:r w:rsidRPr="005A7A8E">
        <w:rPr>
          <w:rStyle w:val="FootnoteReference"/>
          <w:rFonts w:ascii="Times New Roman" w:hAnsi="Times New Roman"/>
        </w:rPr>
        <w:footnoteReference w:id="28"/>
      </w:r>
      <w:r w:rsidRPr="005A7A8E">
        <w:rPr>
          <w:rFonts w:ascii="Times New Roman" w:hAnsi="Times New Roman"/>
        </w:rPr>
        <w:t>. Za kupnju tvornice i strojeva javljao se kupac iz Izraela sa željom da nastavi proizvodnju, ali mu stečajni upravitelj nije odgovarao ni na telefonske pozive ni na telefaks poruke, pa se investitor potom službenim dopisom direktno obratio Trgovačkom sudu. Nakon ignoriranja ovog kupca imovina je fragmentirana i rasprodana parcijalno u korist pet kupaca.</w:t>
      </w:r>
    </w:p>
    <w:p w:rsidR="005A7A8E" w:rsidRPr="005A7A8E" w:rsidRDefault="00C67B21" w:rsidP="00F36302">
      <w:pPr>
        <w:spacing w:after="0" w:line="480" w:lineRule="auto"/>
        <w:ind w:firstLine="851"/>
        <w:rPr>
          <w:rFonts w:ascii="Times New Roman" w:hAnsi="Times New Roman"/>
        </w:rPr>
      </w:pPr>
      <w:r>
        <w:rPr>
          <w:rFonts w:ascii="Times New Roman" w:hAnsi="Times New Roman"/>
        </w:rPr>
        <w:t xml:space="preserve">Kod stečajnog dužnika koji je imao 87,75 milijuna kuna knjigovodstvene vrijednosti imovine prije otvorenja stečaja, vjerovnici su namireni u iznosu od 3,06%. Stečajnom upravitelju isplaćena </w:t>
      </w:r>
      <w:r w:rsidR="00E3279B">
        <w:rPr>
          <w:rFonts w:ascii="Times New Roman" w:hAnsi="Times New Roman"/>
        </w:rPr>
        <w:t xml:space="preserve">je </w:t>
      </w:r>
      <w:r>
        <w:rPr>
          <w:rFonts w:ascii="Times New Roman" w:hAnsi="Times New Roman"/>
        </w:rPr>
        <w:t>završna nagrada u iznosu od 33.750 k</w:t>
      </w:r>
      <w:r w:rsidR="00AA65FC">
        <w:rPr>
          <w:rFonts w:ascii="Times New Roman" w:hAnsi="Times New Roman"/>
        </w:rPr>
        <w:t>u</w:t>
      </w:r>
      <w:r>
        <w:rPr>
          <w:rFonts w:ascii="Times New Roman" w:hAnsi="Times New Roman"/>
        </w:rPr>
        <w:t>n</w:t>
      </w:r>
      <w:r w:rsidR="00AA65FC">
        <w:rPr>
          <w:rFonts w:ascii="Times New Roman" w:hAnsi="Times New Roman"/>
        </w:rPr>
        <w:t>a</w:t>
      </w:r>
      <w:r>
        <w:rPr>
          <w:rFonts w:ascii="Times New Roman" w:hAnsi="Times New Roman"/>
        </w:rPr>
        <w:t xml:space="preserve"> bruto, uz redovnu mjesečnu nagradu od 4.500 k</w:t>
      </w:r>
      <w:r w:rsidR="00AA65FC">
        <w:rPr>
          <w:rFonts w:ascii="Times New Roman" w:hAnsi="Times New Roman"/>
        </w:rPr>
        <w:t>u</w:t>
      </w:r>
      <w:r>
        <w:rPr>
          <w:rFonts w:ascii="Times New Roman" w:hAnsi="Times New Roman"/>
        </w:rPr>
        <w:t>n</w:t>
      </w:r>
      <w:r w:rsidR="00AA65FC">
        <w:rPr>
          <w:rFonts w:ascii="Times New Roman" w:hAnsi="Times New Roman"/>
        </w:rPr>
        <w:t>a</w:t>
      </w:r>
      <w:r>
        <w:rPr>
          <w:rFonts w:ascii="Times New Roman" w:hAnsi="Times New Roman"/>
        </w:rPr>
        <w:t xml:space="preserve"> neto, tijekom 63 mjeseca trajanja postupka. Nakon zaključenja postupka pronađena je dodatna imovina, koja je unovčena te je upravitelju iz utrška isplaćeno još 29.952 k</w:t>
      </w:r>
      <w:r w:rsidR="00AA65FC">
        <w:rPr>
          <w:rFonts w:ascii="Times New Roman" w:hAnsi="Times New Roman"/>
        </w:rPr>
        <w:t>u</w:t>
      </w:r>
      <w:r>
        <w:rPr>
          <w:rFonts w:ascii="Times New Roman" w:hAnsi="Times New Roman"/>
        </w:rPr>
        <w:t>n</w:t>
      </w:r>
      <w:r w:rsidR="00AA65FC">
        <w:rPr>
          <w:rFonts w:ascii="Times New Roman" w:hAnsi="Times New Roman"/>
        </w:rPr>
        <w:t>a</w:t>
      </w:r>
      <w:r>
        <w:rPr>
          <w:rFonts w:ascii="Times New Roman" w:hAnsi="Times New Roman"/>
        </w:rPr>
        <w:t xml:space="preserve"> neto. Dakle, bez obzira što nije namireno 96,94% vjerovničkih potraživanja, upravitelju je na ime nagrada isplaćeno najmanje 330.000 k</w:t>
      </w:r>
      <w:r w:rsidR="00AA65FC">
        <w:rPr>
          <w:rFonts w:ascii="Times New Roman" w:hAnsi="Times New Roman"/>
        </w:rPr>
        <w:t>u</w:t>
      </w:r>
      <w:r>
        <w:rPr>
          <w:rFonts w:ascii="Times New Roman" w:hAnsi="Times New Roman"/>
        </w:rPr>
        <w:t>n</w:t>
      </w:r>
      <w:r w:rsidR="00AA65FC">
        <w:rPr>
          <w:rFonts w:ascii="Times New Roman" w:hAnsi="Times New Roman"/>
        </w:rPr>
        <w:t>a</w:t>
      </w:r>
      <w:r>
        <w:rPr>
          <w:rFonts w:ascii="Times New Roman" w:hAnsi="Times New Roman"/>
        </w:rPr>
        <w:t xml:space="preserve"> neto.</w:t>
      </w:r>
    </w:p>
    <w:p w:rsidR="005A7A8E" w:rsidRPr="005A7A8E" w:rsidRDefault="00C67B21" w:rsidP="00F36302">
      <w:pPr>
        <w:spacing w:after="0" w:line="480" w:lineRule="auto"/>
        <w:ind w:firstLine="851"/>
        <w:rPr>
          <w:rFonts w:ascii="Times New Roman" w:hAnsi="Times New Roman"/>
        </w:rPr>
      </w:pPr>
      <w:r>
        <w:rPr>
          <w:rFonts w:ascii="Times New Roman" w:hAnsi="Times New Roman"/>
        </w:rPr>
        <w:t>Kod stečajnog dužnika koji je imao 3,03 milijuna kuna knjigovodstvene vrijednosti imovine prije otvorenja stečaja, stečajni upravitelj primao je mjesečnu nagradu od 5.000 k</w:t>
      </w:r>
      <w:r w:rsidR="00AA65FC">
        <w:rPr>
          <w:rFonts w:ascii="Times New Roman" w:hAnsi="Times New Roman"/>
        </w:rPr>
        <w:t>u</w:t>
      </w:r>
      <w:r>
        <w:rPr>
          <w:rFonts w:ascii="Times New Roman" w:hAnsi="Times New Roman"/>
        </w:rPr>
        <w:t>n</w:t>
      </w:r>
      <w:r w:rsidR="00AA65FC">
        <w:rPr>
          <w:rFonts w:ascii="Times New Roman" w:hAnsi="Times New Roman"/>
        </w:rPr>
        <w:t>a</w:t>
      </w:r>
      <w:r>
        <w:rPr>
          <w:rFonts w:ascii="Times New Roman" w:hAnsi="Times New Roman"/>
        </w:rPr>
        <w:t xml:space="preserve"> neto. Pri zaključenju postupka podnio je račun u kojemu je obračunato 32.000 kuna troškova postupka, i to na ime „ostalih troškova stečajnog upravitelja“, bez ikakve specifikacije i konkretizacije ovih troškova. Istodobno, imovina dužnika pokrila je samo troškove postupka, a vjerovnicima nije isplaćeno ništa (0% namirenja).</w:t>
      </w:r>
    </w:p>
    <w:p w:rsidR="005A7A8E" w:rsidRPr="005A7A8E" w:rsidRDefault="005A7A8E" w:rsidP="00F36302">
      <w:pPr>
        <w:spacing w:after="0" w:line="480" w:lineRule="auto"/>
        <w:ind w:firstLine="851"/>
        <w:rPr>
          <w:rFonts w:ascii="Times New Roman" w:hAnsi="Times New Roman"/>
        </w:rPr>
      </w:pPr>
      <w:r w:rsidRPr="005A7A8E">
        <w:rPr>
          <w:rFonts w:ascii="Times New Roman" w:hAnsi="Times New Roman"/>
        </w:rPr>
        <w:t xml:space="preserve">Kod stečajnog dužnika koji je imao 31,91 </w:t>
      </w:r>
      <w:r w:rsidR="00AA65FC">
        <w:rPr>
          <w:rFonts w:ascii="Times New Roman" w:hAnsi="Times New Roman"/>
        </w:rPr>
        <w:t>milijuna kuna</w:t>
      </w:r>
      <w:r w:rsidRPr="005A7A8E">
        <w:rPr>
          <w:rFonts w:ascii="Times New Roman" w:hAnsi="Times New Roman"/>
        </w:rPr>
        <w:t xml:space="preserve"> knjigovodstvene vrijednosti imovine prije otvorenja stečaja, imenovan je stečajni upravitelj i određena mu je mjesečna nagrada za rad u iznosu od 5.000 </w:t>
      </w:r>
      <w:r w:rsidR="00A85F1C">
        <w:rPr>
          <w:rFonts w:ascii="Times New Roman" w:hAnsi="Times New Roman"/>
        </w:rPr>
        <w:t xml:space="preserve">kuna </w:t>
      </w:r>
      <w:r w:rsidRPr="005A7A8E">
        <w:rPr>
          <w:rFonts w:ascii="Times New Roman" w:hAnsi="Times New Roman"/>
        </w:rPr>
        <w:t xml:space="preserve">neto. Odmah po otvaranju stečaja upravitelj je zaposlio neimenovanu osobu na mjesto „ekonomskog savjetnika“ i odredio joj plaću u iznosu 3.000 </w:t>
      </w:r>
      <w:r w:rsidR="00A85F1C">
        <w:rPr>
          <w:rFonts w:ascii="Times New Roman" w:hAnsi="Times New Roman"/>
        </w:rPr>
        <w:t xml:space="preserve">kuna </w:t>
      </w:r>
      <w:r w:rsidRPr="005A7A8E">
        <w:rPr>
          <w:rFonts w:ascii="Times New Roman" w:hAnsi="Times New Roman"/>
        </w:rPr>
        <w:t>neto mjesečno. Stečaj je trajao 36 mjeseci. U završnom izvješću stečajni upravitelj napisao je, među ostalim, i sljedeće: „Vjerovnici su se namirili u vrlo malom iznosu“, bez iznosa konkretnog postotka namirenja.</w:t>
      </w:r>
    </w:p>
    <w:p w:rsidR="005A7A8E" w:rsidRPr="005A7A8E" w:rsidRDefault="005A7A8E" w:rsidP="00F36302">
      <w:pPr>
        <w:spacing w:after="0" w:line="480" w:lineRule="auto"/>
        <w:ind w:firstLine="851"/>
        <w:rPr>
          <w:rFonts w:ascii="Times New Roman" w:hAnsi="Times New Roman"/>
        </w:rPr>
      </w:pPr>
      <w:r w:rsidRPr="005A7A8E">
        <w:rPr>
          <w:rFonts w:ascii="Times New Roman" w:hAnsi="Times New Roman"/>
        </w:rPr>
        <w:lastRenderedPageBreak/>
        <w:t xml:space="preserve">Kod stečajnog dužnika koji je imao 21,41 </w:t>
      </w:r>
      <w:r w:rsidR="00A85F1C" w:rsidRPr="005A7A8E">
        <w:rPr>
          <w:rFonts w:ascii="Times New Roman" w:hAnsi="Times New Roman"/>
        </w:rPr>
        <w:t>mil</w:t>
      </w:r>
      <w:r w:rsidR="00A85F1C">
        <w:rPr>
          <w:rFonts w:ascii="Times New Roman" w:hAnsi="Times New Roman"/>
        </w:rPr>
        <w:t>ijuna</w:t>
      </w:r>
      <w:r w:rsidR="00A85F1C" w:rsidRPr="005A7A8E">
        <w:rPr>
          <w:rFonts w:ascii="Times New Roman" w:hAnsi="Times New Roman"/>
        </w:rPr>
        <w:t xml:space="preserve"> k</w:t>
      </w:r>
      <w:r w:rsidR="00A85F1C">
        <w:rPr>
          <w:rFonts w:ascii="Times New Roman" w:hAnsi="Times New Roman"/>
        </w:rPr>
        <w:t>una</w:t>
      </w:r>
      <w:r w:rsidRPr="005A7A8E">
        <w:rPr>
          <w:rFonts w:ascii="Times New Roman" w:hAnsi="Times New Roman"/>
        </w:rPr>
        <w:t xml:space="preserve"> knjigovodstvene vrijednosti imovine prije otvorenja stečaja, po zahtjevu vjerovnika zamijenjen je stečajni upravitelj te je imenovan novi upravitelj. Potom novi upravitelj imenuje prethodnog upravitelja kao „savjetnika za financijsko-ekonomske poslove“. Mjesečna nagrada bivšem upravitelju iznosila je 9.612 </w:t>
      </w:r>
      <w:r w:rsidR="00A85F1C">
        <w:rPr>
          <w:rFonts w:ascii="Times New Roman" w:hAnsi="Times New Roman"/>
        </w:rPr>
        <w:t xml:space="preserve">kuna </w:t>
      </w:r>
      <w:r w:rsidRPr="005A7A8E">
        <w:rPr>
          <w:rFonts w:ascii="Times New Roman" w:hAnsi="Times New Roman"/>
        </w:rPr>
        <w:t xml:space="preserve">bruto, a nakon „izmjene“ upravitelja novom upravitelju i njegovom „savjetniku“ isplaćuje se mjesečno ukupno 14.024 </w:t>
      </w:r>
      <w:r w:rsidR="00A85F1C">
        <w:rPr>
          <w:rFonts w:ascii="Times New Roman" w:hAnsi="Times New Roman"/>
        </w:rPr>
        <w:t xml:space="preserve">kuna </w:t>
      </w:r>
      <w:r w:rsidRPr="005A7A8E">
        <w:rPr>
          <w:rFonts w:ascii="Times New Roman" w:hAnsi="Times New Roman"/>
        </w:rPr>
        <w:t>bruto.</w:t>
      </w:r>
    </w:p>
    <w:p w:rsidR="005A7A8E" w:rsidRPr="005A7A8E" w:rsidRDefault="00C67B21" w:rsidP="00F36302">
      <w:pPr>
        <w:spacing w:after="0" w:line="480" w:lineRule="auto"/>
        <w:ind w:firstLine="851"/>
        <w:rPr>
          <w:rFonts w:ascii="Times New Roman" w:hAnsi="Times New Roman"/>
        </w:rPr>
      </w:pPr>
      <w:r>
        <w:rPr>
          <w:rFonts w:ascii="Times New Roman" w:hAnsi="Times New Roman"/>
        </w:rPr>
        <w:t xml:space="preserve">Kod stečajnog dužnika koji je imao 49,69 milijuna kuna procijenjene vrijednosti imovine nakon otvaranja stečaja, stečajni upravitelj ni dva i pol mjeseca nakon imenovanja nije podnio nikakvo izvješće te je tek po požurnici suda podnio prvo izvješće. Nakon određenog razdoblja stečajni </w:t>
      </w:r>
      <w:r w:rsidR="00D557BE">
        <w:rPr>
          <w:rFonts w:ascii="Times New Roman" w:hAnsi="Times New Roman"/>
        </w:rPr>
        <w:t xml:space="preserve">je </w:t>
      </w:r>
      <w:r>
        <w:rPr>
          <w:rFonts w:ascii="Times New Roman" w:hAnsi="Times New Roman"/>
        </w:rPr>
        <w:t xml:space="preserve">upravitelj imenovan na visoki položaj u pravosudnom sustavu Republike Hrvatske i posljedično seli u Zagreb te je zamijenjen drugim upraviteljem. No, </w:t>
      </w:r>
      <w:r w:rsidR="00AA65FC">
        <w:rPr>
          <w:rFonts w:ascii="Times New Roman" w:hAnsi="Times New Roman"/>
        </w:rPr>
        <w:t>prvi</w:t>
      </w:r>
      <w:r>
        <w:rPr>
          <w:rFonts w:ascii="Times New Roman" w:hAnsi="Times New Roman"/>
        </w:rPr>
        <w:t xml:space="preserve"> stečajni upravitelj nije napravio primopredaju predmeta novom upravitelju. </w:t>
      </w:r>
      <w:r w:rsidR="00D557BE">
        <w:rPr>
          <w:rFonts w:ascii="Times New Roman" w:hAnsi="Times New Roman"/>
        </w:rPr>
        <w:t>D</w:t>
      </w:r>
      <w:r>
        <w:rPr>
          <w:rFonts w:ascii="Times New Roman" w:hAnsi="Times New Roman"/>
        </w:rPr>
        <w:t xml:space="preserve">ok je prethodni upravitelj bio na dužnosti osoba koja nije stečajni upravitelj potpisivala se kao upravitelj i sklapala ugovore u ime dužnika, koristeći žig upravitelja (najvjerojatnije uz znanje i odobrenje </w:t>
      </w:r>
      <w:r w:rsidR="00AA65FC">
        <w:rPr>
          <w:rFonts w:ascii="Times New Roman" w:hAnsi="Times New Roman"/>
        </w:rPr>
        <w:t xml:space="preserve">prethodnog </w:t>
      </w:r>
      <w:r>
        <w:rPr>
          <w:rFonts w:ascii="Times New Roman" w:hAnsi="Times New Roman"/>
        </w:rPr>
        <w:t xml:space="preserve">upravitelja jer </w:t>
      </w:r>
      <w:r w:rsidR="00AA65FC">
        <w:rPr>
          <w:rFonts w:ascii="Times New Roman" w:hAnsi="Times New Roman"/>
        </w:rPr>
        <w:t xml:space="preserve">on </w:t>
      </w:r>
      <w:r>
        <w:rPr>
          <w:rFonts w:ascii="Times New Roman" w:hAnsi="Times New Roman"/>
        </w:rPr>
        <w:t>nije osporavao navedene postupke). Također, prethodni stečajni upravitelj nije podnosio izvješća ni o troškovima postupka, ni o rashodima poslovanja.</w:t>
      </w:r>
    </w:p>
    <w:p w:rsidR="005A7A8E" w:rsidRPr="005A7A8E" w:rsidRDefault="005A7A8E" w:rsidP="00F36302">
      <w:pPr>
        <w:spacing w:after="0" w:line="480" w:lineRule="auto"/>
        <w:ind w:firstLine="851"/>
        <w:rPr>
          <w:rFonts w:ascii="Times New Roman" w:hAnsi="Times New Roman"/>
        </w:rPr>
      </w:pPr>
      <w:r w:rsidRPr="005A7A8E">
        <w:rPr>
          <w:rFonts w:ascii="Times New Roman" w:hAnsi="Times New Roman"/>
        </w:rPr>
        <w:t xml:space="preserve">Kod stečajnog dužnika koji je imao 14,65 </w:t>
      </w:r>
      <w:r w:rsidR="00A85F1C" w:rsidRPr="005A7A8E">
        <w:rPr>
          <w:rFonts w:ascii="Times New Roman" w:hAnsi="Times New Roman"/>
        </w:rPr>
        <w:t>mil</w:t>
      </w:r>
      <w:r w:rsidR="00A85F1C">
        <w:rPr>
          <w:rFonts w:ascii="Times New Roman" w:hAnsi="Times New Roman"/>
        </w:rPr>
        <w:t>ijuna</w:t>
      </w:r>
      <w:r w:rsidR="00A85F1C" w:rsidRPr="005A7A8E">
        <w:rPr>
          <w:rFonts w:ascii="Times New Roman" w:hAnsi="Times New Roman"/>
        </w:rPr>
        <w:t xml:space="preserve"> k</w:t>
      </w:r>
      <w:r w:rsidR="00A85F1C">
        <w:rPr>
          <w:rFonts w:ascii="Times New Roman" w:hAnsi="Times New Roman"/>
        </w:rPr>
        <w:t>una</w:t>
      </w:r>
      <w:r w:rsidRPr="005A7A8E">
        <w:rPr>
          <w:rFonts w:ascii="Times New Roman" w:hAnsi="Times New Roman"/>
        </w:rPr>
        <w:t xml:space="preserve"> knjigovodstvene vrijednosti imovine prije otvorenja stečaja</w:t>
      </w:r>
      <w:r w:rsidR="00AA65FC">
        <w:rPr>
          <w:rFonts w:ascii="Times New Roman" w:hAnsi="Times New Roman"/>
        </w:rPr>
        <w:t>, a</w:t>
      </w:r>
      <w:r w:rsidRPr="005A7A8E">
        <w:rPr>
          <w:rFonts w:ascii="Times New Roman" w:hAnsi="Times New Roman"/>
        </w:rPr>
        <w:t xml:space="preserve"> osnovan je 56 godina prije otvaranja stečaja, imenovan je stečajni upravitelj i određena mu je mjesečna nagrada za rad u iznosu od 4.000 </w:t>
      </w:r>
      <w:r w:rsidR="00A85F1C">
        <w:rPr>
          <w:rFonts w:ascii="Times New Roman" w:hAnsi="Times New Roman"/>
        </w:rPr>
        <w:t xml:space="preserve">kuna </w:t>
      </w:r>
      <w:r w:rsidRPr="005A7A8E">
        <w:rPr>
          <w:rFonts w:ascii="Times New Roman" w:hAnsi="Times New Roman"/>
        </w:rPr>
        <w:t xml:space="preserve">neto. Nakon tri godine trajanja postupka i nezadovoljstva vjerovnika, prvi </w:t>
      </w:r>
      <w:r w:rsidR="00AA65FC" w:rsidRPr="005A7A8E">
        <w:rPr>
          <w:rFonts w:ascii="Times New Roman" w:hAnsi="Times New Roman"/>
        </w:rPr>
        <w:t xml:space="preserve">je </w:t>
      </w:r>
      <w:r w:rsidRPr="005A7A8E">
        <w:rPr>
          <w:rFonts w:ascii="Times New Roman" w:hAnsi="Times New Roman"/>
        </w:rPr>
        <w:t>upravitelj razriješen te je imenovan drugi upravitelj. Drugom upravitelju mjesečna naknada povećana je za 50%</w:t>
      </w:r>
      <w:r w:rsidR="00AA65FC">
        <w:rPr>
          <w:rFonts w:ascii="Times New Roman" w:hAnsi="Times New Roman"/>
        </w:rPr>
        <w:t xml:space="preserve"> na </w:t>
      </w:r>
      <w:r w:rsidRPr="005A7A8E">
        <w:rPr>
          <w:rFonts w:ascii="Times New Roman" w:hAnsi="Times New Roman"/>
        </w:rPr>
        <w:t xml:space="preserve">6.000 </w:t>
      </w:r>
      <w:r w:rsidR="00A85F1C">
        <w:rPr>
          <w:rFonts w:ascii="Times New Roman" w:hAnsi="Times New Roman"/>
        </w:rPr>
        <w:t xml:space="preserve">kuna </w:t>
      </w:r>
      <w:r w:rsidRPr="005A7A8E">
        <w:rPr>
          <w:rFonts w:ascii="Times New Roman" w:hAnsi="Times New Roman"/>
        </w:rPr>
        <w:t xml:space="preserve">neto. Nakon imenovanja, drugi stečajni upravitelj s prethodnim, prvim upraviteljem sklapa ugovor o djelu za obavljanje računovodstvenih poslova za </w:t>
      </w:r>
      <w:r w:rsidR="00AA65FC">
        <w:rPr>
          <w:rFonts w:ascii="Times New Roman" w:hAnsi="Times New Roman"/>
        </w:rPr>
        <w:t>š</w:t>
      </w:r>
      <w:r w:rsidRPr="005A7A8E">
        <w:rPr>
          <w:rFonts w:ascii="Times New Roman" w:hAnsi="Times New Roman"/>
        </w:rPr>
        <w:t xml:space="preserve">to mu mjesečno isplaćuje 4.000 </w:t>
      </w:r>
      <w:r w:rsidR="00A85F1C">
        <w:rPr>
          <w:rFonts w:ascii="Times New Roman" w:hAnsi="Times New Roman"/>
        </w:rPr>
        <w:t xml:space="preserve">kuna </w:t>
      </w:r>
      <w:r w:rsidRPr="005A7A8E">
        <w:rPr>
          <w:rFonts w:ascii="Times New Roman" w:hAnsi="Times New Roman"/>
        </w:rPr>
        <w:t xml:space="preserve">neto. Uz redovitu mjesečnu nagradu za rad, drugom stečajnom upravitelju po zaključenju postupka isplaćena je i „konačna nagrada za rad“ u iznosu od 5.380 </w:t>
      </w:r>
      <w:r w:rsidR="00A85F1C">
        <w:rPr>
          <w:rFonts w:ascii="Times New Roman" w:hAnsi="Times New Roman"/>
        </w:rPr>
        <w:t xml:space="preserve">kuna </w:t>
      </w:r>
      <w:r w:rsidRPr="005A7A8E">
        <w:rPr>
          <w:rFonts w:ascii="Times New Roman" w:hAnsi="Times New Roman"/>
        </w:rPr>
        <w:t>neto. Postupak je nastavljen četiri godine nakon zaključenja radi naknadno pronađene imovine čija je vrijednost procijenjena na 213.960 k</w:t>
      </w:r>
      <w:r w:rsidR="00AA65FC">
        <w:rPr>
          <w:rFonts w:ascii="Times New Roman" w:hAnsi="Times New Roman"/>
        </w:rPr>
        <w:t>una</w:t>
      </w:r>
      <w:r w:rsidRPr="005A7A8E">
        <w:rPr>
          <w:rFonts w:ascii="Times New Roman" w:hAnsi="Times New Roman"/>
        </w:rPr>
        <w:t>, a prodana je za 30.000 k</w:t>
      </w:r>
      <w:r w:rsidR="00AA65FC">
        <w:rPr>
          <w:rFonts w:ascii="Times New Roman" w:hAnsi="Times New Roman"/>
        </w:rPr>
        <w:t>u</w:t>
      </w:r>
      <w:r w:rsidRPr="005A7A8E">
        <w:rPr>
          <w:rFonts w:ascii="Times New Roman" w:hAnsi="Times New Roman"/>
        </w:rPr>
        <w:t>n</w:t>
      </w:r>
      <w:r w:rsidR="00AA65FC">
        <w:rPr>
          <w:rFonts w:ascii="Times New Roman" w:hAnsi="Times New Roman"/>
        </w:rPr>
        <w:t>a</w:t>
      </w:r>
      <w:r w:rsidRPr="005A7A8E">
        <w:rPr>
          <w:rFonts w:ascii="Times New Roman" w:hAnsi="Times New Roman"/>
        </w:rPr>
        <w:t>.</w:t>
      </w:r>
    </w:p>
    <w:p w:rsidR="005A7A8E" w:rsidRPr="005A7A8E" w:rsidRDefault="005A7A8E" w:rsidP="00F36302">
      <w:pPr>
        <w:spacing w:after="0" w:line="480" w:lineRule="auto"/>
        <w:ind w:firstLine="851"/>
        <w:rPr>
          <w:rFonts w:ascii="Times New Roman" w:hAnsi="Times New Roman"/>
        </w:rPr>
      </w:pPr>
      <w:r w:rsidRPr="005A7A8E">
        <w:rPr>
          <w:rFonts w:ascii="Times New Roman" w:hAnsi="Times New Roman"/>
        </w:rPr>
        <w:lastRenderedPageBreak/>
        <w:t xml:space="preserve">Kod jednog stečajnog dužnika upravitelj navodi kako ne postoji financijska ni knjigovodstvena dokumentacija o poslovanju dužnika. Dvije radnice zatražile su otvaranje stečaja, a unovčenjem imovine dužnika isplaćen je samo upravitelj, dok radnice nisu dobile ništa. Iako je iznio kako dokumentacija ne postoji, stečajni upravitelj isplatio je kao bruto trošak 5.000 </w:t>
      </w:r>
      <w:r w:rsidR="00A85F1C">
        <w:rPr>
          <w:rFonts w:ascii="Times New Roman" w:hAnsi="Times New Roman"/>
        </w:rPr>
        <w:t xml:space="preserve">kuna </w:t>
      </w:r>
      <w:r w:rsidRPr="005A7A8E">
        <w:rPr>
          <w:rFonts w:ascii="Times New Roman" w:hAnsi="Times New Roman"/>
        </w:rPr>
        <w:t xml:space="preserve">na ime „škartiranja dokumentacije“. </w:t>
      </w:r>
    </w:p>
    <w:p w:rsidR="005A7A8E" w:rsidRPr="005A7A8E" w:rsidRDefault="005A7A8E" w:rsidP="00F36302">
      <w:pPr>
        <w:spacing w:after="0" w:line="480" w:lineRule="auto"/>
        <w:ind w:firstLine="851"/>
        <w:rPr>
          <w:rFonts w:ascii="Times New Roman" w:hAnsi="Times New Roman"/>
        </w:rPr>
      </w:pPr>
      <w:r w:rsidRPr="005A7A8E">
        <w:rPr>
          <w:rFonts w:ascii="Times New Roman" w:hAnsi="Times New Roman"/>
        </w:rPr>
        <w:t xml:space="preserve">Kod stečajnog dužnika koji je imao 31,63 </w:t>
      </w:r>
      <w:r w:rsidR="00A85F1C" w:rsidRPr="005A7A8E">
        <w:rPr>
          <w:rFonts w:ascii="Times New Roman" w:hAnsi="Times New Roman"/>
        </w:rPr>
        <w:t>mil</w:t>
      </w:r>
      <w:r w:rsidR="00A85F1C">
        <w:rPr>
          <w:rFonts w:ascii="Times New Roman" w:hAnsi="Times New Roman"/>
        </w:rPr>
        <w:t>ijuna</w:t>
      </w:r>
      <w:r w:rsidR="00A85F1C" w:rsidRPr="005A7A8E">
        <w:rPr>
          <w:rFonts w:ascii="Times New Roman" w:hAnsi="Times New Roman"/>
        </w:rPr>
        <w:t xml:space="preserve"> k</w:t>
      </w:r>
      <w:r w:rsidR="00A85F1C">
        <w:rPr>
          <w:rFonts w:ascii="Times New Roman" w:hAnsi="Times New Roman"/>
        </w:rPr>
        <w:t>una</w:t>
      </w:r>
      <w:r w:rsidRPr="005A7A8E">
        <w:rPr>
          <w:rFonts w:ascii="Times New Roman" w:hAnsi="Times New Roman"/>
        </w:rPr>
        <w:t xml:space="preserve"> knjigovodstvene vrijednosti imovine prije otvorenja stečaja, imenovan je stečajni upravitelj i određena mu je mjesečna naknada za rad u iznosu od 5.000 </w:t>
      </w:r>
      <w:r w:rsidR="00A85F1C">
        <w:rPr>
          <w:rFonts w:ascii="Times New Roman" w:hAnsi="Times New Roman"/>
        </w:rPr>
        <w:t xml:space="preserve">kuna </w:t>
      </w:r>
      <w:r w:rsidR="00AA65FC">
        <w:rPr>
          <w:rFonts w:ascii="Times New Roman" w:hAnsi="Times New Roman"/>
        </w:rPr>
        <w:t xml:space="preserve">neto, </w:t>
      </w:r>
      <w:r w:rsidRPr="005A7A8E">
        <w:rPr>
          <w:rFonts w:ascii="Times New Roman" w:hAnsi="Times New Roman"/>
        </w:rPr>
        <w:t xml:space="preserve">a također su mu odobreni i mjesečni putni troškovi u iznosu 1.445 </w:t>
      </w:r>
      <w:r w:rsidR="00A85F1C">
        <w:rPr>
          <w:rFonts w:ascii="Times New Roman" w:hAnsi="Times New Roman"/>
        </w:rPr>
        <w:t xml:space="preserve">kuna </w:t>
      </w:r>
      <w:r w:rsidRPr="005A7A8E">
        <w:rPr>
          <w:rFonts w:ascii="Times New Roman" w:hAnsi="Times New Roman"/>
        </w:rPr>
        <w:t xml:space="preserve">neto. Prvi red vjerovnika namiren je u iznosu 65%, a ostali vjerovnici nisu dobili ništa. Unatoč tomu, stečajnom upravitelju je pri zaključenju postupka isplaćena „završna nagrada“ u iznosu od 150.000 </w:t>
      </w:r>
      <w:r w:rsidR="00A85F1C">
        <w:rPr>
          <w:rFonts w:ascii="Times New Roman" w:hAnsi="Times New Roman"/>
        </w:rPr>
        <w:t xml:space="preserve">kuna </w:t>
      </w:r>
      <w:r w:rsidRPr="005A7A8E">
        <w:rPr>
          <w:rFonts w:ascii="Times New Roman" w:hAnsi="Times New Roman"/>
        </w:rPr>
        <w:t>neto. Stečajni upravitelj je sa studenticom N. N. potpisao ugovor o „sređivanju arhivske građe“, kako bi dokumentaciju preuzeo Državni arhiv. Studentici je isplaćeno 9.900 k</w:t>
      </w:r>
      <w:r w:rsidR="00AA65FC">
        <w:rPr>
          <w:rFonts w:ascii="Times New Roman" w:hAnsi="Times New Roman"/>
        </w:rPr>
        <w:t>u</w:t>
      </w:r>
      <w:r w:rsidRPr="005A7A8E">
        <w:rPr>
          <w:rFonts w:ascii="Times New Roman" w:hAnsi="Times New Roman"/>
        </w:rPr>
        <w:t>n</w:t>
      </w:r>
      <w:r w:rsidR="00AA65FC">
        <w:rPr>
          <w:rFonts w:ascii="Times New Roman" w:hAnsi="Times New Roman"/>
        </w:rPr>
        <w:t>a</w:t>
      </w:r>
      <w:r w:rsidRPr="005A7A8E">
        <w:rPr>
          <w:rFonts w:ascii="Times New Roman" w:hAnsi="Times New Roman"/>
        </w:rPr>
        <w:t>, a u Državnom arhivu nema niti jednog dokumenta od ovog dužnika.</w:t>
      </w:r>
    </w:p>
    <w:p w:rsidR="005A7A8E" w:rsidRPr="00F36302" w:rsidRDefault="005A7A8E" w:rsidP="00F36302">
      <w:pPr>
        <w:spacing w:after="0" w:line="480" w:lineRule="auto"/>
        <w:ind w:firstLine="851"/>
        <w:rPr>
          <w:rFonts w:ascii="Times New Roman" w:hAnsi="Times New Roman"/>
        </w:rPr>
      </w:pPr>
      <w:r w:rsidRPr="00D80C40">
        <w:rPr>
          <w:rFonts w:ascii="Times New Roman" w:hAnsi="Times New Roman"/>
        </w:rPr>
        <w:t xml:space="preserve">Kod stečajnog dužnika koji je imao 30,80 </w:t>
      </w:r>
      <w:r w:rsidR="00A85F1C" w:rsidRPr="00D80C40">
        <w:rPr>
          <w:rFonts w:ascii="Times New Roman" w:hAnsi="Times New Roman"/>
        </w:rPr>
        <w:t>milijuna kuna</w:t>
      </w:r>
      <w:r w:rsidRPr="00D80C40">
        <w:rPr>
          <w:rFonts w:ascii="Times New Roman" w:hAnsi="Times New Roman"/>
        </w:rPr>
        <w:t xml:space="preserve"> knjigovodstvene vrijednosti imovine i 151 radnika prije otvorenja stečaja, imenovan je stečajni upravitelj i određena mu je mjesečna nagrada za rad u iznosu od 8.000 </w:t>
      </w:r>
      <w:r w:rsidR="00A85F1C" w:rsidRPr="00D80C40">
        <w:rPr>
          <w:rFonts w:ascii="Times New Roman" w:hAnsi="Times New Roman"/>
        </w:rPr>
        <w:t xml:space="preserve">kuna </w:t>
      </w:r>
      <w:r w:rsidR="00AA65FC" w:rsidRPr="00D80C40">
        <w:rPr>
          <w:rFonts w:ascii="Times New Roman" w:hAnsi="Times New Roman"/>
        </w:rPr>
        <w:t>neto</w:t>
      </w:r>
      <w:r w:rsidRPr="00D80C40">
        <w:rPr>
          <w:rFonts w:ascii="Times New Roman" w:hAnsi="Times New Roman"/>
        </w:rPr>
        <w:t xml:space="preserve">. U vrijeme otvaranja stečaja prosječna mjesečna plaća dužnikovih zaposlenika iznosila je 3.535 </w:t>
      </w:r>
      <w:r w:rsidR="00A85F1C" w:rsidRPr="00D80C40">
        <w:rPr>
          <w:rFonts w:ascii="Times New Roman" w:hAnsi="Times New Roman"/>
        </w:rPr>
        <w:t xml:space="preserve">kuna </w:t>
      </w:r>
      <w:r w:rsidR="00AA65FC" w:rsidRPr="00D80C40">
        <w:rPr>
          <w:rFonts w:ascii="Times New Roman" w:hAnsi="Times New Roman"/>
        </w:rPr>
        <w:t>bruto</w:t>
      </w:r>
      <w:r w:rsidRPr="00D80C40">
        <w:rPr>
          <w:rFonts w:ascii="Times New Roman" w:hAnsi="Times New Roman"/>
        </w:rPr>
        <w:t xml:space="preserve">. Jedino u ovom stečajnom predmetu pronađeni su izvaci s bankovnih računa, ali ne tijekom cijelog postupka, već samo tijekom dvije godine trajanja stečaja. Iz dokumentacije je vidljivo da je svaka veća uplata na račun dužnika nakon jednog do dva dana većim dijelom bila </w:t>
      </w:r>
      <w:r w:rsidR="00D80C40" w:rsidRPr="00D80C40">
        <w:rPr>
          <w:rFonts w:ascii="Times New Roman" w:hAnsi="Times New Roman"/>
        </w:rPr>
        <w:t>uplaćena</w:t>
      </w:r>
      <w:r w:rsidRPr="00D80C40">
        <w:rPr>
          <w:rFonts w:ascii="Times New Roman" w:hAnsi="Times New Roman"/>
        </w:rPr>
        <w:t xml:space="preserve"> na privatni račun stečajnog upravitelja. Primjerice:</w:t>
      </w:r>
      <w:r w:rsidR="00D80C40" w:rsidRPr="00D80C40">
        <w:rPr>
          <w:rFonts w:ascii="Times New Roman" w:hAnsi="Times New Roman"/>
        </w:rPr>
        <w:t xml:space="preserve"> </w:t>
      </w:r>
      <w:r w:rsidRPr="00D80C40">
        <w:rPr>
          <w:rFonts w:ascii="Times New Roman" w:hAnsi="Times New Roman"/>
        </w:rPr>
        <w:t xml:space="preserve">23.1.2004. na račun upravitelja isplaćeno je 23.779 </w:t>
      </w:r>
      <w:r w:rsidR="00D80C40" w:rsidRPr="00D80C40">
        <w:rPr>
          <w:rFonts w:ascii="Times New Roman" w:hAnsi="Times New Roman"/>
        </w:rPr>
        <w:t xml:space="preserve">kuna; </w:t>
      </w:r>
      <w:r w:rsidRPr="00D80C40">
        <w:rPr>
          <w:rFonts w:ascii="Times New Roman" w:hAnsi="Times New Roman"/>
        </w:rPr>
        <w:t xml:space="preserve">8.3.2004. na račun upravitelja isplaćeno je 8.000 </w:t>
      </w:r>
      <w:r w:rsidR="00D80C40" w:rsidRPr="00D80C40">
        <w:rPr>
          <w:rFonts w:ascii="Times New Roman" w:hAnsi="Times New Roman"/>
        </w:rPr>
        <w:t xml:space="preserve">kuna; </w:t>
      </w:r>
      <w:r w:rsidRPr="00D80C40">
        <w:rPr>
          <w:rFonts w:ascii="Times New Roman" w:hAnsi="Times New Roman"/>
        </w:rPr>
        <w:t xml:space="preserve">17.3.2004. na račun upravitelja isplaćeno je 39.558 </w:t>
      </w:r>
      <w:r w:rsidR="00D80C40" w:rsidRPr="00D80C40">
        <w:rPr>
          <w:rFonts w:ascii="Times New Roman" w:hAnsi="Times New Roman"/>
        </w:rPr>
        <w:t xml:space="preserve">kuna; </w:t>
      </w:r>
      <w:r w:rsidRPr="00D80C40">
        <w:rPr>
          <w:rFonts w:ascii="Times New Roman" w:hAnsi="Times New Roman"/>
        </w:rPr>
        <w:t xml:space="preserve">6.7.2004. na račun upravitelja isplaćeno je 71.339 </w:t>
      </w:r>
      <w:r w:rsidR="00D80C40" w:rsidRPr="00D80C40">
        <w:rPr>
          <w:rFonts w:ascii="Times New Roman" w:hAnsi="Times New Roman"/>
        </w:rPr>
        <w:t xml:space="preserve">kuna; </w:t>
      </w:r>
      <w:r w:rsidRPr="00D80C40">
        <w:rPr>
          <w:rFonts w:ascii="Times New Roman" w:hAnsi="Times New Roman"/>
        </w:rPr>
        <w:t xml:space="preserve">27.12.2004. na račun upravitelja isplaćeno je 9.000 </w:t>
      </w:r>
      <w:r w:rsidR="00D80C40" w:rsidRPr="00D80C40">
        <w:rPr>
          <w:rFonts w:ascii="Times New Roman" w:hAnsi="Times New Roman"/>
        </w:rPr>
        <w:t xml:space="preserve">kuna; </w:t>
      </w:r>
      <w:r w:rsidRPr="00D80C40">
        <w:rPr>
          <w:rFonts w:ascii="Times New Roman" w:hAnsi="Times New Roman"/>
        </w:rPr>
        <w:t xml:space="preserve">17.1.2005 na račun upravitelja isplaćeno je 71.339 </w:t>
      </w:r>
      <w:r w:rsidR="00D80C40" w:rsidRPr="00D80C40">
        <w:rPr>
          <w:rFonts w:ascii="Times New Roman" w:hAnsi="Times New Roman"/>
        </w:rPr>
        <w:t xml:space="preserve">kuna; </w:t>
      </w:r>
      <w:r w:rsidRPr="00D80C40">
        <w:rPr>
          <w:rFonts w:ascii="Times New Roman" w:hAnsi="Times New Roman"/>
        </w:rPr>
        <w:t>25.1.2005  na račun upravitelja isplaćeno je</w:t>
      </w:r>
      <w:r w:rsidR="00E377E6" w:rsidRPr="00D80C40">
        <w:rPr>
          <w:rFonts w:ascii="Times New Roman" w:hAnsi="Times New Roman"/>
        </w:rPr>
        <w:t xml:space="preserve"> </w:t>
      </w:r>
      <w:r w:rsidRPr="00D80C40">
        <w:rPr>
          <w:rFonts w:ascii="Times New Roman" w:hAnsi="Times New Roman"/>
        </w:rPr>
        <w:t xml:space="preserve">2.300 </w:t>
      </w:r>
      <w:r w:rsidR="00D80C40" w:rsidRPr="00D80C40">
        <w:rPr>
          <w:rFonts w:ascii="Times New Roman" w:hAnsi="Times New Roman"/>
        </w:rPr>
        <w:t xml:space="preserve">kuna; </w:t>
      </w:r>
      <w:r w:rsidRPr="00D80C40">
        <w:rPr>
          <w:rFonts w:ascii="Times New Roman" w:hAnsi="Times New Roman"/>
        </w:rPr>
        <w:t xml:space="preserve">2.3.2005. isplaćena je „uplata za naknadu stečajnom upravitelju“ u iznosu 60.000 </w:t>
      </w:r>
      <w:r w:rsidR="00D80C40" w:rsidRPr="00D80C40">
        <w:rPr>
          <w:rFonts w:ascii="Times New Roman" w:hAnsi="Times New Roman"/>
        </w:rPr>
        <w:t xml:space="preserve">kuna; </w:t>
      </w:r>
      <w:r w:rsidRPr="00D80C40">
        <w:rPr>
          <w:rFonts w:ascii="Times New Roman" w:hAnsi="Times New Roman"/>
        </w:rPr>
        <w:t xml:space="preserve">22.3.2005. isplata na račun upravitelja, na ime „naknade za 2/3 mjesec“ u iznosu 40.000 </w:t>
      </w:r>
      <w:r w:rsidR="00D80C40" w:rsidRPr="00D80C40">
        <w:rPr>
          <w:rFonts w:ascii="Times New Roman" w:hAnsi="Times New Roman"/>
        </w:rPr>
        <w:t xml:space="preserve">kuna; </w:t>
      </w:r>
      <w:r w:rsidRPr="00D80C40">
        <w:rPr>
          <w:rFonts w:ascii="Times New Roman" w:hAnsi="Times New Roman"/>
        </w:rPr>
        <w:t xml:space="preserve">24.2.2005. izvršena je „uplata za naknadu“ stečajnom upravitelju u iznosu 50.000 </w:t>
      </w:r>
      <w:r w:rsidR="00D80C40" w:rsidRPr="00D80C40">
        <w:rPr>
          <w:rFonts w:ascii="Times New Roman" w:hAnsi="Times New Roman"/>
        </w:rPr>
        <w:t xml:space="preserve">kuna; </w:t>
      </w:r>
      <w:r w:rsidRPr="00D80C40">
        <w:rPr>
          <w:rFonts w:ascii="Times New Roman" w:hAnsi="Times New Roman"/>
        </w:rPr>
        <w:t xml:space="preserve">25.2.2005. na račun upravitelja isplaćeno je 50.000 </w:t>
      </w:r>
      <w:r w:rsidR="00D80C40" w:rsidRPr="00D80C40">
        <w:rPr>
          <w:rFonts w:ascii="Times New Roman" w:hAnsi="Times New Roman"/>
        </w:rPr>
        <w:t xml:space="preserve">kuna; </w:t>
      </w:r>
      <w:r w:rsidRPr="00D80C40">
        <w:rPr>
          <w:rFonts w:ascii="Times New Roman" w:hAnsi="Times New Roman"/>
        </w:rPr>
        <w:t xml:space="preserve">16.6.2005. na račun upravitelja isplaćeno je 78.900 </w:t>
      </w:r>
      <w:r w:rsidR="00D80C40" w:rsidRPr="00D80C40">
        <w:rPr>
          <w:rFonts w:ascii="Times New Roman" w:hAnsi="Times New Roman"/>
        </w:rPr>
        <w:t xml:space="preserve">kuna; </w:t>
      </w:r>
      <w:r w:rsidRPr="00D80C40">
        <w:rPr>
          <w:rFonts w:ascii="Times New Roman" w:hAnsi="Times New Roman"/>
        </w:rPr>
        <w:lastRenderedPageBreak/>
        <w:t>28.7.2005. sav iznos sa računa dužnika uplaćen je na račun stečajnog upravitelj</w:t>
      </w:r>
      <w:r w:rsidR="00D80C40" w:rsidRPr="00D80C40">
        <w:rPr>
          <w:rFonts w:ascii="Times New Roman" w:hAnsi="Times New Roman"/>
        </w:rPr>
        <w:t xml:space="preserve">a (novi saldo dužnika je nula) – </w:t>
      </w:r>
      <w:r w:rsidRPr="00D80C40">
        <w:rPr>
          <w:rFonts w:ascii="Times New Roman" w:hAnsi="Times New Roman"/>
        </w:rPr>
        <w:t>iznos</w:t>
      </w:r>
      <w:r w:rsidR="00D80C40" w:rsidRPr="00D80C40">
        <w:rPr>
          <w:rFonts w:ascii="Times New Roman" w:hAnsi="Times New Roman"/>
        </w:rPr>
        <w:t xml:space="preserve"> </w:t>
      </w:r>
      <w:r w:rsidRPr="00D80C40">
        <w:rPr>
          <w:rFonts w:ascii="Times New Roman" w:hAnsi="Times New Roman"/>
        </w:rPr>
        <w:t xml:space="preserve">uplate je 10.176 </w:t>
      </w:r>
      <w:r w:rsidR="00D80C40" w:rsidRPr="00D80C40">
        <w:rPr>
          <w:rFonts w:ascii="Times New Roman" w:hAnsi="Times New Roman"/>
        </w:rPr>
        <w:t xml:space="preserve">kuna; </w:t>
      </w:r>
      <w:r w:rsidRPr="00D80C40">
        <w:rPr>
          <w:rFonts w:ascii="Times New Roman" w:hAnsi="Times New Roman"/>
        </w:rPr>
        <w:t xml:space="preserve">23.9.2005. na račun upravitelja isplaćeno je 35.000 </w:t>
      </w:r>
      <w:r w:rsidR="00D80C40" w:rsidRPr="00D80C40">
        <w:rPr>
          <w:rFonts w:ascii="Times New Roman" w:hAnsi="Times New Roman"/>
        </w:rPr>
        <w:t xml:space="preserve">kuna; </w:t>
      </w:r>
      <w:r w:rsidRPr="00D80C40">
        <w:rPr>
          <w:rFonts w:ascii="Times New Roman" w:hAnsi="Times New Roman"/>
        </w:rPr>
        <w:t>27.10.2005. na račun upravitelja isplaćeno je 45.500 kn.</w:t>
      </w:r>
      <w:r w:rsidR="00F36302">
        <w:rPr>
          <w:rFonts w:ascii="Times New Roman" w:hAnsi="Times New Roman"/>
        </w:rPr>
        <w:t xml:space="preserve"> </w:t>
      </w:r>
      <w:r w:rsidRPr="00F36302">
        <w:rPr>
          <w:rFonts w:ascii="Times New Roman" w:hAnsi="Times New Roman"/>
        </w:rPr>
        <w:t>Istodobno upravitelj u ime dužnika ne plaća račune</w:t>
      </w:r>
      <w:r w:rsidR="00D80C40" w:rsidRPr="00F36302">
        <w:rPr>
          <w:rFonts w:ascii="Times New Roman" w:hAnsi="Times New Roman"/>
        </w:rPr>
        <w:t xml:space="preserve"> vjerovnicima</w:t>
      </w:r>
      <w:r w:rsidRPr="00F36302">
        <w:rPr>
          <w:rFonts w:ascii="Times New Roman" w:hAnsi="Times New Roman"/>
        </w:rPr>
        <w:t xml:space="preserve"> i dospijevaju ovrhe za</w:t>
      </w:r>
      <w:r w:rsidR="00D80C40" w:rsidRPr="00F36302">
        <w:rPr>
          <w:rFonts w:ascii="Times New Roman" w:hAnsi="Times New Roman"/>
        </w:rPr>
        <w:t xml:space="preserve">, primjerice, </w:t>
      </w:r>
      <w:r w:rsidRPr="00F36302">
        <w:rPr>
          <w:rFonts w:ascii="Times New Roman" w:hAnsi="Times New Roman"/>
        </w:rPr>
        <w:t>Hrvatske vode. U promatranom razdoblju za koj</w:t>
      </w:r>
      <w:r w:rsidR="00D80C40" w:rsidRPr="00F36302">
        <w:rPr>
          <w:rFonts w:ascii="Times New Roman" w:hAnsi="Times New Roman"/>
        </w:rPr>
        <w:t>e</w:t>
      </w:r>
      <w:r w:rsidRPr="00F36302">
        <w:rPr>
          <w:rFonts w:ascii="Times New Roman" w:hAnsi="Times New Roman"/>
        </w:rPr>
        <w:t xml:space="preserve"> postoji evidencija isplaćeno je </w:t>
      </w:r>
      <w:r w:rsidR="00D80C40" w:rsidRPr="00F36302">
        <w:rPr>
          <w:rFonts w:ascii="Times New Roman" w:hAnsi="Times New Roman"/>
        </w:rPr>
        <w:t xml:space="preserve">ukupno </w:t>
      </w:r>
      <w:r w:rsidRPr="00F36302">
        <w:rPr>
          <w:rFonts w:ascii="Times New Roman" w:hAnsi="Times New Roman"/>
        </w:rPr>
        <w:t xml:space="preserve">594.891 </w:t>
      </w:r>
      <w:r w:rsidR="00A85F1C" w:rsidRPr="00F36302">
        <w:rPr>
          <w:rFonts w:ascii="Times New Roman" w:hAnsi="Times New Roman"/>
        </w:rPr>
        <w:t xml:space="preserve">kuna </w:t>
      </w:r>
      <w:r w:rsidRPr="00F36302">
        <w:rPr>
          <w:rFonts w:ascii="Times New Roman" w:hAnsi="Times New Roman"/>
        </w:rPr>
        <w:t xml:space="preserve">na račun stečajnog upravitelja. Nevezano za ove isplate, stečajni upravitelj si povremeno isplaćuje okrugle iznose za putne troškove, </w:t>
      </w:r>
      <w:r w:rsidR="00D80C40" w:rsidRPr="00F36302">
        <w:rPr>
          <w:rFonts w:ascii="Times New Roman" w:hAnsi="Times New Roman"/>
        </w:rPr>
        <w:t>primjerice</w:t>
      </w:r>
      <w:r w:rsidRPr="00F36302">
        <w:rPr>
          <w:rFonts w:ascii="Times New Roman" w:hAnsi="Times New Roman"/>
        </w:rPr>
        <w:t xml:space="preserve"> 2.000 </w:t>
      </w:r>
      <w:r w:rsidR="00A85F1C" w:rsidRPr="00F36302">
        <w:rPr>
          <w:rFonts w:ascii="Times New Roman" w:hAnsi="Times New Roman"/>
        </w:rPr>
        <w:t xml:space="preserve">kuna </w:t>
      </w:r>
      <w:r w:rsidRPr="00F36302">
        <w:rPr>
          <w:rFonts w:ascii="Times New Roman" w:hAnsi="Times New Roman"/>
        </w:rPr>
        <w:t>na dan 19.12.2002.</w:t>
      </w:r>
      <w:r w:rsidR="00D80C40" w:rsidRPr="00F36302">
        <w:rPr>
          <w:rFonts w:ascii="Times New Roman" w:hAnsi="Times New Roman"/>
        </w:rPr>
        <w:t xml:space="preserve"> godine.</w:t>
      </w:r>
      <w:r w:rsidRPr="00F36302">
        <w:rPr>
          <w:rFonts w:ascii="Times New Roman" w:hAnsi="Times New Roman"/>
        </w:rPr>
        <w:t xml:space="preserve"> U ovom postupku u potpunosti su namireni razlučni vjerovnici, prvi red vjerovnika namiren je u iznosu 27%, a ostali vjerovnici nisu dobili ništa.</w:t>
      </w:r>
    </w:p>
    <w:p w:rsidR="00F36302" w:rsidRDefault="00F36302" w:rsidP="00E377E6">
      <w:pPr>
        <w:spacing w:line="480" w:lineRule="auto"/>
        <w:rPr>
          <w:rFonts w:ascii="Times New Roman" w:hAnsi="Times New Roman"/>
        </w:rPr>
      </w:pPr>
    </w:p>
    <w:p w:rsidR="005A7A8E" w:rsidRPr="005A7A8E" w:rsidRDefault="005A7A8E" w:rsidP="00E377E6">
      <w:pPr>
        <w:spacing w:line="480" w:lineRule="auto"/>
        <w:rPr>
          <w:rFonts w:ascii="Times New Roman" w:hAnsi="Times New Roman"/>
        </w:rPr>
      </w:pPr>
      <w:r w:rsidRPr="005A7A8E">
        <w:rPr>
          <w:rFonts w:ascii="Times New Roman" w:hAnsi="Times New Roman"/>
        </w:rPr>
        <w:t xml:space="preserve">Sveukupno, u promatranom uzorku mogu se uočiti pojave koje bi se dale koncipirati i kao pravila u stečajnom postupku (uz uvijek prisutne iznimke), a to su: </w:t>
      </w:r>
    </w:p>
    <w:p w:rsidR="005A7A8E" w:rsidRPr="005A7A8E" w:rsidRDefault="005A7A8E" w:rsidP="00E377E6">
      <w:pPr>
        <w:numPr>
          <w:ilvl w:val="0"/>
          <w:numId w:val="4"/>
        </w:numPr>
        <w:spacing w:after="0" w:line="480" w:lineRule="auto"/>
        <w:rPr>
          <w:rFonts w:ascii="Times New Roman" w:hAnsi="Times New Roman"/>
        </w:rPr>
      </w:pPr>
      <w:r w:rsidRPr="005A7A8E">
        <w:rPr>
          <w:rFonts w:ascii="Times New Roman" w:hAnsi="Times New Roman"/>
        </w:rPr>
        <w:t xml:space="preserve">Stečajni </w:t>
      </w:r>
      <w:r w:rsidR="0059731C" w:rsidRPr="005A7A8E">
        <w:rPr>
          <w:rFonts w:ascii="Times New Roman" w:hAnsi="Times New Roman"/>
        </w:rPr>
        <w:t xml:space="preserve">su </w:t>
      </w:r>
      <w:r w:rsidRPr="005A7A8E">
        <w:rPr>
          <w:rFonts w:ascii="Times New Roman" w:hAnsi="Times New Roman"/>
        </w:rPr>
        <w:t xml:space="preserve">upravitelji neuredni pri vođenju poslovne dokumentacije. </w:t>
      </w:r>
      <w:r w:rsidR="00D80C40">
        <w:rPr>
          <w:rFonts w:ascii="Times New Roman" w:hAnsi="Times New Roman"/>
        </w:rPr>
        <w:t>Upravitelji nemaju dužnost podnijeti detaljne troškovnike postupka, niti predati dokumentaciju o uplatama i isplatama s računa dužnika. Samo je u jednom obrađenom slučaju pronađena nepotpuna dokumentacija o toku novca za vrijeme trajanja stečajnog  postupka.</w:t>
      </w:r>
    </w:p>
    <w:p w:rsidR="005A7A8E" w:rsidRPr="005A7A8E" w:rsidRDefault="005A7A8E" w:rsidP="00E377E6">
      <w:pPr>
        <w:numPr>
          <w:ilvl w:val="0"/>
          <w:numId w:val="4"/>
        </w:numPr>
        <w:spacing w:after="0" w:line="480" w:lineRule="auto"/>
        <w:rPr>
          <w:rFonts w:ascii="Times New Roman" w:hAnsi="Times New Roman"/>
        </w:rPr>
      </w:pPr>
      <w:r w:rsidRPr="005A7A8E">
        <w:rPr>
          <w:rFonts w:ascii="Times New Roman" w:hAnsi="Times New Roman"/>
        </w:rPr>
        <w:t xml:space="preserve">Ukoliko se nakon zaključenja stečaja naknadno pronađe </w:t>
      </w:r>
      <w:r w:rsidR="00D80C40">
        <w:rPr>
          <w:rFonts w:ascii="Times New Roman" w:hAnsi="Times New Roman"/>
        </w:rPr>
        <w:t>ne</w:t>
      </w:r>
      <w:r w:rsidRPr="005A7A8E">
        <w:rPr>
          <w:rFonts w:ascii="Times New Roman" w:hAnsi="Times New Roman"/>
        </w:rPr>
        <w:t>ka imovina dužnika, prihodi od nje</w:t>
      </w:r>
      <w:r w:rsidR="0059731C">
        <w:rPr>
          <w:rFonts w:ascii="Times New Roman" w:hAnsi="Times New Roman"/>
        </w:rPr>
        <w:t>zi</w:t>
      </w:r>
      <w:r w:rsidRPr="005A7A8E">
        <w:rPr>
          <w:rFonts w:ascii="Times New Roman" w:hAnsi="Times New Roman"/>
        </w:rPr>
        <w:t xml:space="preserve">nog unovčenja najčešće </w:t>
      </w:r>
      <w:r w:rsidR="00D80C40">
        <w:rPr>
          <w:rFonts w:ascii="Times New Roman" w:hAnsi="Times New Roman"/>
        </w:rPr>
        <w:t>se</w:t>
      </w:r>
      <w:r w:rsidRPr="005A7A8E">
        <w:rPr>
          <w:rFonts w:ascii="Times New Roman" w:hAnsi="Times New Roman"/>
        </w:rPr>
        <w:t xml:space="preserve"> isplać</w:t>
      </w:r>
      <w:r w:rsidR="00D80C40">
        <w:rPr>
          <w:rFonts w:ascii="Times New Roman" w:hAnsi="Times New Roman"/>
        </w:rPr>
        <w:t>uju</w:t>
      </w:r>
      <w:r w:rsidRPr="005A7A8E">
        <w:rPr>
          <w:rFonts w:ascii="Times New Roman" w:hAnsi="Times New Roman"/>
        </w:rPr>
        <w:t xml:space="preserve"> stečajnom upravitelju kao nagrada, a manjim dijelom i rjeđe vjerovnicima. Paradoksalno, uslijed ovakve prakse vjerovnici mogu biti gotovo indiferentni prema tome hoće li </w:t>
      </w:r>
      <w:r w:rsidR="00D80C40">
        <w:rPr>
          <w:rFonts w:ascii="Times New Roman" w:hAnsi="Times New Roman"/>
        </w:rPr>
        <w:t>ne</w:t>
      </w:r>
      <w:r w:rsidRPr="005A7A8E">
        <w:rPr>
          <w:rFonts w:ascii="Times New Roman" w:hAnsi="Times New Roman"/>
        </w:rPr>
        <w:t>ka imovina dužnika naknadno biti pronađena, jer oni od toga (u promatranom uzorku) dobivaju vrlo malo ili češće ništa</w:t>
      </w:r>
      <w:r w:rsidRPr="005A7A8E">
        <w:rPr>
          <w:rStyle w:val="FootnoteReference"/>
          <w:rFonts w:ascii="Times New Roman" w:hAnsi="Times New Roman"/>
        </w:rPr>
        <w:footnoteReference w:id="29"/>
      </w:r>
      <w:r w:rsidRPr="005A7A8E">
        <w:rPr>
          <w:rFonts w:ascii="Times New Roman" w:hAnsi="Times New Roman"/>
        </w:rPr>
        <w:t>.</w:t>
      </w:r>
    </w:p>
    <w:p w:rsidR="005A7A8E" w:rsidRPr="005A7A8E" w:rsidRDefault="005A7A8E" w:rsidP="00E377E6">
      <w:pPr>
        <w:numPr>
          <w:ilvl w:val="0"/>
          <w:numId w:val="4"/>
        </w:numPr>
        <w:spacing w:after="0" w:line="480" w:lineRule="auto"/>
        <w:rPr>
          <w:rFonts w:ascii="Times New Roman" w:hAnsi="Times New Roman"/>
        </w:rPr>
      </w:pPr>
      <w:r w:rsidRPr="005A7A8E">
        <w:rPr>
          <w:rFonts w:ascii="Times New Roman" w:hAnsi="Times New Roman"/>
        </w:rPr>
        <w:t xml:space="preserve">Izigrava se volja vjerovnika. </w:t>
      </w:r>
      <w:r w:rsidR="004B6C06">
        <w:rPr>
          <w:rFonts w:ascii="Times New Roman" w:hAnsi="Times New Roman"/>
        </w:rPr>
        <w:t xml:space="preserve">Ukoliko vjerovnici nisu zadovoljni radom stečajnog upravitelja te on uslijed toga bude smijenjen, novi stečajni upravitelj često uzima za bliskog suradnika prethodnog upravitelja. Time se povećavaju troškovi postupka, </w:t>
      </w:r>
      <w:r w:rsidR="004B6C06">
        <w:rPr>
          <w:rFonts w:ascii="Times New Roman" w:hAnsi="Times New Roman"/>
        </w:rPr>
        <w:lastRenderedPageBreak/>
        <w:t>posljedično se smanjuje razina namirenja tražbina vjerovnika, a prethodni se upravitelj zapravo uopće ne udaljuje iz postupka.</w:t>
      </w:r>
    </w:p>
    <w:p w:rsidR="005A7A8E" w:rsidRPr="005A7A8E" w:rsidRDefault="005A7A8E" w:rsidP="00E377E6">
      <w:pPr>
        <w:numPr>
          <w:ilvl w:val="0"/>
          <w:numId w:val="4"/>
        </w:numPr>
        <w:spacing w:after="0" w:line="480" w:lineRule="auto"/>
        <w:rPr>
          <w:rFonts w:ascii="Times New Roman" w:hAnsi="Times New Roman"/>
        </w:rPr>
      </w:pPr>
      <w:r w:rsidRPr="005A7A8E">
        <w:rPr>
          <w:rFonts w:ascii="Times New Roman" w:hAnsi="Times New Roman"/>
        </w:rPr>
        <w:t>Stečajni upravitelji imaju mogućnost u troškove postupka ugraditi rashode čija namjena nije jasna i koji ne doprinose boljem namirenju vjerovnika. Vjerovnici nemaju efikasan alat nadzora i sankcioniranja ovakvog ponašanja.</w:t>
      </w:r>
    </w:p>
    <w:p w:rsidR="005A7A8E" w:rsidRPr="005A7A8E" w:rsidRDefault="005A7A8E" w:rsidP="00E377E6">
      <w:pPr>
        <w:spacing w:line="480" w:lineRule="auto"/>
        <w:rPr>
          <w:rFonts w:ascii="Times New Roman" w:hAnsi="Times New Roman"/>
        </w:rPr>
      </w:pPr>
      <w:r w:rsidRPr="005A7A8E">
        <w:rPr>
          <w:rFonts w:ascii="Times New Roman" w:hAnsi="Times New Roman"/>
        </w:rPr>
        <w:t xml:space="preserve">Potrebno je istaknuti i pozitivne primjere, kako se ne bi stekao dojam da se u svakom stečajnom postupku događaju otkloni od realizacije ciljeva stečaja. Tako su u postupku nad dužnikom koji je 2.021 dan imao blokiran račun prije otvaranja stečaja, a tvrtka je otišla u stečaj o 50-godišnjici svoga osnutka, u cijelosti isplaćeni svi vjerovnici. Čak su i vjerovnici nižih isplatnih redova u cijelosti isplaćeni, a i dioničari su dobili ukupno 73 kn po dionici. Stečajnom </w:t>
      </w:r>
      <w:r w:rsidR="00FD130A" w:rsidRPr="005A7A8E">
        <w:rPr>
          <w:rFonts w:ascii="Times New Roman" w:hAnsi="Times New Roman"/>
        </w:rPr>
        <w:t xml:space="preserve">je </w:t>
      </w:r>
      <w:r w:rsidRPr="005A7A8E">
        <w:rPr>
          <w:rFonts w:ascii="Times New Roman" w:hAnsi="Times New Roman"/>
        </w:rPr>
        <w:t>upravitelju uz redovnu mjesečnu nagradu od 5.000 kn neto, tijekom 70 mjeseci postupka</w:t>
      </w:r>
      <w:r w:rsidR="004B6C06">
        <w:rPr>
          <w:rFonts w:ascii="Times New Roman" w:hAnsi="Times New Roman"/>
        </w:rPr>
        <w:t>,</w:t>
      </w:r>
      <w:r w:rsidRPr="005A7A8E">
        <w:rPr>
          <w:rFonts w:ascii="Times New Roman" w:hAnsi="Times New Roman"/>
        </w:rPr>
        <w:t xml:space="preserve"> isplaćena i konačna nagrada u iznosu 35.000 </w:t>
      </w:r>
      <w:r w:rsidR="00AA65FC">
        <w:rPr>
          <w:rFonts w:ascii="Times New Roman" w:hAnsi="Times New Roman"/>
        </w:rPr>
        <w:t>kuna</w:t>
      </w:r>
      <w:r w:rsidRPr="005A7A8E">
        <w:rPr>
          <w:rFonts w:ascii="Times New Roman" w:hAnsi="Times New Roman"/>
        </w:rPr>
        <w:t xml:space="preserve"> te dodatak konačnoj nagradi u iznosu 15.000 kn </w:t>
      </w:r>
      <w:r w:rsidR="00AA65FC">
        <w:rPr>
          <w:rFonts w:ascii="Times New Roman" w:hAnsi="Times New Roman"/>
        </w:rPr>
        <w:t>neto</w:t>
      </w:r>
      <w:r w:rsidRPr="005A7A8E">
        <w:rPr>
          <w:rFonts w:ascii="Times New Roman" w:hAnsi="Times New Roman"/>
        </w:rPr>
        <w:t xml:space="preserve">. Također, nakon unovčenja naknadno pronađene imovine isplaćeno mu je još 46.000 kn. Ukupno, isplaćeno mu je najmanje 446.000 kn </w:t>
      </w:r>
      <w:r w:rsidR="00AA65FC">
        <w:rPr>
          <w:rFonts w:ascii="Times New Roman" w:hAnsi="Times New Roman"/>
        </w:rPr>
        <w:t>neto</w:t>
      </w:r>
      <w:r w:rsidRPr="005A7A8E">
        <w:rPr>
          <w:rFonts w:ascii="Times New Roman" w:hAnsi="Times New Roman"/>
        </w:rPr>
        <w:t>, ali s obzirom na razinu namirenja vjerovnika ovdje se ne može govoriti o nekorektnom postupanju</w:t>
      </w:r>
      <w:r w:rsidRPr="005A7A8E">
        <w:rPr>
          <w:rStyle w:val="FootnoteReference"/>
          <w:rFonts w:ascii="Times New Roman" w:hAnsi="Times New Roman"/>
        </w:rPr>
        <w:footnoteReference w:id="30"/>
      </w:r>
      <w:r w:rsidRPr="005A7A8E">
        <w:rPr>
          <w:rFonts w:ascii="Times New Roman" w:hAnsi="Times New Roman"/>
        </w:rPr>
        <w:t>.</w:t>
      </w:r>
    </w:p>
    <w:p w:rsidR="005A7A8E" w:rsidRDefault="005A7A8E" w:rsidP="00E377E6">
      <w:pPr>
        <w:spacing w:line="480" w:lineRule="auto"/>
        <w:rPr>
          <w:rFonts w:ascii="Times New Roman" w:hAnsi="Times New Roman"/>
        </w:rPr>
      </w:pPr>
      <w:r w:rsidRPr="005A7A8E">
        <w:rPr>
          <w:rFonts w:ascii="Times New Roman" w:hAnsi="Times New Roman"/>
        </w:rPr>
        <w:t>Valja se dota</w:t>
      </w:r>
      <w:r w:rsidR="00FD130A">
        <w:rPr>
          <w:rFonts w:ascii="Times New Roman" w:hAnsi="Times New Roman"/>
        </w:rPr>
        <w:t>knuti</w:t>
      </w:r>
      <w:r w:rsidRPr="005A7A8E">
        <w:rPr>
          <w:rFonts w:ascii="Times New Roman" w:hAnsi="Times New Roman"/>
        </w:rPr>
        <w:t xml:space="preserve"> još jedne pojave na koju ukazuju rezultati ovog istraživanja. Stečajni upravitelji ekonomski su odgovorni vjerovnicima, no formalno (pravno) odgovaraju stečajnim sucima i suci imaju široke ovlasti nad </w:t>
      </w:r>
      <w:r w:rsidR="004B6C06">
        <w:rPr>
          <w:rFonts w:ascii="Times New Roman" w:hAnsi="Times New Roman"/>
        </w:rPr>
        <w:t xml:space="preserve">stečajnim </w:t>
      </w:r>
      <w:r w:rsidRPr="005A7A8E">
        <w:rPr>
          <w:rFonts w:ascii="Times New Roman" w:hAnsi="Times New Roman"/>
        </w:rPr>
        <w:t>upraviteljima. Malo je vjerojatno da su stečajni suci potpuno neupućeni u nekorektna postupanja upravitelja i opravdano je pretpostaviti da su u nekim slučajevima upravitelji oštećivali vjerovnike ili u neposrednom dosluhu sa sucima ili uz njihovo prešutno odobrenje</w:t>
      </w:r>
      <w:r w:rsidRPr="005A7A8E">
        <w:rPr>
          <w:rStyle w:val="FootnoteReference"/>
          <w:rFonts w:ascii="Times New Roman" w:hAnsi="Times New Roman"/>
        </w:rPr>
        <w:footnoteReference w:id="31"/>
      </w:r>
      <w:r w:rsidRPr="005A7A8E">
        <w:rPr>
          <w:rFonts w:ascii="Times New Roman" w:hAnsi="Times New Roman"/>
        </w:rPr>
        <w:t>. Za navedeno u ovom istraživanju nisu pronađeni konkretniji dokazi, no takvo što u međunarodnoj komparaciji stečajnih sustava ne bi bila nikakva novost. Naime, položaj stečajnih su</w:t>
      </w:r>
      <w:r w:rsidR="004B6C06">
        <w:rPr>
          <w:rFonts w:ascii="Times New Roman" w:hAnsi="Times New Roman"/>
        </w:rPr>
        <w:t xml:space="preserve">daca vrlo je delikatan jer oni, </w:t>
      </w:r>
      <w:r w:rsidRPr="005A7A8E">
        <w:rPr>
          <w:rFonts w:ascii="Times New Roman" w:hAnsi="Times New Roman"/>
        </w:rPr>
        <w:t>za razliku od sudaca u ostalim granama prava</w:t>
      </w:r>
      <w:r w:rsidR="004B6C06">
        <w:rPr>
          <w:rFonts w:ascii="Times New Roman" w:hAnsi="Times New Roman"/>
        </w:rPr>
        <w:t>,</w:t>
      </w:r>
      <w:r w:rsidRPr="005A7A8E">
        <w:rPr>
          <w:rFonts w:ascii="Times New Roman" w:hAnsi="Times New Roman"/>
        </w:rPr>
        <w:t xml:space="preserve"> redovito i uobičajeno arbitriraju u procesima čija se vrijednost mjeri desecima i stotinama milijuna kuna. Stoga su </w:t>
      </w:r>
      <w:r w:rsidRPr="005A7A8E">
        <w:rPr>
          <w:rFonts w:ascii="Times New Roman" w:hAnsi="Times New Roman"/>
        </w:rPr>
        <w:lastRenderedPageBreak/>
        <w:t>koruptivni pritisak, moralni hazard i rizici malverzacija daleko veći na trgovačkim sudovima nego drugdje pa je očekivano da će se slučajevi eksploatacije položaja u prosjeku češće događati. Kako je rečeno, to ne bi bio hrvatski specifikum jer se pojave korupcije u stečaju događaju i drugdje (</w:t>
      </w:r>
      <w:proofErr w:type="spellStart"/>
      <w:r w:rsidRPr="005A7A8E">
        <w:rPr>
          <w:rFonts w:ascii="Times New Roman" w:hAnsi="Times New Roman"/>
        </w:rPr>
        <w:t>Biais</w:t>
      </w:r>
      <w:proofErr w:type="spellEnd"/>
      <w:r w:rsidRPr="005A7A8E">
        <w:rPr>
          <w:rFonts w:ascii="Times New Roman" w:hAnsi="Times New Roman"/>
        </w:rPr>
        <w:t xml:space="preserve"> i </w:t>
      </w:r>
      <w:proofErr w:type="spellStart"/>
      <w:r w:rsidRPr="005A7A8E">
        <w:rPr>
          <w:rFonts w:ascii="Times New Roman" w:hAnsi="Times New Roman"/>
        </w:rPr>
        <w:t>Recasens</w:t>
      </w:r>
      <w:proofErr w:type="spellEnd"/>
      <w:r w:rsidRPr="005A7A8E">
        <w:rPr>
          <w:rFonts w:ascii="Times New Roman" w:hAnsi="Times New Roman"/>
        </w:rPr>
        <w:t xml:space="preserve">, 2002; </w:t>
      </w:r>
      <w:proofErr w:type="spellStart"/>
      <w:r w:rsidRPr="005A7A8E">
        <w:rPr>
          <w:rFonts w:ascii="Times New Roman" w:hAnsi="Times New Roman"/>
        </w:rPr>
        <w:t>Vychodil</w:t>
      </w:r>
      <w:proofErr w:type="spellEnd"/>
      <w:r w:rsidRPr="005A7A8E">
        <w:rPr>
          <w:rFonts w:ascii="Times New Roman" w:hAnsi="Times New Roman"/>
        </w:rPr>
        <w:t xml:space="preserve"> i </w:t>
      </w:r>
      <w:proofErr w:type="spellStart"/>
      <w:r w:rsidRPr="005A7A8E">
        <w:rPr>
          <w:rFonts w:ascii="Times New Roman" w:hAnsi="Times New Roman"/>
        </w:rPr>
        <w:t>Knot</w:t>
      </w:r>
      <w:proofErr w:type="spellEnd"/>
      <w:r w:rsidRPr="005A7A8E">
        <w:rPr>
          <w:rFonts w:ascii="Times New Roman" w:hAnsi="Times New Roman"/>
        </w:rPr>
        <w:t xml:space="preserve">, 2004; </w:t>
      </w:r>
      <w:proofErr w:type="spellStart"/>
      <w:r w:rsidRPr="005A7A8E">
        <w:rPr>
          <w:rFonts w:ascii="Times New Roman" w:hAnsi="Times New Roman"/>
        </w:rPr>
        <w:t>LoPucki</w:t>
      </w:r>
      <w:proofErr w:type="spellEnd"/>
      <w:r w:rsidRPr="005A7A8E">
        <w:rPr>
          <w:rFonts w:ascii="Times New Roman" w:hAnsi="Times New Roman"/>
        </w:rPr>
        <w:t xml:space="preserve">, 2006; </w:t>
      </w:r>
      <w:proofErr w:type="spellStart"/>
      <w:r w:rsidRPr="005A7A8E">
        <w:rPr>
          <w:rFonts w:ascii="Times New Roman" w:hAnsi="Times New Roman"/>
        </w:rPr>
        <w:t>Dickerson</w:t>
      </w:r>
      <w:proofErr w:type="spellEnd"/>
      <w:r w:rsidRPr="005A7A8E">
        <w:rPr>
          <w:rFonts w:ascii="Times New Roman" w:hAnsi="Times New Roman"/>
        </w:rPr>
        <w:t>, 2006</w:t>
      </w:r>
      <w:r w:rsidR="009B281F">
        <w:rPr>
          <w:rFonts w:ascii="Times New Roman" w:hAnsi="Times New Roman"/>
        </w:rPr>
        <w:t xml:space="preserve">, </w:t>
      </w:r>
      <w:proofErr w:type="spellStart"/>
      <w:r w:rsidR="009B281F">
        <w:rPr>
          <w:rFonts w:ascii="Times New Roman" w:hAnsi="Times New Roman"/>
        </w:rPr>
        <w:t>Selvatici</w:t>
      </w:r>
      <w:proofErr w:type="spellEnd"/>
      <w:r w:rsidR="009B281F">
        <w:rPr>
          <w:rFonts w:ascii="Times New Roman" w:hAnsi="Times New Roman"/>
        </w:rPr>
        <w:t>, 2014</w:t>
      </w:r>
      <w:r w:rsidRPr="005A7A8E">
        <w:rPr>
          <w:rFonts w:ascii="Times New Roman" w:hAnsi="Times New Roman"/>
        </w:rPr>
        <w:t xml:space="preserve">). Jednostavno, "[stečajni] </w:t>
      </w:r>
      <w:r w:rsidRPr="005A7A8E">
        <w:rPr>
          <w:rFonts w:ascii="Times New Roman" w:hAnsi="Times New Roman"/>
          <w:i/>
        </w:rPr>
        <w:t xml:space="preserve">profesionalci imaju </w:t>
      </w:r>
      <w:r w:rsidRPr="0023383D">
        <w:rPr>
          <w:rFonts w:ascii="Times New Roman" w:hAnsi="Times New Roman"/>
        </w:rPr>
        <w:t>priliku</w:t>
      </w:r>
      <w:r w:rsidRPr="005A7A8E">
        <w:rPr>
          <w:rFonts w:ascii="Times New Roman" w:hAnsi="Times New Roman"/>
          <w:i/>
        </w:rPr>
        <w:t xml:space="preserve"> naplatiti više u većim predmetima, dužim predmetima, i u predmetima u koje je involvirano više tvrtki</w:t>
      </w:r>
      <w:r w:rsidRPr="005A7A8E">
        <w:rPr>
          <w:rFonts w:ascii="Times New Roman" w:hAnsi="Times New Roman"/>
        </w:rPr>
        <w:t>" (</w:t>
      </w:r>
      <w:proofErr w:type="spellStart"/>
      <w:r w:rsidRPr="005A7A8E">
        <w:rPr>
          <w:rFonts w:ascii="Times New Roman" w:hAnsi="Times New Roman"/>
        </w:rPr>
        <w:t>LoPucki</w:t>
      </w:r>
      <w:proofErr w:type="spellEnd"/>
      <w:r w:rsidRPr="005A7A8E">
        <w:rPr>
          <w:rFonts w:ascii="Times New Roman" w:hAnsi="Times New Roman"/>
        </w:rPr>
        <w:t xml:space="preserve"> i </w:t>
      </w:r>
      <w:proofErr w:type="spellStart"/>
      <w:r w:rsidRPr="005A7A8E">
        <w:rPr>
          <w:rFonts w:ascii="Times New Roman" w:hAnsi="Times New Roman"/>
        </w:rPr>
        <w:t>Doherty</w:t>
      </w:r>
      <w:proofErr w:type="spellEnd"/>
      <w:r w:rsidRPr="005A7A8E">
        <w:rPr>
          <w:rFonts w:ascii="Times New Roman" w:hAnsi="Times New Roman"/>
        </w:rPr>
        <w:t xml:space="preserve">, 2008:1011). U prethodnom citatu autori su </w:t>
      </w:r>
      <w:r w:rsidR="0023383D">
        <w:rPr>
          <w:rFonts w:ascii="Times New Roman" w:hAnsi="Times New Roman"/>
        </w:rPr>
        <w:t>naglasili</w:t>
      </w:r>
      <w:r w:rsidRPr="005A7A8E">
        <w:rPr>
          <w:rFonts w:ascii="Times New Roman" w:hAnsi="Times New Roman"/>
        </w:rPr>
        <w:t xml:space="preserve"> riječ „prilika“, u skladu s uvriježenim mišljenjem kako prilika stvara mogućnost malverzacija. Stoga je u ovakvim okolnostima potrebno uspostaviti dodatne razine nadzora u sustavu, kako bi ove </w:t>
      </w:r>
      <w:r w:rsidR="0023383D">
        <w:rPr>
          <w:rFonts w:ascii="Times New Roman" w:hAnsi="Times New Roman"/>
        </w:rPr>
        <w:t>„</w:t>
      </w:r>
      <w:r w:rsidRPr="005A7A8E">
        <w:rPr>
          <w:rFonts w:ascii="Times New Roman" w:hAnsi="Times New Roman"/>
        </w:rPr>
        <w:t>prilike</w:t>
      </w:r>
      <w:r w:rsidR="0023383D">
        <w:rPr>
          <w:rFonts w:ascii="Times New Roman" w:hAnsi="Times New Roman"/>
        </w:rPr>
        <w:t>“</w:t>
      </w:r>
      <w:r w:rsidRPr="005A7A8E">
        <w:rPr>
          <w:rFonts w:ascii="Times New Roman" w:hAnsi="Times New Roman"/>
        </w:rPr>
        <w:t xml:space="preserve"> bile manje </w:t>
      </w:r>
      <w:r w:rsidR="0023383D">
        <w:rPr>
          <w:rFonts w:ascii="Times New Roman" w:hAnsi="Times New Roman"/>
        </w:rPr>
        <w:t xml:space="preserve">dostupne i </w:t>
      </w:r>
      <w:r w:rsidRPr="005A7A8E">
        <w:rPr>
          <w:rFonts w:ascii="Times New Roman" w:hAnsi="Times New Roman"/>
        </w:rPr>
        <w:t>atraktivne.</w:t>
      </w:r>
    </w:p>
    <w:p w:rsidR="00405C03" w:rsidRPr="005A7A8E" w:rsidRDefault="00405C03" w:rsidP="00E377E6">
      <w:pPr>
        <w:spacing w:line="480" w:lineRule="auto"/>
        <w:rPr>
          <w:rFonts w:ascii="Times New Roman" w:hAnsi="Times New Roman"/>
        </w:rPr>
      </w:pPr>
    </w:p>
    <w:p w:rsidR="005A7A8E" w:rsidRPr="005A7A8E" w:rsidRDefault="005A7A8E" w:rsidP="00E377E6">
      <w:pPr>
        <w:pStyle w:val="Heading1"/>
        <w:spacing w:line="480" w:lineRule="auto"/>
        <w:jc w:val="left"/>
      </w:pPr>
      <w:r w:rsidRPr="005A7A8E">
        <w:t>Zaključak</w:t>
      </w:r>
    </w:p>
    <w:p w:rsidR="005A7A8E" w:rsidRPr="005A7A8E" w:rsidRDefault="0023383D" w:rsidP="00E377E6">
      <w:pPr>
        <w:spacing w:line="480" w:lineRule="auto"/>
        <w:rPr>
          <w:rFonts w:ascii="Times New Roman" w:hAnsi="Times New Roman"/>
        </w:rPr>
      </w:pPr>
      <w:r>
        <w:rPr>
          <w:rFonts w:ascii="Times New Roman" w:hAnsi="Times New Roman"/>
        </w:rPr>
        <w:t>Temeljna hipoteza da zbog nedovoljne transparentnosti stečajnog postupka vjerovnici nisu namireni u cijelosti, potvrđena je nalazom da se stečajnim upraviteljima isplaćuju obilne nagrade čak i u situacijama kada se vjerovnicima ne isplaćuje ništa. Potvrđena je i druga hipoteza k</w:t>
      </w:r>
      <w:r w:rsidR="00E2348B">
        <w:rPr>
          <w:rFonts w:ascii="Times New Roman" w:hAnsi="Times New Roman"/>
        </w:rPr>
        <w:t>oja tvrdi da</w:t>
      </w:r>
      <w:r>
        <w:rPr>
          <w:rFonts w:ascii="Times New Roman" w:hAnsi="Times New Roman"/>
        </w:rPr>
        <w:t xml:space="preserve"> nije moguće rekonstruirati konkretne aktivnosti stečajnih upravitelja te da oni u stečajnim postupcima imaju mogućnost poduzimati aktivnosti koje idu na štetu kolektivnog namirenja vjerovnika jer upravitelji najčešće ne podnose detaljna izvješća o prihodima i rashodima dužnika u stečajnom postupku, te je većina detaljne poslovne dokumentacije po okončanju stečajnog postupka nedostupna.</w:t>
      </w:r>
    </w:p>
    <w:p w:rsidR="005A7A8E" w:rsidRPr="005A7A8E" w:rsidRDefault="00D32ED5" w:rsidP="00E377E6">
      <w:pPr>
        <w:spacing w:line="480" w:lineRule="auto"/>
        <w:rPr>
          <w:rFonts w:ascii="Times New Roman" w:hAnsi="Times New Roman"/>
        </w:rPr>
      </w:pPr>
      <w:r>
        <w:rPr>
          <w:rFonts w:ascii="Times New Roman" w:hAnsi="Times New Roman"/>
        </w:rPr>
        <w:t>U promatranom uzorku u velikom broju slučajeva uočene su pojave koje su u direktnom konfliktu s ciljevima stečajnog postupka. One destabiliziraju gospodarstvo u cjelini smanjujući razinu međusobnog povjerenja tržišnih sudionika i povećavajući neizvjesnost poslovanja. Stoga je potrebno promovirati transparentnost stečajnih postupaka i uvesti nezavisno državno tijelo za licenciranje i superviziju stečajnih upravitelja, koje bi (među ostalim) vodilo računa o stručnosti i permanentnoj edukaciji upravitelja, propisalo etički kodeks stečajnih upravitelja</w:t>
      </w:r>
      <w:r>
        <w:rPr>
          <w:rStyle w:val="Sidrofusnote"/>
          <w:rFonts w:ascii="Times New Roman" w:hAnsi="Times New Roman"/>
        </w:rPr>
        <w:footnoteReference w:id="32"/>
      </w:r>
      <w:r>
        <w:rPr>
          <w:rFonts w:ascii="Times New Roman" w:hAnsi="Times New Roman"/>
        </w:rPr>
        <w:t xml:space="preserve">, uredilo pohranjivanje dokumentacije iz stečajnih postupaka te propisalo podnošenje standardiziranih statističkih izvješća u </w:t>
      </w:r>
      <w:r>
        <w:rPr>
          <w:rFonts w:ascii="Times New Roman" w:hAnsi="Times New Roman"/>
        </w:rPr>
        <w:lastRenderedPageBreak/>
        <w:t>svrhu praćenja rada stečajnih upravitelja i nadzora  stečajnog sustava. Uz to, potrebno je reinstalirati model restrukturiranja u stečaju kao dodatni model rehabilitacije dužnika, u skladu s preporukama Europske komisije (2014), odnosno radi ispunjenja alternativnih ciljeva</w:t>
      </w:r>
      <w:r w:rsidR="005A7A8E" w:rsidRPr="005A7A8E">
        <w:rPr>
          <w:rFonts w:ascii="Times New Roman" w:hAnsi="Times New Roman"/>
        </w:rPr>
        <w:t xml:space="preserve"> stečaja</w:t>
      </w:r>
      <w:r>
        <w:rPr>
          <w:rFonts w:ascii="Times New Roman" w:hAnsi="Times New Roman"/>
        </w:rPr>
        <w:t xml:space="preserve"> (</w:t>
      </w:r>
      <w:r w:rsidRPr="00D32ED5">
        <w:rPr>
          <w:rFonts w:ascii="Times New Roman" w:hAnsi="Times New Roman"/>
        </w:rPr>
        <w:t>pružanje izvjesnosti na tržištu i osiguravanje temeljnih preduvjeta za ekonomski prosperitet</w:t>
      </w:r>
      <w:r>
        <w:rPr>
          <w:rFonts w:ascii="Times New Roman" w:hAnsi="Times New Roman"/>
        </w:rPr>
        <w:t>)</w:t>
      </w:r>
      <w:r w:rsidR="005A7A8E" w:rsidRPr="005A7A8E">
        <w:rPr>
          <w:rFonts w:ascii="Times New Roman" w:hAnsi="Times New Roman"/>
        </w:rPr>
        <w:t>.</w:t>
      </w:r>
    </w:p>
    <w:p w:rsidR="005A7A8E" w:rsidRPr="005A7A8E" w:rsidRDefault="00D32ED5" w:rsidP="00E377E6">
      <w:pPr>
        <w:spacing w:line="480" w:lineRule="auto"/>
        <w:rPr>
          <w:rFonts w:ascii="Times New Roman" w:hAnsi="Times New Roman"/>
        </w:rPr>
      </w:pPr>
      <w:r>
        <w:rPr>
          <w:rFonts w:ascii="Times New Roman" w:hAnsi="Times New Roman"/>
        </w:rPr>
        <w:t>Ograničenj</w:t>
      </w:r>
      <w:r w:rsidR="00D37A0C">
        <w:rPr>
          <w:rFonts w:ascii="Times New Roman" w:hAnsi="Times New Roman"/>
        </w:rPr>
        <w:t>a</w:t>
      </w:r>
      <w:r>
        <w:rPr>
          <w:rFonts w:ascii="Times New Roman" w:hAnsi="Times New Roman"/>
        </w:rPr>
        <w:t xml:space="preserve"> ovoga rada su nešto stariji obrađeni predmeti (posljednji stečaj u uzorku zaključen je u lipnju 2009.)</w:t>
      </w:r>
      <w:r w:rsidR="00D37A0C">
        <w:rPr>
          <w:rFonts w:ascii="Times New Roman" w:hAnsi="Times New Roman"/>
        </w:rPr>
        <w:t>,</w:t>
      </w:r>
      <w:r>
        <w:rPr>
          <w:rFonts w:ascii="Times New Roman" w:hAnsi="Times New Roman"/>
        </w:rPr>
        <w:t xml:space="preserve">  te izmjena zakonske regulative i moguće unaprjeđenje stečajne prakse</w:t>
      </w:r>
      <w:r w:rsidRPr="00D32ED5">
        <w:rPr>
          <w:rFonts w:ascii="Times New Roman" w:hAnsi="Times New Roman"/>
        </w:rPr>
        <w:t xml:space="preserve"> </w:t>
      </w:r>
      <w:r>
        <w:rPr>
          <w:rFonts w:ascii="Times New Roman" w:hAnsi="Times New Roman"/>
        </w:rPr>
        <w:t xml:space="preserve">u međuvremenu. Izgledno je pretpostaviti da se u novijim stečajnim predmetima razina devijantnog ponašanja smanjila i uslijed </w:t>
      </w:r>
      <w:bookmarkStart w:id="0" w:name="_GoBack"/>
      <w:bookmarkEnd w:id="0"/>
      <w:r>
        <w:rPr>
          <w:rFonts w:ascii="Times New Roman" w:hAnsi="Times New Roman"/>
        </w:rPr>
        <w:t xml:space="preserve">antikorupcijskih programa koji su intenzivirani tijekom priprema za pristupanje Republike Hrvatske Europskoj Uniji. </w:t>
      </w:r>
      <w:r w:rsidR="00E2348B">
        <w:rPr>
          <w:rFonts w:ascii="Times New Roman" w:hAnsi="Times New Roman"/>
        </w:rPr>
        <w:t>Sama</w:t>
      </w:r>
      <w:r>
        <w:rPr>
          <w:rFonts w:ascii="Times New Roman" w:hAnsi="Times New Roman"/>
        </w:rPr>
        <w:t xml:space="preserve"> činjenica da je nakon duljeg razdoblja eksternim osobama dopušteno istraživati stečajnu dokumentaciju ukazuje na veću razinu transparentnosti u sustavu. Usredotočenost na istočnu Hrvatsku nešto je manji nedostatak jer se opravdano može pretpostaviti kako rezultati istraživanja na uzorku predmeta iz drugih hrvatskih regija ne bi bili značajno drugačiji.</w:t>
      </w:r>
    </w:p>
    <w:p w:rsidR="005A7A8E" w:rsidRPr="005A7A8E" w:rsidRDefault="00D32ED5" w:rsidP="00E377E6">
      <w:pPr>
        <w:spacing w:line="480" w:lineRule="auto"/>
        <w:rPr>
          <w:rFonts w:ascii="Times New Roman" w:hAnsi="Times New Roman"/>
        </w:rPr>
      </w:pPr>
      <w:r>
        <w:rPr>
          <w:rFonts w:ascii="Times New Roman" w:hAnsi="Times New Roman"/>
        </w:rPr>
        <w:t>Ovaj rad nastoji doprinijeti kvalitetnijoj organizaciji ekonomskog sustava ukazivanjem na uobičajene praktične nedostatke provođenja stečajnih postupaka, s ciljem korekcije istih, kako bi u konačnici svi sudionici na tržištu uživali dobrobiti uređenijeg društva. Specifičan doprinos ovoga rada postojećem korpusu znanosti očituje se u sustavnom prikupljanju kvalitativnih i kvantitativnih pokazatelja, samostalnoj organizaciji i provedbi istraživanja, inkorporaciji praktičnih saznanja u postojeće znanstvene okvire te komparaciji i vezivanju znanstveno-teorijskih spoznaja s empirijsko-praktičnim stanjem u stečajnom sustavu Republike Hrvatske.</w:t>
      </w:r>
    </w:p>
    <w:p w:rsidR="005A7A8E" w:rsidRDefault="005A7A8E" w:rsidP="00E377E6">
      <w:pPr>
        <w:spacing w:line="480" w:lineRule="auto"/>
        <w:rPr>
          <w:rFonts w:ascii="Times New Roman" w:hAnsi="Times New Roman"/>
        </w:rPr>
      </w:pPr>
      <w:r w:rsidRPr="005A7A8E">
        <w:rPr>
          <w:rFonts w:ascii="Times New Roman" w:hAnsi="Times New Roman"/>
        </w:rPr>
        <w:t>U budućim istraživanjima valjalo bi proširiti uzorak stečajnih predmeta te obuhvatiti novije stečajeve, kao i stečajeve iz drugih hrvatskih regija. Također, valjalo bi utvrditi posljedice uvođenja instituta predstečajnih nagodbi na provedbu stečajnih postupaka</w:t>
      </w:r>
      <w:r w:rsidR="00992F8B">
        <w:rPr>
          <w:rFonts w:ascii="Times New Roman" w:hAnsi="Times New Roman"/>
        </w:rPr>
        <w:t xml:space="preserve"> </w:t>
      </w:r>
      <w:r w:rsidRPr="005A7A8E">
        <w:rPr>
          <w:rFonts w:ascii="Times New Roman" w:hAnsi="Times New Roman"/>
        </w:rPr>
        <w:t>te u komparativnoj analizi identificirati prednosti i mane uvođenja navedenoga instituta na opću razinu namirenja vjerovnika.</w:t>
      </w:r>
    </w:p>
    <w:p w:rsidR="00405C03" w:rsidRPr="005A7A8E" w:rsidRDefault="00405C03" w:rsidP="00E377E6">
      <w:pPr>
        <w:spacing w:line="480" w:lineRule="auto"/>
        <w:rPr>
          <w:rFonts w:ascii="Times New Roman" w:hAnsi="Times New Roman"/>
        </w:rPr>
      </w:pPr>
    </w:p>
    <w:p w:rsidR="005A7A8E" w:rsidRPr="005A7A8E" w:rsidRDefault="005A7A8E" w:rsidP="00E377E6">
      <w:pPr>
        <w:pStyle w:val="Heading1"/>
        <w:spacing w:line="480" w:lineRule="auto"/>
        <w:jc w:val="left"/>
      </w:pPr>
      <w:r w:rsidRPr="005A7A8E">
        <w:lastRenderedPageBreak/>
        <w:t>Literatura</w:t>
      </w:r>
    </w:p>
    <w:p w:rsidR="005A7A8E" w:rsidRP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Biais</w:t>
      </w:r>
      <w:proofErr w:type="spellEnd"/>
      <w:r w:rsidRPr="005A7A8E">
        <w:rPr>
          <w:rFonts w:ascii="Times New Roman" w:hAnsi="Times New Roman"/>
        </w:rPr>
        <w:t xml:space="preserve">, B., </w:t>
      </w:r>
      <w:proofErr w:type="spellStart"/>
      <w:r w:rsidRPr="005A7A8E">
        <w:rPr>
          <w:rFonts w:ascii="Times New Roman" w:hAnsi="Times New Roman"/>
        </w:rPr>
        <w:t>Recasens</w:t>
      </w:r>
      <w:proofErr w:type="spellEnd"/>
      <w:r w:rsidRPr="005A7A8E">
        <w:rPr>
          <w:rFonts w:ascii="Times New Roman" w:hAnsi="Times New Roman"/>
        </w:rPr>
        <w:t xml:space="preserve">, G. (2002). </w:t>
      </w:r>
      <w:proofErr w:type="spellStart"/>
      <w:r w:rsidRPr="005A7A8E">
        <w:rPr>
          <w:rFonts w:ascii="Times New Roman" w:hAnsi="Times New Roman"/>
          <w:i/>
        </w:rPr>
        <w:t>Corrupt</w:t>
      </w:r>
      <w:proofErr w:type="spellEnd"/>
      <w:r w:rsidRPr="005A7A8E">
        <w:rPr>
          <w:rFonts w:ascii="Times New Roman" w:hAnsi="Times New Roman"/>
          <w:i/>
        </w:rPr>
        <w:t xml:space="preserve"> </w:t>
      </w:r>
      <w:proofErr w:type="spellStart"/>
      <w:r w:rsidRPr="005A7A8E">
        <w:rPr>
          <w:rFonts w:ascii="Times New Roman" w:hAnsi="Times New Roman"/>
          <w:i/>
        </w:rPr>
        <w:t>Judges</w:t>
      </w:r>
      <w:proofErr w:type="spellEnd"/>
      <w:r w:rsidRPr="005A7A8E">
        <w:rPr>
          <w:rFonts w:ascii="Times New Roman" w:hAnsi="Times New Roman"/>
          <w:i/>
        </w:rPr>
        <w:t xml:space="preserve">, Credit </w:t>
      </w:r>
      <w:proofErr w:type="spellStart"/>
      <w:r w:rsidRPr="005A7A8E">
        <w:rPr>
          <w:rFonts w:ascii="Times New Roman" w:hAnsi="Times New Roman"/>
          <w:i/>
        </w:rPr>
        <w:t>Rationing</w:t>
      </w:r>
      <w:proofErr w:type="spellEnd"/>
      <w:r w:rsidRPr="005A7A8E">
        <w:rPr>
          <w:rFonts w:ascii="Times New Roman" w:hAnsi="Times New Roman"/>
          <w:i/>
        </w:rPr>
        <w:t xml:space="preserve"> </w:t>
      </w:r>
      <w:proofErr w:type="spellStart"/>
      <w:r w:rsidRPr="005A7A8E">
        <w:rPr>
          <w:rFonts w:ascii="Times New Roman" w:hAnsi="Times New Roman"/>
          <w:i/>
        </w:rPr>
        <w:t>and</w:t>
      </w:r>
      <w:proofErr w:type="spellEnd"/>
      <w:r w:rsidRPr="005A7A8E">
        <w:rPr>
          <w:rFonts w:ascii="Times New Roman" w:hAnsi="Times New Roman"/>
          <w:i/>
        </w:rPr>
        <w:t xml:space="preserve"> </w:t>
      </w:r>
      <w:proofErr w:type="spellStart"/>
      <w:r w:rsidRPr="005A7A8E">
        <w:rPr>
          <w:rFonts w:ascii="Times New Roman" w:hAnsi="Times New Roman"/>
          <w:i/>
        </w:rPr>
        <w:t>the</w:t>
      </w:r>
      <w:proofErr w:type="spellEnd"/>
      <w:r w:rsidRPr="005A7A8E">
        <w:rPr>
          <w:rFonts w:ascii="Times New Roman" w:hAnsi="Times New Roman"/>
          <w:i/>
        </w:rPr>
        <w:t xml:space="preserve"> </w:t>
      </w:r>
      <w:proofErr w:type="spellStart"/>
      <w:r w:rsidRPr="005A7A8E">
        <w:rPr>
          <w:rFonts w:ascii="Times New Roman" w:hAnsi="Times New Roman"/>
          <w:i/>
        </w:rPr>
        <w:t>Political</w:t>
      </w:r>
      <w:proofErr w:type="spellEnd"/>
      <w:r w:rsidRPr="005A7A8E">
        <w:rPr>
          <w:rFonts w:ascii="Times New Roman" w:hAnsi="Times New Roman"/>
          <w:i/>
        </w:rPr>
        <w:t xml:space="preserve"> </w:t>
      </w:r>
      <w:proofErr w:type="spellStart"/>
      <w:r w:rsidRPr="005A7A8E">
        <w:rPr>
          <w:rFonts w:ascii="Times New Roman" w:hAnsi="Times New Roman"/>
          <w:i/>
        </w:rPr>
        <w:t>Economy</w:t>
      </w:r>
      <w:proofErr w:type="spellEnd"/>
      <w:r w:rsidRPr="005A7A8E">
        <w:rPr>
          <w:rFonts w:ascii="Times New Roman" w:hAnsi="Times New Roman"/>
          <w:i/>
        </w:rPr>
        <w:t xml:space="preserve"> </w:t>
      </w:r>
      <w:proofErr w:type="spellStart"/>
      <w:r w:rsidRPr="005A7A8E">
        <w:rPr>
          <w:rFonts w:ascii="Times New Roman" w:hAnsi="Times New Roman"/>
          <w:i/>
        </w:rPr>
        <w:t>of</w:t>
      </w:r>
      <w:proofErr w:type="spellEnd"/>
      <w:r w:rsidRPr="005A7A8E">
        <w:rPr>
          <w:rFonts w:ascii="Times New Roman" w:hAnsi="Times New Roman"/>
          <w:i/>
        </w:rPr>
        <w:t xml:space="preserve"> </w:t>
      </w:r>
      <w:proofErr w:type="spellStart"/>
      <w:r w:rsidRPr="005A7A8E">
        <w:rPr>
          <w:rFonts w:ascii="Times New Roman" w:hAnsi="Times New Roman"/>
          <w:i/>
        </w:rPr>
        <w:t>Bankruptcy</w:t>
      </w:r>
      <w:proofErr w:type="spellEnd"/>
      <w:r w:rsidRPr="005A7A8E">
        <w:rPr>
          <w:rFonts w:ascii="Times New Roman" w:hAnsi="Times New Roman"/>
          <w:i/>
        </w:rPr>
        <w:t xml:space="preserve"> </w:t>
      </w:r>
      <w:proofErr w:type="spellStart"/>
      <w:r w:rsidRPr="005A7A8E">
        <w:rPr>
          <w:rFonts w:ascii="Times New Roman" w:hAnsi="Times New Roman"/>
          <w:i/>
        </w:rPr>
        <w:t>Laws</w:t>
      </w:r>
      <w:proofErr w:type="spellEnd"/>
      <w:r w:rsidRPr="005A7A8E">
        <w:rPr>
          <w:rFonts w:ascii="Times New Roman" w:hAnsi="Times New Roman"/>
        </w:rPr>
        <w:t xml:space="preserve">. Bank </w:t>
      </w:r>
      <w:proofErr w:type="spellStart"/>
      <w:r w:rsidRPr="005A7A8E">
        <w:rPr>
          <w:rFonts w:ascii="Times New Roman" w:hAnsi="Times New Roman"/>
        </w:rPr>
        <w:t>of</w:t>
      </w:r>
      <w:proofErr w:type="spellEnd"/>
      <w:r w:rsidRPr="005A7A8E">
        <w:rPr>
          <w:rFonts w:ascii="Times New Roman" w:hAnsi="Times New Roman"/>
        </w:rPr>
        <w:t xml:space="preserve"> </w:t>
      </w:r>
      <w:proofErr w:type="spellStart"/>
      <w:r w:rsidRPr="005A7A8E">
        <w:rPr>
          <w:rFonts w:ascii="Times New Roman" w:hAnsi="Times New Roman"/>
        </w:rPr>
        <w:t>England</w:t>
      </w:r>
      <w:proofErr w:type="spellEnd"/>
      <w:r w:rsidRPr="005A7A8E">
        <w:rPr>
          <w:rFonts w:ascii="Times New Roman" w:hAnsi="Times New Roman"/>
        </w:rPr>
        <w:t xml:space="preserve"> </w:t>
      </w:r>
      <w:proofErr w:type="spellStart"/>
      <w:r w:rsidRPr="005A7A8E">
        <w:rPr>
          <w:rFonts w:ascii="Times New Roman" w:hAnsi="Times New Roman"/>
        </w:rPr>
        <w:t>Conference</w:t>
      </w:r>
      <w:proofErr w:type="spellEnd"/>
      <w:r w:rsidRPr="005A7A8E">
        <w:rPr>
          <w:rFonts w:ascii="Times New Roman" w:hAnsi="Times New Roman"/>
        </w:rPr>
        <w:t>: „</w:t>
      </w:r>
      <w:proofErr w:type="spellStart"/>
      <w:r w:rsidRPr="005A7A8E">
        <w:rPr>
          <w:rFonts w:ascii="Times New Roman" w:hAnsi="Times New Roman"/>
        </w:rPr>
        <w:t>The</w:t>
      </w:r>
      <w:proofErr w:type="spellEnd"/>
      <w:r w:rsidRPr="005A7A8E">
        <w:rPr>
          <w:rFonts w:ascii="Times New Roman" w:hAnsi="Times New Roman"/>
        </w:rPr>
        <w:t xml:space="preserve"> </w:t>
      </w:r>
      <w:proofErr w:type="spellStart"/>
      <w:r w:rsidRPr="005A7A8E">
        <w:rPr>
          <w:rFonts w:ascii="Times New Roman" w:hAnsi="Times New Roman"/>
        </w:rPr>
        <w:t>Economics</w:t>
      </w:r>
      <w:proofErr w:type="spellEnd"/>
      <w:r w:rsidRPr="005A7A8E">
        <w:rPr>
          <w:rFonts w:ascii="Times New Roman" w:hAnsi="Times New Roman"/>
        </w:rPr>
        <w:t xml:space="preserve"> </w:t>
      </w:r>
      <w:proofErr w:type="spellStart"/>
      <w:r w:rsidRPr="005A7A8E">
        <w:rPr>
          <w:rFonts w:ascii="Times New Roman" w:hAnsi="Times New Roman"/>
        </w:rPr>
        <w:t>of</w:t>
      </w:r>
      <w:proofErr w:type="spellEnd"/>
      <w:r w:rsidRPr="005A7A8E">
        <w:rPr>
          <w:rFonts w:ascii="Times New Roman" w:hAnsi="Times New Roman"/>
        </w:rPr>
        <w:t xml:space="preserve"> </w:t>
      </w:r>
      <w:proofErr w:type="spellStart"/>
      <w:r w:rsidRPr="005A7A8E">
        <w:rPr>
          <w:rFonts w:ascii="Times New Roman" w:hAnsi="Times New Roman"/>
        </w:rPr>
        <w:t>Insolvency</w:t>
      </w:r>
      <w:proofErr w:type="spellEnd"/>
      <w:r w:rsidRPr="005A7A8E">
        <w:rPr>
          <w:rFonts w:ascii="Times New Roman" w:hAnsi="Times New Roman"/>
        </w:rPr>
        <w:t xml:space="preserve"> </w:t>
      </w:r>
      <w:proofErr w:type="spellStart"/>
      <w:r w:rsidRPr="005A7A8E">
        <w:rPr>
          <w:rFonts w:ascii="Times New Roman" w:hAnsi="Times New Roman"/>
        </w:rPr>
        <w:t>Law</w:t>
      </w:r>
      <w:proofErr w:type="spellEnd"/>
      <w:r w:rsidRPr="005A7A8E">
        <w:rPr>
          <w:rFonts w:ascii="Times New Roman" w:hAnsi="Times New Roman"/>
        </w:rPr>
        <w:t xml:space="preserve">: </w:t>
      </w:r>
      <w:proofErr w:type="spellStart"/>
      <w:r w:rsidRPr="005A7A8E">
        <w:rPr>
          <w:rFonts w:ascii="Times New Roman" w:hAnsi="Times New Roman"/>
        </w:rPr>
        <w:t>Effects</w:t>
      </w:r>
      <w:proofErr w:type="spellEnd"/>
      <w:r w:rsidRPr="005A7A8E">
        <w:rPr>
          <w:rFonts w:ascii="Times New Roman" w:hAnsi="Times New Roman"/>
        </w:rPr>
        <w:t xml:space="preserve"> on </w:t>
      </w:r>
      <w:proofErr w:type="spellStart"/>
      <w:r w:rsidRPr="005A7A8E">
        <w:rPr>
          <w:rFonts w:ascii="Times New Roman" w:hAnsi="Times New Roman"/>
        </w:rPr>
        <w:t>Debtors</w:t>
      </w:r>
      <w:proofErr w:type="spellEnd"/>
      <w:r w:rsidRPr="005A7A8E">
        <w:rPr>
          <w:rFonts w:ascii="Times New Roman" w:hAnsi="Times New Roman"/>
        </w:rPr>
        <w:t xml:space="preserve">, </w:t>
      </w:r>
      <w:proofErr w:type="spellStart"/>
      <w:r w:rsidRPr="005A7A8E">
        <w:rPr>
          <w:rFonts w:ascii="Times New Roman" w:hAnsi="Times New Roman"/>
        </w:rPr>
        <w:t>Creditors</w:t>
      </w:r>
      <w:proofErr w:type="spellEnd"/>
      <w:r w:rsidRPr="005A7A8E">
        <w:rPr>
          <w:rFonts w:ascii="Times New Roman" w:hAnsi="Times New Roman"/>
        </w:rPr>
        <w:t xml:space="preserve"> </w:t>
      </w:r>
      <w:proofErr w:type="spellStart"/>
      <w:r w:rsidRPr="005A7A8E">
        <w:rPr>
          <w:rFonts w:ascii="Times New Roman" w:hAnsi="Times New Roman"/>
        </w:rPr>
        <w:t>and</w:t>
      </w:r>
      <w:proofErr w:type="spellEnd"/>
      <w:r w:rsidRPr="005A7A8E">
        <w:rPr>
          <w:rFonts w:ascii="Times New Roman" w:hAnsi="Times New Roman"/>
        </w:rPr>
        <w:t xml:space="preserve"> Enterprise“. Dostupno na http://www.bankofengland.co.uk/publications/Documents/events/conf0209/biais.pdf (pristupljeno 14.3.2014.)</w:t>
      </w:r>
    </w:p>
    <w:p w:rsid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Biličić</w:t>
      </w:r>
      <w:proofErr w:type="spellEnd"/>
      <w:r w:rsidRPr="005A7A8E">
        <w:rPr>
          <w:rFonts w:ascii="Times New Roman" w:hAnsi="Times New Roman"/>
        </w:rPr>
        <w:t xml:space="preserve">, M. (2005). Metoda slučaja u znanosti i nastavi. </w:t>
      </w:r>
      <w:r w:rsidRPr="005A7A8E">
        <w:rPr>
          <w:rFonts w:ascii="Times New Roman" w:hAnsi="Times New Roman"/>
          <w:i/>
        </w:rPr>
        <w:t>Pomorstvo</w:t>
      </w:r>
      <w:r w:rsidRPr="005A7A8E">
        <w:rPr>
          <w:rFonts w:ascii="Times New Roman" w:hAnsi="Times New Roman"/>
        </w:rPr>
        <w:t>, 19, 217-228</w:t>
      </w:r>
    </w:p>
    <w:p w:rsidR="00622299" w:rsidRPr="005A7A8E" w:rsidRDefault="00622299" w:rsidP="00E377E6">
      <w:pPr>
        <w:spacing w:line="480" w:lineRule="auto"/>
        <w:ind w:left="993" w:hanging="993"/>
        <w:jc w:val="left"/>
        <w:rPr>
          <w:rFonts w:ascii="Times New Roman" w:hAnsi="Times New Roman"/>
        </w:rPr>
      </w:pPr>
      <w:proofErr w:type="spellStart"/>
      <w:r w:rsidRPr="00622299">
        <w:rPr>
          <w:rFonts w:ascii="Times New Roman" w:hAnsi="Times New Roman"/>
        </w:rPr>
        <w:t>Bower</w:t>
      </w:r>
      <w:proofErr w:type="spellEnd"/>
      <w:r w:rsidRPr="00622299">
        <w:rPr>
          <w:rFonts w:ascii="Times New Roman" w:hAnsi="Times New Roman"/>
        </w:rPr>
        <w:t xml:space="preserve">, J., </w:t>
      </w:r>
      <w:proofErr w:type="spellStart"/>
      <w:r w:rsidRPr="00622299">
        <w:rPr>
          <w:rFonts w:ascii="Times New Roman" w:hAnsi="Times New Roman"/>
        </w:rPr>
        <w:t>Gilson</w:t>
      </w:r>
      <w:proofErr w:type="spellEnd"/>
      <w:r w:rsidRPr="00622299">
        <w:rPr>
          <w:rFonts w:ascii="Times New Roman" w:hAnsi="Times New Roman"/>
        </w:rPr>
        <w:t xml:space="preserve">, S. (2003). </w:t>
      </w:r>
      <w:proofErr w:type="spellStart"/>
      <w:r w:rsidRPr="00622299">
        <w:rPr>
          <w:rFonts w:ascii="Times New Roman" w:hAnsi="Times New Roman"/>
        </w:rPr>
        <w:t>The</w:t>
      </w:r>
      <w:proofErr w:type="spellEnd"/>
      <w:r w:rsidRPr="00622299">
        <w:rPr>
          <w:rFonts w:ascii="Times New Roman" w:hAnsi="Times New Roman"/>
        </w:rPr>
        <w:t xml:space="preserve"> </w:t>
      </w:r>
      <w:proofErr w:type="spellStart"/>
      <w:r w:rsidRPr="00622299">
        <w:rPr>
          <w:rFonts w:ascii="Times New Roman" w:hAnsi="Times New Roman"/>
        </w:rPr>
        <w:t>social</w:t>
      </w:r>
      <w:proofErr w:type="spellEnd"/>
      <w:r w:rsidRPr="00622299">
        <w:rPr>
          <w:rFonts w:ascii="Times New Roman" w:hAnsi="Times New Roman"/>
        </w:rPr>
        <w:t xml:space="preserve"> </w:t>
      </w:r>
      <w:proofErr w:type="spellStart"/>
      <w:r w:rsidRPr="00622299">
        <w:rPr>
          <w:rFonts w:ascii="Times New Roman" w:hAnsi="Times New Roman"/>
        </w:rPr>
        <w:t>cost</w:t>
      </w:r>
      <w:proofErr w:type="spellEnd"/>
      <w:r w:rsidRPr="00622299">
        <w:rPr>
          <w:rFonts w:ascii="Times New Roman" w:hAnsi="Times New Roman"/>
        </w:rPr>
        <w:t xml:space="preserve"> </w:t>
      </w:r>
      <w:proofErr w:type="spellStart"/>
      <w:r w:rsidRPr="00622299">
        <w:rPr>
          <w:rFonts w:ascii="Times New Roman" w:hAnsi="Times New Roman"/>
        </w:rPr>
        <w:t>of</w:t>
      </w:r>
      <w:proofErr w:type="spellEnd"/>
      <w:r w:rsidRPr="00622299">
        <w:rPr>
          <w:rFonts w:ascii="Times New Roman" w:hAnsi="Times New Roman"/>
        </w:rPr>
        <w:t xml:space="preserve"> </w:t>
      </w:r>
      <w:proofErr w:type="spellStart"/>
      <w:r w:rsidRPr="00622299">
        <w:rPr>
          <w:rFonts w:ascii="Times New Roman" w:hAnsi="Times New Roman"/>
        </w:rPr>
        <w:t>fraud</w:t>
      </w:r>
      <w:proofErr w:type="spellEnd"/>
      <w:r w:rsidRPr="00622299">
        <w:rPr>
          <w:rFonts w:ascii="Times New Roman" w:hAnsi="Times New Roman"/>
        </w:rPr>
        <w:t xml:space="preserve"> </w:t>
      </w:r>
      <w:proofErr w:type="spellStart"/>
      <w:r w:rsidRPr="00622299">
        <w:rPr>
          <w:rFonts w:ascii="Times New Roman" w:hAnsi="Times New Roman"/>
        </w:rPr>
        <w:t>and</w:t>
      </w:r>
      <w:proofErr w:type="spellEnd"/>
      <w:r w:rsidRPr="00622299">
        <w:rPr>
          <w:rFonts w:ascii="Times New Roman" w:hAnsi="Times New Roman"/>
        </w:rPr>
        <w:t xml:space="preserve"> </w:t>
      </w:r>
      <w:proofErr w:type="spellStart"/>
      <w:r w:rsidRPr="00622299">
        <w:rPr>
          <w:rFonts w:ascii="Times New Roman" w:hAnsi="Times New Roman"/>
        </w:rPr>
        <w:t>bankruptcy</w:t>
      </w:r>
      <w:proofErr w:type="spellEnd"/>
      <w:r w:rsidRPr="00622299">
        <w:rPr>
          <w:rFonts w:ascii="Times New Roman" w:hAnsi="Times New Roman"/>
        </w:rPr>
        <w:t xml:space="preserve">. </w:t>
      </w:r>
      <w:proofErr w:type="spellStart"/>
      <w:r w:rsidRPr="00622299">
        <w:rPr>
          <w:rFonts w:ascii="Times New Roman" w:hAnsi="Times New Roman"/>
          <w:i/>
        </w:rPr>
        <w:t>Harvard</w:t>
      </w:r>
      <w:proofErr w:type="spellEnd"/>
      <w:r w:rsidRPr="00622299">
        <w:rPr>
          <w:rFonts w:ascii="Times New Roman" w:hAnsi="Times New Roman"/>
          <w:i/>
        </w:rPr>
        <w:t xml:space="preserve"> </w:t>
      </w:r>
      <w:proofErr w:type="spellStart"/>
      <w:r w:rsidRPr="00622299">
        <w:rPr>
          <w:rFonts w:ascii="Times New Roman" w:hAnsi="Times New Roman"/>
          <w:i/>
        </w:rPr>
        <w:t>Business</w:t>
      </w:r>
      <w:proofErr w:type="spellEnd"/>
      <w:r w:rsidRPr="00622299">
        <w:rPr>
          <w:rFonts w:ascii="Times New Roman" w:hAnsi="Times New Roman"/>
          <w:i/>
        </w:rPr>
        <w:t xml:space="preserve"> </w:t>
      </w:r>
      <w:proofErr w:type="spellStart"/>
      <w:r w:rsidRPr="00622299">
        <w:rPr>
          <w:rFonts w:ascii="Times New Roman" w:hAnsi="Times New Roman"/>
          <w:i/>
        </w:rPr>
        <w:t>Review</w:t>
      </w:r>
      <w:proofErr w:type="spellEnd"/>
      <w:r w:rsidRPr="00622299">
        <w:rPr>
          <w:rFonts w:ascii="Times New Roman" w:hAnsi="Times New Roman"/>
        </w:rPr>
        <w:t>, 81(12), 20-23.</w:t>
      </w:r>
    </w:p>
    <w:p w:rsid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Buttwill</w:t>
      </w:r>
      <w:proofErr w:type="spellEnd"/>
      <w:r w:rsidRPr="005A7A8E">
        <w:rPr>
          <w:rFonts w:ascii="Times New Roman" w:hAnsi="Times New Roman"/>
        </w:rPr>
        <w:t xml:space="preserve">, K., </w:t>
      </w:r>
      <w:proofErr w:type="spellStart"/>
      <w:r w:rsidRPr="005A7A8E">
        <w:rPr>
          <w:rFonts w:ascii="Times New Roman" w:hAnsi="Times New Roman"/>
        </w:rPr>
        <w:t>Wihlborg</w:t>
      </w:r>
      <w:proofErr w:type="spellEnd"/>
      <w:r w:rsidRPr="005A7A8E">
        <w:rPr>
          <w:rFonts w:ascii="Times New Roman" w:hAnsi="Times New Roman"/>
        </w:rPr>
        <w:t xml:space="preserve">, C. (2005). </w:t>
      </w:r>
      <w:proofErr w:type="spellStart"/>
      <w:r w:rsidRPr="005A7A8E">
        <w:rPr>
          <w:rFonts w:ascii="Times New Roman" w:hAnsi="Times New Roman"/>
        </w:rPr>
        <w:t>The</w:t>
      </w:r>
      <w:proofErr w:type="spellEnd"/>
      <w:r w:rsidRPr="005A7A8E">
        <w:rPr>
          <w:rFonts w:ascii="Times New Roman" w:hAnsi="Times New Roman"/>
        </w:rPr>
        <w:t xml:space="preserve"> </w:t>
      </w:r>
      <w:proofErr w:type="spellStart"/>
      <w:r w:rsidRPr="005A7A8E">
        <w:rPr>
          <w:rFonts w:ascii="Times New Roman" w:hAnsi="Times New Roman"/>
        </w:rPr>
        <w:t>Efficiency</w:t>
      </w:r>
      <w:proofErr w:type="spellEnd"/>
      <w:r w:rsidRPr="005A7A8E">
        <w:rPr>
          <w:rFonts w:ascii="Times New Roman" w:hAnsi="Times New Roman"/>
        </w:rPr>
        <w:t xml:space="preserve"> </w:t>
      </w:r>
      <w:proofErr w:type="spellStart"/>
      <w:r w:rsidRPr="005A7A8E">
        <w:rPr>
          <w:rFonts w:ascii="Times New Roman" w:hAnsi="Times New Roman"/>
        </w:rPr>
        <w:t>of</w:t>
      </w:r>
      <w:proofErr w:type="spellEnd"/>
      <w:r w:rsidRPr="005A7A8E">
        <w:rPr>
          <w:rFonts w:ascii="Times New Roman" w:hAnsi="Times New Roman"/>
        </w:rPr>
        <w:t xml:space="preserve"> </w:t>
      </w:r>
      <w:proofErr w:type="spellStart"/>
      <w:r w:rsidRPr="005A7A8E">
        <w:rPr>
          <w:rFonts w:ascii="Times New Roman" w:hAnsi="Times New Roman"/>
        </w:rPr>
        <w:t>the</w:t>
      </w:r>
      <w:proofErr w:type="spellEnd"/>
      <w:r w:rsidRPr="005A7A8E">
        <w:rPr>
          <w:rFonts w:ascii="Times New Roman" w:hAnsi="Times New Roman"/>
        </w:rPr>
        <w:t xml:space="preserve"> </w:t>
      </w:r>
      <w:proofErr w:type="spellStart"/>
      <w:r w:rsidRPr="005A7A8E">
        <w:rPr>
          <w:rFonts w:ascii="Times New Roman" w:hAnsi="Times New Roman"/>
        </w:rPr>
        <w:t>Bankruptcy</w:t>
      </w:r>
      <w:proofErr w:type="spellEnd"/>
      <w:r w:rsidRPr="005A7A8E">
        <w:rPr>
          <w:rFonts w:ascii="Times New Roman" w:hAnsi="Times New Roman"/>
        </w:rPr>
        <w:t xml:space="preserve"> </w:t>
      </w:r>
      <w:proofErr w:type="spellStart"/>
      <w:r w:rsidRPr="005A7A8E">
        <w:rPr>
          <w:rFonts w:ascii="Times New Roman" w:hAnsi="Times New Roman"/>
        </w:rPr>
        <w:t>Process</w:t>
      </w:r>
      <w:proofErr w:type="spellEnd"/>
      <w:r w:rsidRPr="005A7A8E">
        <w:rPr>
          <w:rFonts w:ascii="Times New Roman" w:hAnsi="Times New Roman"/>
        </w:rPr>
        <w:t xml:space="preserve">. </w:t>
      </w:r>
      <w:proofErr w:type="spellStart"/>
      <w:r w:rsidRPr="005A7A8E">
        <w:rPr>
          <w:rFonts w:ascii="Times New Roman" w:hAnsi="Times New Roman"/>
        </w:rPr>
        <w:t>An</w:t>
      </w:r>
      <w:proofErr w:type="spellEnd"/>
      <w:r w:rsidRPr="005A7A8E">
        <w:rPr>
          <w:rFonts w:ascii="Times New Roman" w:hAnsi="Times New Roman"/>
        </w:rPr>
        <w:t xml:space="preserve"> </w:t>
      </w:r>
      <w:proofErr w:type="spellStart"/>
      <w:r w:rsidRPr="005A7A8E">
        <w:rPr>
          <w:rFonts w:ascii="Times New Roman" w:hAnsi="Times New Roman"/>
        </w:rPr>
        <w:t>International</w:t>
      </w:r>
      <w:proofErr w:type="spellEnd"/>
      <w:r w:rsidRPr="005A7A8E">
        <w:rPr>
          <w:rFonts w:ascii="Times New Roman" w:hAnsi="Times New Roman"/>
        </w:rPr>
        <w:t xml:space="preserve"> </w:t>
      </w:r>
      <w:proofErr w:type="spellStart"/>
      <w:r w:rsidRPr="005A7A8E">
        <w:rPr>
          <w:rFonts w:ascii="Times New Roman" w:hAnsi="Times New Roman"/>
        </w:rPr>
        <w:t>Comparison</w:t>
      </w:r>
      <w:proofErr w:type="spellEnd"/>
      <w:r w:rsidRPr="005A7A8E">
        <w:rPr>
          <w:rFonts w:ascii="Times New Roman" w:hAnsi="Times New Roman"/>
        </w:rPr>
        <w:t xml:space="preserve">. </w:t>
      </w:r>
      <w:proofErr w:type="spellStart"/>
      <w:r w:rsidRPr="005A7A8E">
        <w:rPr>
          <w:rFonts w:ascii="Times New Roman" w:hAnsi="Times New Roman"/>
          <w:i/>
        </w:rPr>
        <w:t>Ratio</w:t>
      </w:r>
      <w:proofErr w:type="spellEnd"/>
      <w:r w:rsidRPr="005A7A8E">
        <w:rPr>
          <w:rFonts w:ascii="Times New Roman" w:hAnsi="Times New Roman"/>
          <w:i/>
        </w:rPr>
        <w:t xml:space="preserve"> </w:t>
      </w:r>
      <w:proofErr w:type="spellStart"/>
      <w:r w:rsidRPr="005A7A8E">
        <w:rPr>
          <w:rFonts w:ascii="Times New Roman" w:hAnsi="Times New Roman"/>
          <w:i/>
        </w:rPr>
        <w:t>Working</w:t>
      </w:r>
      <w:proofErr w:type="spellEnd"/>
      <w:r w:rsidRPr="005A7A8E">
        <w:rPr>
          <w:rFonts w:ascii="Times New Roman" w:hAnsi="Times New Roman"/>
          <w:i/>
        </w:rPr>
        <w:t xml:space="preserve"> </w:t>
      </w:r>
      <w:proofErr w:type="spellStart"/>
      <w:r w:rsidRPr="005A7A8E">
        <w:rPr>
          <w:rFonts w:ascii="Times New Roman" w:hAnsi="Times New Roman"/>
          <w:i/>
        </w:rPr>
        <w:t>Papers</w:t>
      </w:r>
      <w:proofErr w:type="spellEnd"/>
      <w:r w:rsidRPr="005A7A8E">
        <w:rPr>
          <w:rFonts w:ascii="Times New Roman" w:hAnsi="Times New Roman"/>
          <w:i/>
        </w:rPr>
        <w:t xml:space="preserve"> 65</w:t>
      </w:r>
      <w:r w:rsidRPr="005A7A8E">
        <w:rPr>
          <w:rFonts w:ascii="Times New Roman" w:hAnsi="Times New Roman"/>
        </w:rPr>
        <w:t>. Dostupno na http://econpapers.repec.org/paper/hhsratioi/0065.htm (pristupljeno 14.3.2014.)</w:t>
      </w:r>
    </w:p>
    <w:p w:rsidR="00563BF8" w:rsidRDefault="00563BF8" w:rsidP="00563BF8">
      <w:pPr>
        <w:spacing w:line="480" w:lineRule="auto"/>
        <w:ind w:left="993" w:hanging="993"/>
        <w:jc w:val="left"/>
        <w:rPr>
          <w:rFonts w:ascii="Times New Roman" w:hAnsi="Times New Roman"/>
        </w:rPr>
      </w:pPr>
      <w:proofErr w:type="spellStart"/>
      <w:r w:rsidRPr="00563BF8">
        <w:rPr>
          <w:rFonts w:ascii="Times New Roman" w:hAnsi="Times New Roman"/>
        </w:rPr>
        <w:t>Confortini</w:t>
      </w:r>
      <w:proofErr w:type="spellEnd"/>
      <w:r>
        <w:rPr>
          <w:rFonts w:ascii="Times New Roman" w:hAnsi="Times New Roman"/>
        </w:rPr>
        <w:t>,</w:t>
      </w:r>
      <w:r w:rsidRPr="00563BF8">
        <w:rPr>
          <w:rFonts w:ascii="Times New Roman" w:hAnsi="Times New Roman"/>
        </w:rPr>
        <w:t xml:space="preserve"> V</w:t>
      </w:r>
      <w:r>
        <w:rPr>
          <w:rFonts w:ascii="Times New Roman" w:hAnsi="Times New Roman"/>
        </w:rPr>
        <w:t>. (</w:t>
      </w:r>
      <w:r w:rsidRPr="00563BF8">
        <w:rPr>
          <w:rFonts w:ascii="Times New Roman" w:hAnsi="Times New Roman"/>
        </w:rPr>
        <w:t>2011</w:t>
      </w:r>
      <w:r>
        <w:rPr>
          <w:rFonts w:ascii="Times New Roman" w:hAnsi="Times New Roman"/>
        </w:rPr>
        <w:t xml:space="preserve">). </w:t>
      </w:r>
      <w:proofErr w:type="spellStart"/>
      <w:r w:rsidRPr="00563BF8">
        <w:rPr>
          <w:rFonts w:ascii="Times New Roman" w:hAnsi="Times New Roman"/>
          <w:i/>
        </w:rPr>
        <w:t>Abuso</w:t>
      </w:r>
      <w:proofErr w:type="spellEnd"/>
      <w:r w:rsidRPr="00563BF8">
        <w:rPr>
          <w:rFonts w:ascii="Times New Roman" w:hAnsi="Times New Roman"/>
          <w:i/>
        </w:rPr>
        <w:t xml:space="preserve"> </w:t>
      </w:r>
      <w:proofErr w:type="spellStart"/>
      <w:r w:rsidRPr="00563BF8">
        <w:rPr>
          <w:rFonts w:ascii="Times New Roman" w:hAnsi="Times New Roman"/>
          <w:i/>
        </w:rPr>
        <w:t>del</w:t>
      </w:r>
      <w:proofErr w:type="spellEnd"/>
      <w:r w:rsidRPr="00563BF8">
        <w:rPr>
          <w:rFonts w:ascii="Times New Roman" w:hAnsi="Times New Roman"/>
          <w:i/>
        </w:rPr>
        <w:t xml:space="preserve"> </w:t>
      </w:r>
      <w:proofErr w:type="spellStart"/>
      <w:r w:rsidRPr="00563BF8">
        <w:rPr>
          <w:rFonts w:ascii="Times New Roman" w:hAnsi="Times New Roman"/>
          <w:i/>
        </w:rPr>
        <w:t>diritto</w:t>
      </w:r>
      <w:proofErr w:type="spellEnd"/>
      <w:r w:rsidRPr="00563BF8">
        <w:rPr>
          <w:rFonts w:ascii="Times New Roman" w:hAnsi="Times New Roman"/>
          <w:i/>
        </w:rPr>
        <w:t xml:space="preserve"> e procedure </w:t>
      </w:r>
      <w:proofErr w:type="spellStart"/>
      <w:r w:rsidRPr="00563BF8">
        <w:rPr>
          <w:rFonts w:ascii="Times New Roman" w:hAnsi="Times New Roman"/>
          <w:i/>
        </w:rPr>
        <w:t>concorsuali</w:t>
      </w:r>
      <w:proofErr w:type="spellEnd"/>
      <w:r>
        <w:rPr>
          <w:rFonts w:ascii="Times New Roman" w:hAnsi="Times New Roman"/>
        </w:rPr>
        <w:t xml:space="preserve">. Magistarski rad. </w:t>
      </w:r>
      <w:proofErr w:type="spellStart"/>
      <w:r w:rsidRPr="00563BF8">
        <w:rPr>
          <w:rFonts w:ascii="Times New Roman" w:hAnsi="Times New Roman"/>
        </w:rPr>
        <w:t>Università</w:t>
      </w:r>
      <w:proofErr w:type="spellEnd"/>
      <w:r w:rsidRPr="00563BF8">
        <w:rPr>
          <w:rFonts w:ascii="Times New Roman" w:hAnsi="Times New Roman"/>
        </w:rPr>
        <w:t xml:space="preserve"> </w:t>
      </w:r>
      <w:proofErr w:type="spellStart"/>
      <w:r w:rsidRPr="00563BF8">
        <w:rPr>
          <w:rFonts w:ascii="Times New Roman" w:hAnsi="Times New Roman"/>
        </w:rPr>
        <w:t>Luiss</w:t>
      </w:r>
      <w:proofErr w:type="spellEnd"/>
      <w:r w:rsidRPr="00563BF8">
        <w:rPr>
          <w:rFonts w:ascii="Times New Roman" w:hAnsi="Times New Roman"/>
        </w:rPr>
        <w:t xml:space="preserve"> </w:t>
      </w:r>
      <w:proofErr w:type="spellStart"/>
      <w:r w:rsidRPr="00563BF8">
        <w:rPr>
          <w:rFonts w:ascii="Times New Roman" w:hAnsi="Times New Roman"/>
        </w:rPr>
        <w:t>Guido</w:t>
      </w:r>
      <w:proofErr w:type="spellEnd"/>
      <w:r w:rsidRPr="00563BF8">
        <w:rPr>
          <w:rFonts w:ascii="Times New Roman" w:hAnsi="Times New Roman"/>
        </w:rPr>
        <w:t xml:space="preserve"> </w:t>
      </w:r>
      <w:proofErr w:type="spellStart"/>
      <w:r w:rsidRPr="00563BF8">
        <w:rPr>
          <w:rFonts w:ascii="Times New Roman" w:hAnsi="Times New Roman"/>
        </w:rPr>
        <w:t>Carli</w:t>
      </w:r>
      <w:proofErr w:type="spellEnd"/>
      <w:r w:rsidRPr="00563BF8">
        <w:rPr>
          <w:rFonts w:ascii="Times New Roman" w:hAnsi="Times New Roman"/>
        </w:rPr>
        <w:t xml:space="preserve"> </w:t>
      </w:r>
      <w:proofErr w:type="spellStart"/>
      <w:r w:rsidRPr="00563BF8">
        <w:rPr>
          <w:rFonts w:ascii="Times New Roman" w:hAnsi="Times New Roman"/>
        </w:rPr>
        <w:t>Di</w:t>
      </w:r>
      <w:proofErr w:type="spellEnd"/>
      <w:r w:rsidRPr="00563BF8">
        <w:rPr>
          <w:rFonts w:ascii="Times New Roman" w:hAnsi="Times New Roman"/>
        </w:rPr>
        <w:t xml:space="preserve"> Roma</w:t>
      </w:r>
      <w:r>
        <w:rPr>
          <w:rFonts w:ascii="Times New Roman" w:hAnsi="Times New Roman"/>
        </w:rPr>
        <w:t xml:space="preserve">. Dostupno na </w:t>
      </w:r>
      <w:r w:rsidRPr="00563BF8">
        <w:rPr>
          <w:rFonts w:ascii="Times New Roman" w:hAnsi="Times New Roman"/>
        </w:rPr>
        <w:t>http://goo.gl/xptf1I</w:t>
      </w:r>
      <w:r>
        <w:rPr>
          <w:rFonts w:ascii="Times New Roman" w:hAnsi="Times New Roman"/>
        </w:rPr>
        <w:t xml:space="preserve"> </w:t>
      </w:r>
      <w:r w:rsidRPr="005A7A8E">
        <w:rPr>
          <w:rFonts w:ascii="Times New Roman" w:hAnsi="Times New Roman"/>
        </w:rPr>
        <w:t>(</w:t>
      </w:r>
      <w:proofErr w:type="spellStart"/>
      <w:r w:rsidRPr="005A7A8E">
        <w:rPr>
          <w:rFonts w:ascii="Times New Roman" w:hAnsi="Times New Roman"/>
        </w:rPr>
        <w:t>pristupljeno</w:t>
      </w:r>
      <w:proofErr w:type="spellEnd"/>
      <w:r w:rsidRPr="005A7A8E">
        <w:rPr>
          <w:rFonts w:ascii="Times New Roman" w:hAnsi="Times New Roman"/>
        </w:rPr>
        <w:t xml:space="preserve"> </w:t>
      </w:r>
      <w:r>
        <w:rPr>
          <w:rFonts w:ascii="Times New Roman" w:hAnsi="Times New Roman"/>
        </w:rPr>
        <w:t>3</w:t>
      </w:r>
      <w:r w:rsidRPr="005A7A8E">
        <w:rPr>
          <w:rFonts w:ascii="Times New Roman" w:hAnsi="Times New Roman"/>
        </w:rPr>
        <w:t>.</w:t>
      </w:r>
      <w:r>
        <w:rPr>
          <w:rFonts w:ascii="Times New Roman" w:hAnsi="Times New Roman"/>
        </w:rPr>
        <w:t>6</w:t>
      </w:r>
      <w:r w:rsidRPr="005A7A8E">
        <w:rPr>
          <w:rFonts w:ascii="Times New Roman" w:hAnsi="Times New Roman"/>
        </w:rPr>
        <w:t>.2014.)</w:t>
      </w:r>
    </w:p>
    <w:p w:rsidR="00122D88" w:rsidRDefault="00122D88" w:rsidP="00122D88">
      <w:pPr>
        <w:spacing w:line="480" w:lineRule="auto"/>
        <w:ind w:left="993" w:hanging="993"/>
        <w:jc w:val="left"/>
        <w:rPr>
          <w:rFonts w:ascii="Times New Roman" w:hAnsi="Times New Roman"/>
        </w:rPr>
      </w:pPr>
      <w:proofErr w:type="spellStart"/>
      <w:r w:rsidRPr="00122D88">
        <w:rPr>
          <w:rFonts w:ascii="Times New Roman" w:hAnsi="Times New Roman"/>
        </w:rPr>
        <w:t>Costantini</w:t>
      </w:r>
      <w:proofErr w:type="spellEnd"/>
      <w:r w:rsidRPr="00122D88">
        <w:rPr>
          <w:rFonts w:ascii="Times New Roman" w:hAnsi="Times New Roman"/>
        </w:rPr>
        <w:t xml:space="preserve">, J. (2009). </w:t>
      </w:r>
      <w:proofErr w:type="spellStart"/>
      <w:r w:rsidRPr="00122D88">
        <w:rPr>
          <w:rFonts w:ascii="Times New Roman" w:hAnsi="Times New Roman"/>
        </w:rPr>
        <w:t>Effects</w:t>
      </w:r>
      <w:proofErr w:type="spellEnd"/>
      <w:r w:rsidRPr="00122D88">
        <w:rPr>
          <w:rFonts w:ascii="Times New Roman" w:hAnsi="Times New Roman"/>
        </w:rPr>
        <w:t xml:space="preserve"> </w:t>
      </w:r>
      <w:proofErr w:type="spellStart"/>
      <w:r w:rsidRPr="00122D88">
        <w:rPr>
          <w:rFonts w:ascii="Times New Roman" w:hAnsi="Times New Roman"/>
        </w:rPr>
        <w:t>of</w:t>
      </w:r>
      <w:proofErr w:type="spellEnd"/>
      <w:r w:rsidRPr="00122D88">
        <w:rPr>
          <w:rFonts w:ascii="Times New Roman" w:hAnsi="Times New Roman"/>
        </w:rPr>
        <w:t xml:space="preserve"> </w:t>
      </w:r>
      <w:proofErr w:type="spellStart"/>
      <w:r w:rsidRPr="00122D88">
        <w:rPr>
          <w:rFonts w:ascii="Times New Roman" w:hAnsi="Times New Roman"/>
        </w:rPr>
        <w:t>Bankruptcy</w:t>
      </w:r>
      <w:proofErr w:type="spellEnd"/>
      <w:r w:rsidRPr="00122D88">
        <w:rPr>
          <w:rFonts w:ascii="Times New Roman" w:hAnsi="Times New Roman"/>
        </w:rPr>
        <w:t xml:space="preserve"> </w:t>
      </w:r>
      <w:proofErr w:type="spellStart"/>
      <w:r w:rsidRPr="00122D88">
        <w:rPr>
          <w:rFonts w:ascii="Times New Roman" w:hAnsi="Times New Roman"/>
        </w:rPr>
        <w:t>Procedures</w:t>
      </w:r>
      <w:proofErr w:type="spellEnd"/>
      <w:r w:rsidRPr="00122D88">
        <w:rPr>
          <w:rFonts w:ascii="Times New Roman" w:hAnsi="Times New Roman"/>
        </w:rPr>
        <w:t xml:space="preserve"> on </w:t>
      </w:r>
      <w:proofErr w:type="spellStart"/>
      <w:r w:rsidRPr="00122D88">
        <w:rPr>
          <w:rFonts w:ascii="Times New Roman" w:hAnsi="Times New Roman"/>
        </w:rPr>
        <w:t>Firm</w:t>
      </w:r>
      <w:proofErr w:type="spellEnd"/>
      <w:r w:rsidRPr="00122D88">
        <w:rPr>
          <w:rFonts w:ascii="Times New Roman" w:hAnsi="Times New Roman"/>
        </w:rPr>
        <w:t xml:space="preserve"> </w:t>
      </w:r>
      <w:proofErr w:type="spellStart"/>
      <w:r w:rsidRPr="00122D88">
        <w:rPr>
          <w:rFonts w:ascii="Times New Roman" w:hAnsi="Times New Roman"/>
        </w:rPr>
        <w:t>Restructuring</w:t>
      </w:r>
      <w:proofErr w:type="spellEnd"/>
      <w:r w:rsidRPr="00122D88">
        <w:rPr>
          <w:rFonts w:ascii="Times New Roman" w:hAnsi="Times New Roman"/>
        </w:rPr>
        <w:t xml:space="preserve">: </w:t>
      </w:r>
      <w:proofErr w:type="spellStart"/>
      <w:r w:rsidRPr="00122D88">
        <w:rPr>
          <w:rFonts w:ascii="Times New Roman" w:hAnsi="Times New Roman"/>
        </w:rPr>
        <w:t>Evidence</w:t>
      </w:r>
      <w:proofErr w:type="spellEnd"/>
      <w:r w:rsidRPr="00122D88">
        <w:rPr>
          <w:rFonts w:ascii="Times New Roman" w:hAnsi="Times New Roman"/>
        </w:rPr>
        <w:t xml:space="preserve"> </w:t>
      </w:r>
      <w:proofErr w:type="spellStart"/>
      <w:r w:rsidRPr="00122D88">
        <w:rPr>
          <w:rFonts w:ascii="Times New Roman" w:hAnsi="Times New Roman"/>
        </w:rPr>
        <w:t>from</w:t>
      </w:r>
      <w:proofErr w:type="spellEnd"/>
      <w:r>
        <w:rPr>
          <w:rFonts w:ascii="Times New Roman" w:hAnsi="Times New Roman"/>
        </w:rPr>
        <w:t xml:space="preserve"> </w:t>
      </w:r>
      <w:proofErr w:type="spellStart"/>
      <w:r>
        <w:rPr>
          <w:rFonts w:ascii="Times New Roman" w:hAnsi="Times New Roman"/>
        </w:rPr>
        <w:t>I</w:t>
      </w:r>
      <w:r w:rsidRPr="00122D88">
        <w:rPr>
          <w:rFonts w:ascii="Times New Roman" w:hAnsi="Times New Roman"/>
        </w:rPr>
        <w:t>taly</w:t>
      </w:r>
      <w:proofErr w:type="spellEnd"/>
      <w:r w:rsidRPr="00122D88">
        <w:rPr>
          <w:rFonts w:ascii="Times New Roman" w:hAnsi="Times New Roman"/>
        </w:rPr>
        <w:t xml:space="preserve">. </w:t>
      </w:r>
      <w:r w:rsidRPr="00122D88">
        <w:rPr>
          <w:rFonts w:ascii="Times New Roman" w:hAnsi="Times New Roman"/>
          <w:i/>
        </w:rPr>
        <w:t>Neobjavljen rad</w:t>
      </w:r>
      <w:r>
        <w:rPr>
          <w:rFonts w:ascii="Times New Roman" w:hAnsi="Times New Roman"/>
        </w:rPr>
        <w:t xml:space="preserve">. Dostupno na </w:t>
      </w:r>
      <w:r w:rsidRPr="00122D88">
        <w:rPr>
          <w:rFonts w:ascii="Times New Roman" w:hAnsi="Times New Roman"/>
        </w:rPr>
        <w:t>http://www.insead.edu/facultyresearch/faculty/personal/jcostantini/research/documents/James_Costantini_Bankruptcy_Italy.pdf</w:t>
      </w:r>
      <w:r>
        <w:rPr>
          <w:rFonts w:ascii="Times New Roman" w:hAnsi="Times New Roman"/>
        </w:rPr>
        <w:t xml:space="preserve"> </w:t>
      </w:r>
      <w:r w:rsidRPr="005A7A8E">
        <w:rPr>
          <w:rFonts w:ascii="Times New Roman" w:hAnsi="Times New Roman"/>
        </w:rPr>
        <w:t>(</w:t>
      </w:r>
      <w:proofErr w:type="spellStart"/>
      <w:r w:rsidRPr="005A7A8E">
        <w:rPr>
          <w:rFonts w:ascii="Times New Roman" w:hAnsi="Times New Roman"/>
        </w:rPr>
        <w:t>pristupljeno</w:t>
      </w:r>
      <w:proofErr w:type="spellEnd"/>
      <w:r w:rsidRPr="005A7A8E">
        <w:rPr>
          <w:rFonts w:ascii="Times New Roman" w:hAnsi="Times New Roman"/>
        </w:rPr>
        <w:t xml:space="preserve"> </w:t>
      </w:r>
      <w:r>
        <w:rPr>
          <w:rFonts w:ascii="Times New Roman" w:hAnsi="Times New Roman"/>
        </w:rPr>
        <w:t>3</w:t>
      </w:r>
      <w:r w:rsidRPr="005A7A8E">
        <w:rPr>
          <w:rFonts w:ascii="Times New Roman" w:hAnsi="Times New Roman"/>
        </w:rPr>
        <w:t>.</w:t>
      </w:r>
      <w:r>
        <w:rPr>
          <w:rFonts w:ascii="Times New Roman" w:hAnsi="Times New Roman"/>
        </w:rPr>
        <w:t>6</w:t>
      </w:r>
      <w:r w:rsidRPr="005A7A8E">
        <w:rPr>
          <w:rFonts w:ascii="Times New Roman" w:hAnsi="Times New Roman"/>
        </w:rPr>
        <w:t>.2014.)</w:t>
      </w:r>
    </w:p>
    <w:p w:rsidR="006474ED" w:rsidRPr="005A7A8E" w:rsidRDefault="006474ED" w:rsidP="00E377E6">
      <w:pPr>
        <w:spacing w:line="480" w:lineRule="auto"/>
        <w:ind w:left="993" w:hanging="993"/>
        <w:jc w:val="left"/>
        <w:rPr>
          <w:rFonts w:ascii="Times New Roman" w:hAnsi="Times New Roman"/>
        </w:rPr>
      </w:pPr>
      <w:proofErr w:type="spellStart"/>
      <w:r w:rsidRPr="006474ED">
        <w:rPr>
          <w:rFonts w:ascii="Times New Roman" w:hAnsi="Times New Roman"/>
        </w:rPr>
        <w:t>Cousins</w:t>
      </w:r>
      <w:proofErr w:type="spellEnd"/>
      <w:r w:rsidRPr="006474ED">
        <w:rPr>
          <w:rFonts w:ascii="Times New Roman" w:hAnsi="Times New Roman"/>
        </w:rPr>
        <w:t>, J</w:t>
      </w:r>
      <w:r>
        <w:rPr>
          <w:rFonts w:ascii="Times New Roman" w:hAnsi="Times New Roman"/>
        </w:rPr>
        <w:t xml:space="preserve">., </w:t>
      </w:r>
      <w:r w:rsidRPr="006474ED">
        <w:rPr>
          <w:rFonts w:ascii="Times New Roman" w:hAnsi="Times New Roman"/>
        </w:rPr>
        <w:t>Mitchell, A</w:t>
      </w:r>
      <w:r>
        <w:rPr>
          <w:rFonts w:ascii="Times New Roman" w:hAnsi="Times New Roman"/>
        </w:rPr>
        <w:t xml:space="preserve">., </w:t>
      </w:r>
      <w:proofErr w:type="spellStart"/>
      <w:r w:rsidRPr="006474ED">
        <w:rPr>
          <w:rFonts w:ascii="Times New Roman" w:hAnsi="Times New Roman"/>
        </w:rPr>
        <w:t>Sikka</w:t>
      </w:r>
      <w:proofErr w:type="spellEnd"/>
      <w:r w:rsidRPr="006474ED">
        <w:rPr>
          <w:rFonts w:ascii="Times New Roman" w:hAnsi="Times New Roman"/>
        </w:rPr>
        <w:t>, P</w:t>
      </w:r>
      <w:r>
        <w:rPr>
          <w:rFonts w:ascii="Times New Roman" w:hAnsi="Times New Roman"/>
        </w:rPr>
        <w:t>.,</w:t>
      </w:r>
      <w:r w:rsidRPr="006474ED">
        <w:rPr>
          <w:rFonts w:ascii="Times New Roman" w:hAnsi="Times New Roman"/>
        </w:rPr>
        <w:t xml:space="preserve"> </w:t>
      </w:r>
      <w:proofErr w:type="spellStart"/>
      <w:r w:rsidRPr="006474ED">
        <w:rPr>
          <w:rFonts w:ascii="Times New Roman" w:hAnsi="Times New Roman"/>
        </w:rPr>
        <w:t>Cooper</w:t>
      </w:r>
      <w:proofErr w:type="spellEnd"/>
      <w:r w:rsidRPr="006474ED">
        <w:rPr>
          <w:rFonts w:ascii="Times New Roman" w:hAnsi="Times New Roman"/>
        </w:rPr>
        <w:t>, C</w:t>
      </w:r>
      <w:r>
        <w:rPr>
          <w:rFonts w:ascii="Times New Roman" w:hAnsi="Times New Roman"/>
        </w:rPr>
        <w:t>.,</w:t>
      </w:r>
      <w:r w:rsidRPr="006474ED">
        <w:rPr>
          <w:rFonts w:ascii="Times New Roman" w:hAnsi="Times New Roman"/>
        </w:rPr>
        <w:t xml:space="preserve"> </w:t>
      </w:r>
      <w:proofErr w:type="spellStart"/>
      <w:r w:rsidRPr="006474ED">
        <w:rPr>
          <w:rFonts w:ascii="Times New Roman" w:hAnsi="Times New Roman"/>
        </w:rPr>
        <w:t>Arnold</w:t>
      </w:r>
      <w:proofErr w:type="spellEnd"/>
      <w:r w:rsidRPr="006474ED">
        <w:rPr>
          <w:rFonts w:ascii="Times New Roman" w:hAnsi="Times New Roman"/>
        </w:rPr>
        <w:t>, P</w:t>
      </w:r>
      <w:r>
        <w:rPr>
          <w:rFonts w:ascii="Times New Roman" w:hAnsi="Times New Roman"/>
        </w:rPr>
        <w:t>. (</w:t>
      </w:r>
      <w:r w:rsidRPr="006474ED">
        <w:rPr>
          <w:rFonts w:ascii="Times New Roman" w:hAnsi="Times New Roman"/>
        </w:rPr>
        <w:t>2000</w:t>
      </w:r>
      <w:r w:rsidRPr="006474ED">
        <w:rPr>
          <w:rFonts w:ascii="Times New Roman" w:hAnsi="Times New Roman"/>
          <w:i/>
        </w:rPr>
        <w:t xml:space="preserve">). </w:t>
      </w:r>
      <w:proofErr w:type="spellStart"/>
      <w:r w:rsidRPr="006474ED">
        <w:rPr>
          <w:rFonts w:ascii="Times New Roman" w:hAnsi="Times New Roman"/>
          <w:i/>
        </w:rPr>
        <w:t>Insolvent</w:t>
      </w:r>
      <w:proofErr w:type="spellEnd"/>
      <w:r w:rsidRPr="006474ED">
        <w:rPr>
          <w:rFonts w:ascii="Times New Roman" w:hAnsi="Times New Roman"/>
          <w:i/>
        </w:rPr>
        <w:t xml:space="preserve"> </w:t>
      </w:r>
      <w:proofErr w:type="spellStart"/>
      <w:r w:rsidRPr="006474ED">
        <w:rPr>
          <w:rFonts w:ascii="Times New Roman" w:hAnsi="Times New Roman"/>
          <w:i/>
        </w:rPr>
        <w:t>Abuse</w:t>
      </w:r>
      <w:proofErr w:type="spellEnd"/>
      <w:r w:rsidRPr="006474ED">
        <w:rPr>
          <w:rFonts w:ascii="Times New Roman" w:hAnsi="Times New Roman"/>
          <w:i/>
        </w:rPr>
        <w:t xml:space="preserve">: </w:t>
      </w:r>
      <w:proofErr w:type="spellStart"/>
      <w:r w:rsidRPr="006474ED">
        <w:rPr>
          <w:rFonts w:ascii="Times New Roman" w:hAnsi="Times New Roman"/>
          <w:i/>
        </w:rPr>
        <w:t>Regulating</w:t>
      </w:r>
      <w:proofErr w:type="spellEnd"/>
      <w:r w:rsidRPr="006474ED">
        <w:rPr>
          <w:rFonts w:ascii="Times New Roman" w:hAnsi="Times New Roman"/>
          <w:i/>
        </w:rPr>
        <w:t xml:space="preserve"> </w:t>
      </w:r>
      <w:proofErr w:type="spellStart"/>
      <w:r w:rsidRPr="006474ED">
        <w:rPr>
          <w:rFonts w:ascii="Times New Roman" w:hAnsi="Times New Roman"/>
          <w:i/>
        </w:rPr>
        <w:t>The</w:t>
      </w:r>
      <w:proofErr w:type="spellEnd"/>
      <w:r w:rsidRPr="006474ED">
        <w:rPr>
          <w:rFonts w:ascii="Times New Roman" w:hAnsi="Times New Roman"/>
          <w:i/>
        </w:rPr>
        <w:t xml:space="preserve"> </w:t>
      </w:r>
      <w:proofErr w:type="spellStart"/>
      <w:r w:rsidRPr="006474ED">
        <w:rPr>
          <w:rFonts w:ascii="Times New Roman" w:hAnsi="Times New Roman"/>
          <w:i/>
        </w:rPr>
        <w:t>Insolvency</w:t>
      </w:r>
      <w:proofErr w:type="spellEnd"/>
      <w:r w:rsidRPr="006474ED">
        <w:rPr>
          <w:rFonts w:ascii="Times New Roman" w:hAnsi="Times New Roman"/>
          <w:i/>
        </w:rPr>
        <w:t xml:space="preserve"> </w:t>
      </w:r>
      <w:proofErr w:type="spellStart"/>
      <w:r w:rsidRPr="006474ED">
        <w:rPr>
          <w:rFonts w:ascii="Times New Roman" w:hAnsi="Times New Roman"/>
          <w:i/>
        </w:rPr>
        <w:t>Industry</w:t>
      </w:r>
      <w:proofErr w:type="spellEnd"/>
      <w:r w:rsidRPr="006474ED">
        <w:rPr>
          <w:rFonts w:ascii="Times New Roman" w:hAnsi="Times New Roman"/>
        </w:rPr>
        <w:t xml:space="preserve">. </w:t>
      </w:r>
      <w:proofErr w:type="spellStart"/>
      <w:r w:rsidRPr="006474ED">
        <w:rPr>
          <w:rFonts w:ascii="Times New Roman" w:hAnsi="Times New Roman"/>
        </w:rPr>
        <w:t>Association</w:t>
      </w:r>
      <w:proofErr w:type="spellEnd"/>
      <w:r w:rsidRPr="006474ED">
        <w:rPr>
          <w:rFonts w:ascii="Times New Roman" w:hAnsi="Times New Roman"/>
        </w:rPr>
        <w:t xml:space="preserve"> for </w:t>
      </w:r>
      <w:proofErr w:type="spellStart"/>
      <w:r w:rsidRPr="006474ED">
        <w:rPr>
          <w:rFonts w:ascii="Times New Roman" w:hAnsi="Times New Roman"/>
        </w:rPr>
        <w:t>Accountancy</w:t>
      </w:r>
      <w:proofErr w:type="spellEnd"/>
      <w:r w:rsidRPr="006474ED">
        <w:rPr>
          <w:rFonts w:ascii="Times New Roman" w:hAnsi="Times New Roman"/>
        </w:rPr>
        <w:t xml:space="preserve"> &amp; </w:t>
      </w:r>
      <w:proofErr w:type="spellStart"/>
      <w:r w:rsidRPr="006474ED">
        <w:rPr>
          <w:rFonts w:ascii="Times New Roman" w:hAnsi="Times New Roman"/>
        </w:rPr>
        <w:t>Business</w:t>
      </w:r>
      <w:proofErr w:type="spellEnd"/>
      <w:r w:rsidRPr="006474ED">
        <w:rPr>
          <w:rFonts w:ascii="Times New Roman" w:hAnsi="Times New Roman"/>
        </w:rPr>
        <w:t xml:space="preserve"> </w:t>
      </w:r>
      <w:proofErr w:type="spellStart"/>
      <w:r w:rsidRPr="006474ED">
        <w:rPr>
          <w:rFonts w:ascii="Times New Roman" w:hAnsi="Times New Roman"/>
        </w:rPr>
        <w:t>Affairs</w:t>
      </w:r>
      <w:proofErr w:type="spellEnd"/>
      <w:r>
        <w:rPr>
          <w:rFonts w:ascii="Times New Roman" w:hAnsi="Times New Roman"/>
        </w:rPr>
        <w:t>.</w:t>
      </w:r>
      <w:r w:rsidRPr="006474ED">
        <w:rPr>
          <w:rFonts w:ascii="Times New Roman" w:hAnsi="Times New Roman"/>
        </w:rPr>
        <w:t xml:space="preserve"> </w:t>
      </w:r>
      <w:proofErr w:type="spellStart"/>
      <w:r w:rsidRPr="006474ED">
        <w:rPr>
          <w:rFonts w:ascii="Times New Roman" w:hAnsi="Times New Roman"/>
        </w:rPr>
        <w:t>Essex</w:t>
      </w:r>
      <w:proofErr w:type="spellEnd"/>
      <w:r w:rsidRPr="006474ED">
        <w:rPr>
          <w:rFonts w:ascii="Times New Roman" w:hAnsi="Times New Roman"/>
        </w:rPr>
        <w:t xml:space="preserve">, UK. </w:t>
      </w:r>
      <w:r w:rsidRPr="005A7A8E">
        <w:rPr>
          <w:rFonts w:ascii="Times New Roman" w:hAnsi="Times New Roman"/>
        </w:rPr>
        <w:t xml:space="preserve">Dostupno na </w:t>
      </w:r>
      <w:r w:rsidRPr="006474ED">
        <w:rPr>
          <w:rFonts w:ascii="Times New Roman" w:hAnsi="Times New Roman"/>
        </w:rPr>
        <w:t>http://visar.csustan.edu/aaba/insolvntabuse.pdf</w:t>
      </w:r>
      <w:r>
        <w:rPr>
          <w:rFonts w:ascii="Times New Roman" w:hAnsi="Times New Roman"/>
        </w:rPr>
        <w:t xml:space="preserve"> </w:t>
      </w:r>
      <w:r w:rsidRPr="005A7A8E">
        <w:rPr>
          <w:rFonts w:ascii="Times New Roman" w:hAnsi="Times New Roman"/>
        </w:rPr>
        <w:t xml:space="preserve">(pristupljeno </w:t>
      </w:r>
      <w:r>
        <w:rPr>
          <w:rFonts w:ascii="Times New Roman" w:hAnsi="Times New Roman"/>
        </w:rPr>
        <w:t>1</w:t>
      </w:r>
      <w:r w:rsidRPr="005A7A8E">
        <w:rPr>
          <w:rFonts w:ascii="Times New Roman" w:hAnsi="Times New Roman"/>
        </w:rPr>
        <w:t>.</w:t>
      </w:r>
      <w:r>
        <w:rPr>
          <w:rFonts w:ascii="Times New Roman" w:hAnsi="Times New Roman"/>
        </w:rPr>
        <w:t>6</w:t>
      </w:r>
      <w:r w:rsidRPr="005A7A8E">
        <w:rPr>
          <w:rFonts w:ascii="Times New Roman" w:hAnsi="Times New Roman"/>
        </w:rPr>
        <w:t>.2014.)</w:t>
      </w:r>
    </w:p>
    <w:p w:rsidR="005A7A8E" w:rsidRPr="005A7A8E" w:rsidRDefault="005A7A8E" w:rsidP="00E377E6">
      <w:pPr>
        <w:spacing w:line="480" w:lineRule="auto"/>
        <w:ind w:left="993" w:hanging="993"/>
        <w:jc w:val="left"/>
        <w:rPr>
          <w:rFonts w:ascii="Times New Roman" w:hAnsi="Times New Roman"/>
        </w:rPr>
      </w:pPr>
      <w:r w:rsidRPr="005A7A8E">
        <w:rPr>
          <w:rFonts w:ascii="Times New Roman" w:hAnsi="Times New Roman"/>
        </w:rPr>
        <w:t xml:space="preserve">De </w:t>
      </w:r>
      <w:proofErr w:type="spellStart"/>
      <w:r w:rsidRPr="005A7A8E">
        <w:rPr>
          <w:rFonts w:ascii="Times New Roman" w:hAnsi="Times New Roman"/>
        </w:rPr>
        <w:t>Geus</w:t>
      </w:r>
      <w:proofErr w:type="spellEnd"/>
      <w:r w:rsidRPr="005A7A8E">
        <w:rPr>
          <w:rFonts w:ascii="Times New Roman" w:hAnsi="Times New Roman"/>
        </w:rPr>
        <w:t xml:space="preserve">, A. (1999). </w:t>
      </w:r>
      <w:proofErr w:type="spellStart"/>
      <w:r w:rsidRPr="005A7A8E">
        <w:rPr>
          <w:rFonts w:ascii="Times New Roman" w:hAnsi="Times New Roman"/>
          <w:i/>
        </w:rPr>
        <w:t>The</w:t>
      </w:r>
      <w:proofErr w:type="spellEnd"/>
      <w:r w:rsidRPr="005A7A8E">
        <w:rPr>
          <w:rFonts w:ascii="Times New Roman" w:hAnsi="Times New Roman"/>
          <w:i/>
        </w:rPr>
        <w:t xml:space="preserve"> </w:t>
      </w:r>
      <w:proofErr w:type="spellStart"/>
      <w:r w:rsidRPr="005A7A8E">
        <w:rPr>
          <w:rFonts w:ascii="Times New Roman" w:hAnsi="Times New Roman"/>
          <w:i/>
        </w:rPr>
        <w:t>Living</w:t>
      </w:r>
      <w:proofErr w:type="spellEnd"/>
      <w:r w:rsidRPr="005A7A8E">
        <w:rPr>
          <w:rFonts w:ascii="Times New Roman" w:hAnsi="Times New Roman"/>
          <w:i/>
        </w:rPr>
        <w:t xml:space="preserve"> </w:t>
      </w:r>
      <w:proofErr w:type="spellStart"/>
      <w:r w:rsidRPr="005A7A8E">
        <w:rPr>
          <w:rFonts w:ascii="Times New Roman" w:hAnsi="Times New Roman"/>
          <w:i/>
        </w:rPr>
        <w:t>Company</w:t>
      </w:r>
      <w:proofErr w:type="spellEnd"/>
      <w:r w:rsidRPr="005A7A8E">
        <w:rPr>
          <w:rFonts w:ascii="Times New Roman" w:hAnsi="Times New Roman"/>
        </w:rPr>
        <w:t xml:space="preserve">. London: </w:t>
      </w:r>
      <w:proofErr w:type="spellStart"/>
      <w:r w:rsidRPr="005A7A8E">
        <w:rPr>
          <w:rFonts w:ascii="Times New Roman" w:hAnsi="Times New Roman"/>
        </w:rPr>
        <w:t>Nicholas</w:t>
      </w:r>
      <w:proofErr w:type="spellEnd"/>
      <w:r w:rsidRPr="005A7A8E">
        <w:rPr>
          <w:rFonts w:ascii="Times New Roman" w:hAnsi="Times New Roman"/>
        </w:rPr>
        <w:t xml:space="preserve"> </w:t>
      </w:r>
      <w:proofErr w:type="spellStart"/>
      <w:r w:rsidRPr="005A7A8E">
        <w:rPr>
          <w:rFonts w:ascii="Times New Roman" w:hAnsi="Times New Roman"/>
        </w:rPr>
        <w:t>Brealey</w:t>
      </w:r>
      <w:proofErr w:type="spellEnd"/>
      <w:r w:rsidRPr="005A7A8E">
        <w:rPr>
          <w:rFonts w:ascii="Times New Roman" w:hAnsi="Times New Roman"/>
        </w:rPr>
        <w:t xml:space="preserve"> </w:t>
      </w:r>
      <w:proofErr w:type="spellStart"/>
      <w:r w:rsidRPr="005A7A8E">
        <w:rPr>
          <w:rFonts w:ascii="Times New Roman" w:hAnsi="Times New Roman"/>
        </w:rPr>
        <w:t>Publishing</w:t>
      </w:r>
      <w:proofErr w:type="spellEnd"/>
      <w:r w:rsidRPr="005A7A8E">
        <w:rPr>
          <w:rFonts w:ascii="Times New Roman" w:hAnsi="Times New Roman"/>
        </w:rPr>
        <w:t>.</w:t>
      </w:r>
    </w:p>
    <w:p w:rsidR="005A7A8E" w:rsidRP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Dickerson</w:t>
      </w:r>
      <w:proofErr w:type="spellEnd"/>
      <w:r w:rsidRPr="005A7A8E">
        <w:rPr>
          <w:rFonts w:ascii="Times New Roman" w:hAnsi="Times New Roman"/>
        </w:rPr>
        <w:t xml:space="preserve">, M. (2006). </w:t>
      </w:r>
      <w:proofErr w:type="spellStart"/>
      <w:r w:rsidRPr="005A7A8E">
        <w:rPr>
          <w:rFonts w:ascii="Times New Roman" w:hAnsi="Times New Roman"/>
        </w:rPr>
        <w:t>Words</w:t>
      </w:r>
      <w:proofErr w:type="spellEnd"/>
      <w:r w:rsidRPr="005A7A8E">
        <w:rPr>
          <w:rFonts w:ascii="Times New Roman" w:hAnsi="Times New Roman"/>
        </w:rPr>
        <w:t xml:space="preserve"> </w:t>
      </w:r>
      <w:proofErr w:type="spellStart"/>
      <w:r w:rsidRPr="005A7A8E">
        <w:rPr>
          <w:rFonts w:ascii="Times New Roman" w:hAnsi="Times New Roman"/>
        </w:rPr>
        <w:t>That</w:t>
      </w:r>
      <w:proofErr w:type="spellEnd"/>
      <w:r w:rsidRPr="005A7A8E">
        <w:rPr>
          <w:rFonts w:ascii="Times New Roman" w:hAnsi="Times New Roman"/>
        </w:rPr>
        <w:t xml:space="preserve"> </w:t>
      </w:r>
      <w:proofErr w:type="spellStart"/>
      <w:r w:rsidRPr="005A7A8E">
        <w:rPr>
          <w:rFonts w:ascii="Times New Roman" w:hAnsi="Times New Roman"/>
        </w:rPr>
        <w:t>Wound</w:t>
      </w:r>
      <w:proofErr w:type="spellEnd"/>
      <w:r w:rsidRPr="005A7A8E">
        <w:rPr>
          <w:rFonts w:ascii="Times New Roman" w:hAnsi="Times New Roman"/>
        </w:rPr>
        <w:t xml:space="preserve">: </w:t>
      </w:r>
      <w:proofErr w:type="spellStart"/>
      <w:r w:rsidRPr="005A7A8E">
        <w:rPr>
          <w:rFonts w:ascii="Times New Roman" w:hAnsi="Times New Roman"/>
        </w:rPr>
        <w:t>Defining</w:t>
      </w:r>
      <w:proofErr w:type="spellEnd"/>
      <w:r w:rsidRPr="005A7A8E">
        <w:rPr>
          <w:rFonts w:ascii="Times New Roman" w:hAnsi="Times New Roman"/>
        </w:rPr>
        <w:t xml:space="preserve">, </w:t>
      </w:r>
      <w:proofErr w:type="spellStart"/>
      <w:r w:rsidRPr="005A7A8E">
        <w:rPr>
          <w:rFonts w:ascii="Times New Roman" w:hAnsi="Times New Roman"/>
        </w:rPr>
        <w:t>Discussing</w:t>
      </w:r>
      <w:proofErr w:type="spellEnd"/>
      <w:r w:rsidRPr="005A7A8E">
        <w:rPr>
          <w:rFonts w:ascii="Times New Roman" w:hAnsi="Times New Roman"/>
        </w:rPr>
        <w:t xml:space="preserve">, </w:t>
      </w:r>
      <w:proofErr w:type="spellStart"/>
      <w:r w:rsidRPr="005A7A8E">
        <w:rPr>
          <w:rFonts w:ascii="Times New Roman" w:hAnsi="Times New Roman"/>
        </w:rPr>
        <w:t>and</w:t>
      </w:r>
      <w:proofErr w:type="spellEnd"/>
      <w:r w:rsidRPr="005A7A8E">
        <w:rPr>
          <w:rFonts w:ascii="Times New Roman" w:hAnsi="Times New Roman"/>
        </w:rPr>
        <w:t xml:space="preserve"> </w:t>
      </w:r>
      <w:proofErr w:type="spellStart"/>
      <w:r w:rsidRPr="005A7A8E">
        <w:rPr>
          <w:rFonts w:ascii="Times New Roman" w:hAnsi="Times New Roman"/>
        </w:rPr>
        <w:t>Defeating</w:t>
      </w:r>
      <w:proofErr w:type="spellEnd"/>
      <w:r w:rsidRPr="005A7A8E">
        <w:rPr>
          <w:rFonts w:ascii="Times New Roman" w:hAnsi="Times New Roman"/>
        </w:rPr>
        <w:t xml:space="preserve"> </w:t>
      </w:r>
      <w:proofErr w:type="spellStart"/>
      <w:r w:rsidRPr="005A7A8E">
        <w:rPr>
          <w:rFonts w:ascii="Times New Roman" w:hAnsi="Times New Roman"/>
        </w:rPr>
        <w:t>Bankruptcy</w:t>
      </w:r>
      <w:proofErr w:type="spellEnd"/>
      <w:r w:rsidRPr="005A7A8E">
        <w:rPr>
          <w:rFonts w:ascii="Times New Roman" w:hAnsi="Times New Roman"/>
        </w:rPr>
        <w:t xml:space="preserve"> </w:t>
      </w:r>
      <w:proofErr w:type="spellStart"/>
      <w:r w:rsidRPr="005A7A8E">
        <w:rPr>
          <w:rFonts w:ascii="Times New Roman" w:hAnsi="Times New Roman"/>
        </w:rPr>
        <w:t>Corruption</w:t>
      </w:r>
      <w:proofErr w:type="spellEnd"/>
      <w:r w:rsidRPr="005A7A8E">
        <w:rPr>
          <w:rFonts w:ascii="Times New Roman" w:hAnsi="Times New Roman"/>
        </w:rPr>
        <w:t xml:space="preserve">. </w:t>
      </w:r>
      <w:proofErr w:type="spellStart"/>
      <w:r w:rsidRPr="005A7A8E">
        <w:rPr>
          <w:rFonts w:ascii="Times New Roman" w:hAnsi="Times New Roman"/>
          <w:i/>
        </w:rPr>
        <w:t>Buffalo</w:t>
      </w:r>
      <w:proofErr w:type="spellEnd"/>
      <w:r w:rsidRPr="005A7A8E">
        <w:rPr>
          <w:rFonts w:ascii="Times New Roman" w:hAnsi="Times New Roman"/>
          <w:i/>
        </w:rPr>
        <w:t xml:space="preserve"> </w:t>
      </w:r>
      <w:proofErr w:type="spellStart"/>
      <w:r w:rsidRPr="005A7A8E">
        <w:rPr>
          <w:rFonts w:ascii="Times New Roman" w:hAnsi="Times New Roman"/>
          <w:i/>
        </w:rPr>
        <w:t>Law</w:t>
      </w:r>
      <w:proofErr w:type="spellEnd"/>
      <w:r w:rsidRPr="005A7A8E">
        <w:rPr>
          <w:rFonts w:ascii="Times New Roman" w:hAnsi="Times New Roman"/>
          <w:i/>
        </w:rPr>
        <w:t xml:space="preserve"> </w:t>
      </w:r>
      <w:proofErr w:type="spellStart"/>
      <w:r w:rsidRPr="005A7A8E">
        <w:rPr>
          <w:rFonts w:ascii="Times New Roman" w:hAnsi="Times New Roman"/>
          <w:i/>
        </w:rPr>
        <w:t>Review</w:t>
      </w:r>
      <w:proofErr w:type="spellEnd"/>
      <w:r w:rsidRPr="005A7A8E">
        <w:rPr>
          <w:rFonts w:ascii="Times New Roman" w:hAnsi="Times New Roman"/>
          <w:i/>
        </w:rPr>
        <w:t>,</w:t>
      </w:r>
      <w:r w:rsidRPr="005A7A8E">
        <w:rPr>
          <w:rFonts w:ascii="Times New Roman" w:hAnsi="Times New Roman"/>
        </w:rPr>
        <w:t xml:space="preserve"> 54 (365)</w:t>
      </w:r>
    </w:p>
    <w:p w:rsidR="005A7A8E" w:rsidRPr="005A7A8E" w:rsidRDefault="005A7A8E" w:rsidP="00E377E6">
      <w:pPr>
        <w:spacing w:line="480" w:lineRule="auto"/>
        <w:ind w:left="993" w:hanging="993"/>
        <w:jc w:val="left"/>
        <w:rPr>
          <w:rFonts w:ascii="Times New Roman" w:hAnsi="Times New Roman"/>
        </w:rPr>
      </w:pPr>
      <w:r w:rsidRPr="005A7A8E">
        <w:rPr>
          <w:rFonts w:ascii="Times New Roman" w:hAnsi="Times New Roman"/>
        </w:rPr>
        <w:lastRenderedPageBreak/>
        <w:t xml:space="preserve">Europska komisija (2014). </w:t>
      </w:r>
      <w:r w:rsidRPr="005A7A8E">
        <w:rPr>
          <w:rFonts w:ascii="Times New Roman" w:hAnsi="Times New Roman"/>
          <w:i/>
        </w:rPr>
        <w:t>Nesolventnost: Komisija predlaže novi pristup s ciljem spašavanja poduzeća i pružanja drugih prilika poštenim poduzetnicima</w:t>
      </w:r>
      <w:r w:rsidRPr="005A7A8E">
        <w:rPr>
          <w:rFonts w:ascii="Times New Roman" w:hAnsi="Times New Roman"/>
        </w:rPr>
        <w:t>. IP/14/254. Dostupno na http://europa.eu/rapid/press-release_IP-14-254_hr.htm (pristupljeno 15.3.2014.)</w:t>
      </w:r>
    </w:p>
    <w:p w:rsidR="005A7A8E" w:rsidRPr="00622299" w:rsidRDefault="005A7A8E" w:rsidP="00E377E6">
      <w:pPr>
        <w:spacing w:line="480" w:lineRule="auto"/>
        <w:ind w:left="993" w:hanging="993"/>
        <w:jc w:val="left"/>
        <w:rPr>
          <w:rFonts w:ascii="Times New Roman" w:hAnsi="Times New Roman"/>
        </w:rPr>
      </w:pPr>
      <w:r w:rsidRPr="005A7A8E">
        <w:rPr>
          <w:rFonts w:ascii="Times New Roman" w:hAnsi="Times New Roman"/>
        </w:rPr>
        <w:t xml:space="preserve">Galić, A. (2008). Zaštita arhivskog gradiva subjekata nad kojima je proveden stečajni postupak. </w:t>
      </w:r>
      <w:r w:rsidRPr="005A7A8E">
        <w:rPr>
          <w:rFonts w:ascii="Times New Roman" w:hAnsi="Times New Roman"/>
          <w:i/>
        </w:rPr>
        <w:t>Stručni članci Trgovačkog suda u Zagrebu</w:t>
      </w:r>
      <w:r w:rsidRPr="005A7A8E">
        <w:rPr>
          <w:rFonts w:ascii="Times New Roman" w:hAnsi="Times New Roman"/>
        </w:rPr>
        <w:t>. Dostupno na http://www.tszg.hr/cro/TSZG/Djelokrug-Suda/Stecaj/Strucni-clanci/Zastita-arhivskog-</w:t>
      </w:r>
      <w:r w:rsidRPr="00622299">
        <w:rPr>
          <w:rFonts w:ascii="Times New Roman" w:hAnsi="Times New Roman"/>
        </w:rPr>
        <w:t>gradiva-subjekata-nad-kojima-je-proveden-stecajni-postupak (pristupljeno 5.3.2014.)</w:t>
      </w:r>
    </w:p>
    <w:p w:rsidR="00622299" w:rsidRPr="00622299" w:rsidRDefault="00622299" w:rsidP="00E377E6">
      <w:pPr>
        <w:spacing w:line="480" w:lineRule="auto"/>
        <w:ind w:left="993" w:hanging="993"/>
        <w:jc w:val="left"/>
        <w:rPr>
          <w:rFonts w:ascii="Times New Roman" w:hAnsi="Times New Roman"/>
        </w:rPr>
      </w:pPr>
      <w:proofErr w:type="spellStart"/>
      <w:r w:rsidRPr="00622299">
        <w:rPr>
          <w:rFonts w:ascii="Times New Roman" w:hAnsi="Times New Roman"/>
        </w:rPr>
        <w:t>Gaumer</w:t>
      </w:r>
      <w:proofErr w:type="spellEnd"/>
      <w:r w:rsidRPr="00622299">
        <w:rPr>
          <w:rFonts w:ascii="Times New Roman" w:hAnsi="Times New Roman"/>
        </w:rPr>
        <w:t xml:space="preserve">, C. P. (2000). </w:t>
      </w:r>
      <w:proofErr w:type="spellStart"/>
      <w:r w:rsidRPr="00622299">
        <w:rPr>
          <w:rFonts w:ascii="Times New Roman" w:hAnsi="Times New Roman"/>
        </w:rPr>
        <w:t>Policing</w:t>
      </w:r>
      <w:proofErr w:type="spellEnd"/>
      <w:r w:rsidRPr="00622299">
        <w:rPr>
          <w:rFonts w:ascii="Times New Roman" w:hAnsi="Times New Roman"/>
        </w:rPr>
        <w:t xml:space="preserve"> </w:t>
      </w:r>
      <w:proofErr w:type="spellStart"/>
      <w:r w:rsidRPr="00622299">
        <w:rPr>
          <w:rFonts w:ascii="Times New Roman" w:hAnsi="Times New Roman"/>
        </w:rPr>
        <w:t>the</w:t>
      </w:r>
      <w:proofErr w:type="spellEnd"/>
      <w:r w:rsidRPr="00622299">
        <w:rPr>
          <w:rFonts w:ascii="Times New Roman" w:hAnsi="Times New Roman"/>
        </w:rPr>
        <w:t xml:space="preserve"> </w:t>
      </w:r>
      <w:proofErr w:type="spellStart"/>
      <w:r w:rsidRPr="00622299">
        <w:rPr>
          <w:rFonts w:ascii="Times New Roman" w:hAnsi="Times New Roman"/>
        </w:rPr>
        <w:t>Bankruptcy</w:t>
      </w:r>
      <w:proofErr w:type="spellEnd"/>
      <w:r w:rsidRPr="00622299">
        <w:rPr>
          <w:rFonts w:ascii="Times New Roman" w:hAnsi="Times New Roman"/>
        </w:rPr>
        <w:t xml:space="preserve"> </w:t>
      </w:r>
      <w:proofErr w:type="spellStart"/>
      <w:r w:rsidRPr="00622299">
        <w:rPr>
          <w:rFonts w:ascii="Times New Roman" w:hAnsi="Times New Roman"/>
        </w:rPr>
        <w:t>System</w:t>
      </w:r>
      <w:proofErr w:type="spellEnd"/>
      <w:r w:rsidRPr="00622299">
        <w:rPr>
          <w:rFonts w:ascii="Times New Roman" w:hAnsi="Times New Roman"/>
        </w:rPr>
        <w:t xml:space="preserve">: </w:t>
      </w:r>
      <w:proofErr w:type="spellStart"/>
      <w:r w:rsidRPr="00622299">
        <w:rPr>
          <w:rFonts w:ascii="Times New Roman" w:hAnsi="Times New Roman"/>
        </w:rPr>
        <w:t>An</w:t>
      </w:r>
      <w:proofErr w:type="spellEnd"/>
      <w:r w:rsidRPr="00622299">
        <w:rPr>
          <w:rFonts w:ascii="Times New Roman" w:hAnsi="Times New Roman"/>
        </w:rPr>
        <w:t xml:space="preserve"> </w:t>
      </w:r>
      <w:proofErr w:type="spellStart"/>
      <w:r w:rsidRPr="00622299">
        <w:rPr>
          <w:rFonts w:ascii="Times New Roman" w:hAnsi="Times New Roman"/>
        </w:rPr>
        <w:t>Informal</w:t>
      </w:r>
      <w:proofErr w:type="spellEnd"/>
      <w:r w:rsidRPr="00622299">
        <w:rPr>
          <w:rFonts w:ascii="Times New Roman" w:hAnsi="Times New Roman"/>
        </w:rPr>
        <w:t xml:space="preserve"> </w:t>
      </w:r>
      <w:proofErr w:type="spellStart"/>
      <w:r w:rsidRPr="00622299">
        <w:rPr>
          <w:rFonts w:ascii="Times New Roman" w:hAnsi="Times New Roman"/>
        </w:rPr>
        <w:t>Statistical</w:t>
      </w:r>
      <w:proofErr w:type="spellEnd"/>
      <w:r w:rsidRPr="00622299">
        <w:rPr>
          <w:rFonts w:ascii="Times New Roman" w:hAnsi="Times New Roman"/>
        </w:rPr>
        <w:t xml:space="preserve"> </w:t>
      </w:r>
      <w:proofErr w:type="spellStart"/>
      <w:r w:rsidRPr="00622299">
        <w:rPr>
          <w:rFonts w:ascii="Times New Roman" w:hAnsi="Times New Roman"/>
        </w:rPr>
        <w:t>Analysis</w:t>
      </w:r>
      <w:proofErr w:type="spellEnd"/>
      <w:r w:rsidRPr="00622299">
        <w:rPr>
          <w:rFonts w:ascii="Times New Roman" w:hAnsi="Times New Roman"/>
        </w:rPr>
        <w:t xml:space="preserve"> </w:t>
      </w:r>
      <w:proofErr w:type="spellStart"/>
      <w:r w:rsidRPr="00622299">
        <w:rPr>
          <w:rFonts w:ascii="Times New Roman" w:hAnsi="Times New Roman"/>
        </w:rPr>
        <w:t>of</w:t>
      </w:r>
      <w:proofErr w:type="spellEnd"/>
      <w:r w:rsidRPr="00622299">
        <w:rPr>
          <w:rFonts w:ascii="Times New Roman" w:hAnsi="Times New Roman"/>
        </w:rPr>
        <w:t xml:space="preserve"> US </w:t>
      </w:r>
      <w:proofErr w:type="spellStart"/>
      <w:r w:rsidRPr="00622299">
        <w:rPr>
          <w:rFonts w:ascii="Times New Roman" w:hAnsi="Times New Roman"/>
        </w:rPr>
        <w:t>Bankruptcy</w:t>
      </w:r>
      <w:proofErr w:type="spellEnd"/>
      <w:r w:rsidRPr="00622299">
        <w:rPr>
          <w:rFonts w:ascii="Times New Roman" w:hAnsi="Times New Roman"/>
        </w:rPr>
        <w:t xml:space="preserve"> </w:t>
      </w:r>
      <w:proofErr w:type="spellStart"/>
      <w:r w:rsidRPr="00622299">
        <w:rPr>
          <w:rFonts w:ascii="Times New Roman" w:hAnsi="Times New Roman"/>
        </w:rPr>
        <w:t>Fraud</w:t>
      </w:r>
      <w:proofErr w:type="spellEnd"/>
      <w:r w:rsidRPr="00622299">
        <w:rPr>
          <w:rFonts w:ascii="Times New Roman" w:hAnsi="Times New Roman"/>
        </w:rPr>
        <w:t xml:space="preserve"> </w:t>
      </w:r>
      <w:proofErr w:type="spellStart"/>
      <w:r w:rsidRPr="00622299">
        <w:rPr>
          <w:rFonts w:ascii="Times New Roman" w:hAnsi="Times New Roman"/>
        </w:rPr>
        <w:t>Prosecutions</w:t>
      </w:r>
      <w:proofErr w:type="spellEnd"/>
      <w:r w:rsidRPr="00622299">
        <w:rPr>
          <w:rFonts w:ascii="Times New Roman" w:hAnsi="Times New Roman"/>
        </w:rPr>
        <w:t xml:space="preserve">. </w:t>
      </w:r>
      <w:r w:rsidRPr="00622299">
        <w:rPr>
          <w:rFonts w:ascii="Times New Roman" w:hAnsi="Times New Roman"/>
          <w:i/>
          <w:iCs/>
        </w:rPr>
        <w:t>AM. BANKR. INST. J.</w:t>
      </w:r>
      <w:r w:rsidRPr="00622299">
        <w:rPr>
          <w:rFonts w:ascii="Times New Roman" w:hAnsi="Times New Roman"/>
        </w:rPr>
        <w:t xml:space="preserve">, </w:t>
      </w:r>
      <w:r w:rsidRPr="00622299">
        <w:rPr>
          <w:rFonts w:ascii="Times New Roman" w:hAnsi="Times New Roman"/>
          <w:i/>
          <w:iCs/>
        </w:rPr>
        <w:t>74</w:t>
      </w:r>
      <w:r w:rsidRPr="00622299">
        <w:rPr>
          <w:rFonts w:ascii="Times New Roman" w:hAnsi="Times New Roman"/>
        </w:rPr>
        <w:t>, 8-8.</w:t>
      </w:r>
    </w:p>
    <w:p w:rsidR="005A7A8E" w:rsidRPr="005A7A8E" w:rsidRDefault="005A7A8E" w:rsidP="00E377E6">
      <w:pPr>
        <w:spacing w:line="480" w:lineRule="auto"/>
        <w:ind w:left="993" w:hanging="993"/>
        <w:jc w:val="left"/>
        <w:rPr>
          <w:rFonts w:ascii="Times New Roman" w:hAnsi="Times New Roman"/>
        </w:rPr>
      </w:pPr>
      <w:r w:rsidRPr="00622299">
        <w:rPr>
          <w:rFonts w:ascii="Times New Roman" w:hAnsi="Times New Roman"/>
        </w:rPr>
        <w:t>Horvat, R. (2008). Izvještaj sa 42. savjetovanja Hrvatskog arhivističkog društva u Bjelovaru, 2.–4.</w:t>
      </w:r>
      <w:r w:rsidRPr="005A7A8E">
        <w:rPr>
          <w:rFonts w:ascii="Times New Roman" w:hAnsi="Times New Roman"/>
        </w:rPr>
        <w:t xml:space="preserve"> listopada 2007. </w:t>
      </w:r>
      <w:r w:rsidRPr="005A7A8E">
        <w:rPr>
          <w:rFonts w:ascii="Times New Roman" w:hAnsi="Times New Roman"/>
          <w:i/>
        </w:rPr>
        <w:t>Arhivski vjesnik</w:t>
      </w:r>
      <w:r w:rsidRPr="005A7A8E">
        <w:rPr>
          <w:rFonts w:ascii="Times New Roman" w:hAnsi="Times New Roman"/>
        </w:rPr>
        <w:t>, 51(1), 405-466</w:t>
      </w:r>
    </w:p>
    <w:p w:rsidR="005A7A8E" w:rsidRP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Hrastinski</w:t>
      </w:r>
      <w:proofErr w:type="spellEnd"/>
      <w:r w:rsidRPr="005A7A8E">
        <w:rPr>
          <w:rFonts w:ascii="Times New Roman" w:hAnsi="Times New Roman"/>
        </w:rPr>
        <w:t xml:space="preserve"> </w:t>
      </w:r>
      <w:proofErr w:type="spellStart"/>
      <w:r w:rsidRPr="005A7A8E">
        <w:rPr>
          <w:rFonts w:ascii="Times New Roman" w:hAnsi="Times New Roman"/>
        </w:rPr>
        <w:t>Jurčec</w:t>
      </w:r>
      <w:proofErr w:type="spellEnd"/>
      <w:r w:rsidRPr="005A7A8E">
        <w:rPr>
          <w:rFonts w:ascii="Times New Roman" w:hAnsi="Times New Roman"/>
        </w:rPr>
        <w:t xml:space="preserve">, </w:t>
      </w:r>
      <w:proofErr w:type="spellStart"/>
      <w:r w:rsidRPr="005A7A8E">
        <w:rPr>
          <w:rFonts w:ascii="Times New Roman" w:hAnsi="Times New Roman"/>
        </w:rPr>
        <w:t>Lj</w:t>
      </w:r>
      <w:proofErr w:type="spellEnd"/>
      <w:r w:rsidRPr="005A7A8E">
        <w:rPr>
          <w:rFonts w:ascii="Times New Roman" w:hAnsi="Times New Roman"/>
        </w:rPr>
        <w:t xml:space="preserve">. (2007). Pravni položaj stečajnoga upravitelja u stečajnim postupcima. U </w:t>
      </w:r>
      <w:r w:rsidRPr="005A7A8E">
        <w:rPr>
          <w:rFonts w:ascii="Times New Roman" w:hAnsi="Times New Roman"/>
          <w:i/>
        </w:rPr>
        <w:t>Ovrha i stečaj – aktualnosti zakonodavstva i sudske prakse</w:t>
      </w:r>
      <w:r w:rsidRPr="005A7A8E">
        <w:rPr>
          <w:rFonts w:ascii="Times New Roman" w:hAnsi="Times New Roman"/>
        </w:rPr>
        <w:t>. Zagreb: Inženjerski biro.</w:t>
      </w:r>
    </w:p>
    <w:p w:rsid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Korobkin</w:t>
      </w:r>
      <w:proofErr w:type="spellEnd"/>
      <w:r w:rsidRPr="005A7A8E">
        <w:rPr>
          <w:rFonts w:ascii="Times New Roman" w:hAnsi="Times New Roman"/>
        </w:rPr>
        <w:t xml:space="preserve">, D. (1991). </w:t>
      </w:r>
      <w:proofErr w:type="spellStart"/>
      <w:r w:rsidRPr="005A7A8E">
        <w:rPr>
          <w:rFonts w:ascii="Times New Roman" w:hAnsi="Times New Roman"/>
        </w:rPr>
        <w:t>Rehabilitating</w:t>
      </w:r>
      <w:proofErr w:type="spellEnd"/>
      <w:r w:rsidRPr="005A7A8E">
        <w:rPr>
          <w:rFonts w:ascii="Times New Roman" w:hAnsi="Times New Roman"/>
        </w:rPr>
        <w:t xml:space="preserve"> </w:t>
      </w:r>
      <w:proofErr w:type="spellStart"/>
      <w:r w:rsidRPr="005A7A8E">
        <w:rPr>
          <w:rFonts w:ascii="Times New Roman" w:hAnsi="Times New Roman"/>
        </w:rPr>
        <w:t>Values</w:t>
      </w:r>
      <w:proofErr w:type="spellEnd"/>
      <w:r w:rsidRPr="005A7A8E">
        <w:rPr>
          <w:rFonts w:ascii="Times New Roman" w:hAnsi="Times New Roman"/>
        </w:rPr>
        <w:t xml:space="preserve">: A </w:t>
      </w:r>
      <w:proofErr w:type="spellStart"/>
      <w:r w:rsidRPr="005A7A8E">
        <w:rPr>
          <w:rFonts w:ascii="Times New Roman" w:hAnsi="Times New Roman"/>
        </w:rPr>
        <w:t>Jurisprudence</w:t>
      </w:r>
      <w:proofErr w:type="spellEnd"/>
      <w:r w:rsidRPr="005A7A8E">
        <w:rPr>
          <w:rFonts w:ascii="Times New Roman" w:hAnsi="Times New Roman"/>
        </w:rPr>
        <w:t xml:space="preserve"> </w:t>
      </w:r>
      <w:proofErr w:type="spellStart"/>
      <w:r w:rsidRPr="005A7A8E">
        <w:rPr>
          <w:rFonts w:ascii="Times New Roman" w:hAnsi="Times New Roman"/>
        </w:rPr>
        <w:t>of</w:t>
      </w:r>
      <w:proofErr w:type="spellEnd"/>
      <w:r w:rsidRPr="005A7A8E">
        <w:rPr>
          <w:rFonts w:ascii="Times New Roman" w:hAnsi="Times New Roman"/>
        </w:rPr>
        <w:t xml:space="preserve"> </w:t>
      </w:r>
      <w:proofErr w:type="spellStart"/>
      <w:r w:rsidRPr="005A7A8E">
        <w:rPr>
          <w:rFonts w:ascii="Times New Roman" w:hAnsi="Times New Roman"/>
        </w:rPr>
        <w:t>Bankruptcy</w:t>
      </w:r>
      <w:proofErr w:type="spellEnd"/>
      <w:r w:rsidRPr="005A7A8E">
        <w:rPr>
          <w:rFonts w:ascii="Times New Roman" w:hAnsi="Times New Roman"/>
        </w:rPr>
        <w:t xml:space="preserve">. </w:t>
      </w:r>
      <w:r w:rsidRPr="005A7A8E">
        <w:rPr>
          <w:rFonts w:ascii="Times New Roman" w:hAnsi="Times New Roman"/>
          <w:i/>
        </w:rPr>
        <w:t xml:space="preserve">Columbia </w:t>
      </w:r>
      <w:proofErr w:type="spellStart"/>
      <w:r w:rsidRPr="005A7A8E">
        <w:rPr>
          <w:rFonts w:ascii="Times New Roman" w:hAnsi="Times New Roman"/>
          <w:i/>
        </w:rPr>
        <w:t>Law</w:t>
      </w:r>
      <w:proofErr w:type="spellEnd"/>
      <w:r w:rsidRPr="005A7A8E">
        <w:rPr>
          <w:rFonts w:ascii="Times New Roman" w:hAnsi="Times New Roman"/>
          <w:i/>
        </w:rPr>
        <w:t xml:space="preserve"> </w:t>
      </w:r>
      <w:proofErr w:type="spellStart"/>
      <w:r w:rsidRPr="005A7A8E">
        <w:rPr>
          <w:rFonts w:ascii="Times New Roman" w:hAnsi="Times New Roman"/>
          <w:i/>
        </w:rPr>
        <w:t>Review</w:t>
      </w:r>
      <w:proofErr w:type="spellEnd"/>
      <w:r w:rsidRPr="005A7A8E">
        <w:rPr>
          <w:rFonts w:ascii="Times New Roman" w:hAnsi="Times New Roman"/>
        </w:rPr>
        <w:t>, 91(4), 717-789</w:t>
      </w:r>
    </w:p>
    <w:p w:rsidR="006C0D54" w:rsidRPr="006C0D54" w:rsidRDefault="006C0D54" w:rsidP="006C0D54">
      <w:pPr>
        <w:spacing w:line="480" w:lineRule="auto"/>
        <w:ind w:left="993" w:hanging="993"/>
        <w:jc w:val="left"/>
        <w:rPr>
          <w:rFonts w:ascii="Times New Roman" w:hAnsi="Times New Roman"/>
        </w:rPr>
      </w:pPr>
      <w:proofErr w:type="spellStart"/>
      <w:r w:rsidRPr="006C0D54">
        <w:rPr>
          <w:rFonts w:ascii="Times New Roman" w:hAnsi="Times New Roman"/>
        </w:rPr>
        <w:t>Levi</w:t>
      </w:r>
      <w:proofErr w:type="spellEnd"/>
      <w:r w:rsidRPr="006C0D54">
        <w:rPr>
          <w:rFonts w:ascii="Times New Roman" w:hAnsi="Times New Roman"/>
        </w:rPr>
        <w:t>, M. (1993). White-</w:t>
      </w:r>
      <w:proofErr w:type="spellStart"/>
      <w:r w:rsidRPr="006C0D54">
        <w:rPr>
          <w:rFonts w:ascii="Times New Roman" w:hAnsi="Times New Roman"/>
        </w:rPr>
        <w:t>collar</w:t>
      </w:r>
      <w:proofErr w:type="spellEnd"/>
      <w:r w:rsidRPr="006C0D54">
        <w:rPr>
          <w:rFonts w:ascii="Times New Roman" w:hAnsi="Times New Roman"/>
        </w:rPr>
        <w:t xml:space="preserve"> </w:t>
      </w:r>
      <w:proofErr w:type="spellStart"/>
      <w:r w:rsidRPr="006C0D54">
        <w:rPr>
          <w:rFonts w:ascii="Times New Roman" w:hAnsi="Times New Roman"/>
        </w:rPr>
        <w:t>crime</w:t>
      </w:r>
      <w:proofErr w:type="spellEnd"/>
      <w:r w:rsidRPr="006C0D54">
        <w:rPr>
          <w:rFonts w:ascii="Times New Roman" w:hAnsi="Times New Roman"/>
        </w:rPr>
        <w:t xml:space="preserve">: </w:t>
      </w:r>
      <w:proofErr w:type="spellStart"/>
      <w:r w:rsidRPr="006C0D54">
        <w:rPr>
          <w:rFonts w:ascii="Times New Roman" w:hAnsi="Times New Roman"/>
        </w:rPr>
        <w:t>the</w:t>
      </w:r>
      <w:proofErr w:type="spellEnd"/>
      <w:r w:rsidRPr="006C0D54">
        <w:rPr>
          <w:rFonts w:ascii="Times New Roman" w:hAnsi="Times New Roman"/>
        </w:rPr>
        <w:t xml:space="preserve"> British scene. </w:t>
      </w:r>
      <w:proofErr w:type="spellStart"/>
      <w:r w:rsidRPr="006C0D54">
        <w:rPr>
          <w:rFonts w:ascii="Times New Roman" w:hAnsi="Times New Roman"/>
          <w:i/>
        </w:rPr>
        <w:t>The</w:t>
      </w:r>
      <w:proofErr w:type="spellEnd"/>
      <w:r w:rsidRPr="006C0D54">
        <w:rPr>
          <w:rFonts w:ascii="Times New Roman" w:hAnsi="Times New Roman"/>
          <w:i/>
        </w:rPr>
        <w:t xml:space="preserve"> </w:t>
      </w:r>
      <w:proofErr w:type="spellStart"/>
      <w:r w:rsidRPr="006C0D54">
        <w:rPr>
          <w:rFonts w:ascii="Times New Roman" w:hAnsi="Times New Roman"/>
          <w:i/>
        </w:rPr>
        <w:t>Annals</w:t>
      </w:r>
      <w:proofErr w:type="spellEnd"/>
      <w:r w:rsidRPr="006C0D54">
        <w:rPr>
          <w:rFonts w:ascii="Times New Roman" w:hAnsi="Times New Roman"/>
          <w:i/>
        </w:rPr>
        <w:t xml:space="preserve"> </w:t>
      </w:r>
      <w:proofErr w:type="spellStart"/>
      <w:r w:rsidRPr="006C0D54">
        <w:rPr>
          <w:rFonts w:ascii="Times New Roman" w:hAnsi="Times New Roman"/>
          <w:i/>
        </w:rPr>
        <w:t>of</w:t>
      </w:r>
      <w:proofErr w:type="spellEnd"/>
      <w:r w:rsidRPr="006C0D54">
        <w:rPr>
          <w:rFonts w:ascii="Times New Roman" w:hAnsi="Times New Roman"/>
          <w:i/>
        </w:rPr>
        <w:t xml:space="preserve"> </w:t>
      </w:r>
      <w:proofErr w:type="spellStart"/>
      <w:r w:rsidRPr="006C0D54">
        <w:rPr>
          <w:rFonts w:ascii="Times New Roman" w:hAnsi="Times New Roman"/>
          <w:i/>
        </w:rPr>
        <w:t>The</w:t>
      </w:r>
      <w:proofErr w:type="spellEnd"/>
      <w:r w:rsidRPr="006C0D54">
        <w:rPr>
          <w:rFonts w:ascii="Times New Roman" w:hAnsi="Times New Roman"/>
          <w:i/>
        </w:rPr>
        <w:t xml:space="preserve"> American </w:t>
      </w:r>
      <w:proofErr w:type="spellStart"/>
      <w:r w:rsidRPr="006C0D54">
        <w:rPr>
          <w:rFonts w:ascii="Times New Roman" w:hAnsi="Times New Roman"/>
          <w:i/>
        </w:rPr>
        <w:t>Academy</w:t>
      </w:r>
      <w:proofErr w:type="spellEnd"/>
      <w:r w:rsidRPr="006C0D54">
        <w:rPr>
          <w:rFonts w:ascii="Times New Roman" w:hAnsi="Times New Roman"/>
          <w:i/>
        </w:rPr>
        <w:t xml:space="preserve"> </w:t>
      </w:r>
      <w:proofErr w:type="spellStart"/>
      <w:r w:rsidRPr="006C0D54">
        <w:rPr>
          <w:rFonts w:ascii="Times New Roman" w:hAnsi="Times New Roman"/>
          <w:i/>
        </w:rPr>
        <w:t>of</w:t>
      </w:r>
      <w:proofErr w:type="spellEnd"/>
      <w:r w:rsidRPr="006C0D54">
        <w:rPr>
          <w:rFonts w:ascii="Times New Roman" w:hAnsi="Times New Roman"/>
          <w:i/>
        </w:rPr>
        <w:t xml:space="preserve"> </w:t>
      </w:r>
      <w:proofErr w:type="spellStart"/>
      <w:r w:rsidRPr="006C0D54">
        <w:rPr>
          <w:rFonts w:ascii="Times New Roman" w:hAnsi="Times New Roman"/>
          <w:i/>
        </w:rPr>
        <w:t>Political</w:t>
      </w:r>
      <w:proofErr w:type="spellEnd"/>
      <w:r w:rsidRPr="006C0D54">
        <w:rPr>
          <w:rFonts w:ascii="Times New Roman" w:hAnsi="Times New Roman"/>
          <w:i/>
        </w:rPr>
        <w:t xml:space="preserve"> </w:t>
      </w:r>
      <w:proofErr w:type="spellStart"/>
      <w:r w:rsidRPr="006C0D54">
        <w:rPr>
          <w:rFonts w:ascii="Times New Roman" w:hAnsi="Times New Roman"/>
          <w:i/>
        </w:rPr>
        <w:t>and</w:t>
      </w:r>
      <w:proofErr w:type="spellEnd"/>
      <w:r w:rsidRPr="006C0D54">
        <w:rPr>
          <w:rFonts w:ascii="Times New Roman" w:hAnsi="Times New Roman"/>
          <w:i/>
        </w:rPr>
        <w:t xml:space="preserve"> </w:t>
      </w:r>
      <w:proofErr w:type="spellStart"/>
      <w:r w:rsidRPr="006C0D54">
        <w:rPr>
          <w:rFonts w:ascii="Times New Roman" w:hAnsi="Times New Roman"/>
          <w:i/>
        </w:rPr>
        <w:t>Social</w:t>
      </w:r>
      <w:proofErr w:type="spellEnd"/>
      <w:r w:rsidRPr="006C0D54">
        <w:rPr>
          <w:rFonts w:ascii="Times New Roman" w:hAnsi="Times New Roman"/>
          <w:i/>
        </w:rPr>
        <w:t xml:space="preserve"> </w:t>
      </w:r>
      <w:proofErr w:type="spellStart"/>
      <w:r w:rsidRPr="006C0D54">
        <w:rPr>
          <w:rFonts w:ascii="Times New Roman" w:hAnsi="Times New Roman"/>
          <w:i/>
        </w:rPr>
        <w:t>Science</w:t>
      </w:r>
      <w:proofErr w:type="spellEnd"/>
      <w:r w:rsidRPr="006C0D54">
        <w:rPr>
          <w:rFonts w:ascii="Times New Roman" w:hAnsi="Times New Roman"/>
        </w:rPr>
        <w:t>, 525</w:t>
      </w:r>
      <w:r>
        <w:rPr>
          <w:rFonts w:ascii="Times New Roman" w:hAnsi="Times New Roman"/>
        </w:rPr>
        <w:t xml:space="preserve"> (1), 71-82</w:t>
      </w:r>
    </w:p>
    <w:p w:rsidR="005A7A8E" w:rsidRP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LoPucki</w:t>
      </w:r>
      <w:proofErr w:type="spellEnd"/>
      <w:r w:rsidRPr="005A7A8E">
        <w:rPr>
          <w:rFonts w:ascii="Times New Roman" w:hAnsi="Times New Roman"/>
        </w:rPr>
        <w:t xml:space="preserve">, L. (2006). </w:t>
      </w:r>
      <w:proofErr w:type="spellStart"/>
      <w:r w:rsidRPr="005A7A8E">
        <w:rPr>
          <w:rFonts w:ascii="Times New Roman" w:hAnsi="Times New Roman"/>
          <w:i/>
        </w:rPr>
        <w:t>Courting</w:t>
      </w:r>
      <w:proofErr w:type="spellEnd"/>
      <w:r w:rsidRPr="005A7A8E">
        <w:rPr>
          <w:rFonts w:ascii="Times New Roman" w:hAnsi="Times New Roman"/>
          <w:i/>
        </w:rPr>
        <w:t xml:space="preserve"> </w:t>
      </w:r>
      <w:proofErr w:type="spellStart"/>
      <w:r w:rsidRPr="005A7A8E">
        <w:rPr>
          <w:rFonts w:ascii="Times New Roman" w:hAnsi="Times New Roman"/>
          <w:i/>
        </w:rPr>
        <w:t>Failure</w:t>
      </w:r>
      <w:proofErr w:type="spellEnd"/>
      <w:r w:rsidRPr="005A7A8E">
        <w:rPr>
          <w:rFonts w:ascii="Times New Roman" w:hAnsi="Times New Roman"/>
          <w:i/>
        </w:rPr>
        <w:t xml:space="preserve"> - </w:t>
      </w:r>
      <w:proofErr w:type="spellStart"/>
      <w:r w:rsidRPr="005A7A8E">
        <w:rPr>
          <w:rFonts w:ascii="Times New Roman" w:hAnsi="Times New Roman"/>
          <w:i/>
        </w:rPr>
        <w:t>How</w:t>
      </w:r>
      <w:proofErr w:type="spellEnd"/>
      <w:r w:rsidRPr="005A7A8E">
        <w:rPr>
          <w:rFonts w:ascii="Times New Roman" w:hAnsi="Times New Roman"/>
          <w:i/>
        </w:rPr>
        <w:t xml:space="preserve"> </w:t>
      </w:r>
      <w:proofErr w:type="spellStart"/>
      <w:r w:rsidRPr="005A7A8E">
        <w:rPr>
          <w:rFonts w:ascii="Times New Roman" w:hAnsi="Times New Roman"/>
          <w:i/>
        </w:rPr>
        <w:t>Competition</w:t>
      </w:r>
      <w:proofErr w:type="spellEnd"/>
      <w:r w:rsidRPr="005A7A8E">
        <w:rPr>
          <w:rFonts w:ascii="Times New Roman" w:hAnsi="Times New Roman"/>
          <w:i/>
        </w:rPr>
        <w:t xml:space="preserve"> for Big </w:t>
      </w:r>
      <w:proofErr w:type="spellStart"/>
      <w:r w:rsidRPr="005A7A8E">
        <w:rPr>
          <w:rFonts w:ascii="Times New Roman" w:hAnsi="Times New Roman"/>
          <w:i/>
        </w:rPr>
        <w:t>Cases</w:t>
      </w:r>
      <w:proofErr w:type="spellEnd"/>
      <w:r w:rsidRPr="005A7A8E">
        <w:rPr>
          <w:rFonts w:ascii="Times New Roman" w:hAnsi="Times New Roman"/>
          <w:i/>
        </w:rPr>
        <w:t xml:space="preserve"> </w:t>
      </w:r>
      <w:proofErr w:type="spellStart"/>
      <w:r w:rsidRPr="005A7A8E">
        <w:rPr>
          <w:rFonts w:ascii="Times New Roman" w:hAnsi="Times New Roman"/>
          <w:i/>
        </w:rPr>
        <w:t>Is</w:t>
      </w:r>
      <w:proofErr w:type="spellEnd"/>
      <w:r w:rsidRPr="005A7A8E">
        <w:rPr>
          <w:rFonts w:ascii="Times New Roman" w:hAnsi="Times New Roman"/>
          <w:i/>
        </w:rPr>
        <w:t xml:space="preserve"> </w:t>
      </w:r>
      <w:proofErr w:type="spellStart"/>
      <w:r w:rsidRPr="005A7A8E">
        <w:rPr>
          <w:rFonts w:ascii="Times New Roman" w:hAnsi="Times New Roman"/>
          <w:i/>
        </w:rPr>
        <w:t>Corrupting</w:t>
      </w:r>
      <w:proofErr w:type="spellEnd"/>
      <w:r w:rsidRPr="005A7A8E">
        <w:rPr>
          <w:rFonts w:ascii="Times New Roman" w:hAnsi="Times New Roman"/>
          <w:i/>
        </w:rPr>
        <w:t xml:space="preserve"> </w:t>
      </w:r>
      <w:proofErr w:type="spellStart"/>
      <w:r w:rsidRPr="005A7A8E">
        <w:rPr>
          <w:rFonts w:ascii="Times New Roman" w:hAnsi="Times New Roman"/>
          <w:i/>
        </w:rPr>
        <w:t>the</w:t>
      </w:r>
      <w:proofErr w:type="spellEnd"/>
      <w:r w:rsidRPr="005A7A8E">
        <w:rPr>
          <w:rFonts w:ascii="Times New Roman" w:hAnsi="Times New Roman"/>
          <w:i/>
        </w:rPr>
        <w:t xml:space="preserve"> </w:t>
      </w:r>
      <w:proofErr w:type="spellStart"/>
      <w:r w:rsidRPr="005A7A8E">
        <w:rPr>
          <w:rFonts w:ascii="Times New Roman" w:hAnsi="Times New Roman"/>
          <w:i/>
        </w:rPr>
        <w:t>Bankruptcy</w:t>
      </w:r>
      <w:proofErr w:type="spellEnd"/>
      <w:r w:rsidRPr="005A7A8E">
        <w:rPr>
          <w:rFonts w:ascii="Times New Roman" w:hAnsi="Times New Roman"/>
          <w:i/>
        </w:rPr>
        <w:t xml:space="preserve"> </w:t>
      </w:r>
      <w:proofErr w:type="spellStart"/>
      <w:r w:rsidRPr="005A7A8E">
        <w:rPr>
          <w:rFonts w:ascii="Times New Roman" w:hAnsi="Times New Roman"/>
          <w:i/>
        </w:rPr>
        <w:t>Courts</w:t>
      </w:r>
      <w:proofErr w:type="spellEnd"/>
      <w:r w:rsidRPr="005A7A8E">
        <w:rPr>
          <w:rFonts w:ascii="Times New Roman" w:hAnsi="Times New Roman"/>
        </w:rPr>
        <w:t xml:space="preserve">, </w:t>
      </w:r>
      <w:proofErr w:type="spellStart"/>
      <w:r w:rsidRPr="005A7A8E">
        <w:rPr>
          <w:rFonts w:ascii="Times New Roman" w:hAnsi="Times New Roman"/>
        </w:rPr>
        <w:t>University</w:t>
      </w:r>
      <w:proofErr w:type="spellEnd"/>
      <w:r w:rsidRPr="005A7A8E">
        <w:rPr>
          <w:rFonts w:ascii="Times New Roman" w:hAnsi="Times New Roman"/>
        </w:rPr>
        <w:t xml:space="preserve"> </w:t>
      </w:r>
      <w:proofErr w:type="spellStart"/>
      <w:r w:rsidRPr="005A7A8E">
        <w:rPr>
          <w:rFonts w:ascii="Times New Roman" w:hAnsi="Times New Roman"/>
        </w:rPr>
        <w:t>of</w:t>
      </w:r>
      <w:proofErr w:type="spellEnd"/>
      <w:r w:rsidRPr="005A7A8E">
        <w:rPr>
          <w:rFonts w:ascii="Times New Roman" w:hAnsi="Times New Roman"/>
        </w:rPr>
        <w:t xml:space="preserve"> Michigan </w:t>
      </w:r>
      <w:proofErr w:type="spellStart"/>
      <w:r w:rsidRPr="005A7A8E">
        <w:rPr>
          <w:rFonts w:ascii="Times New Roman" w:hAnsi="Times New Roman"/>
        </w:rPr>
        <w:t>Press</w:t>
      </w:r>
      <w:proofErr w:type="spellEnd"/>
      <w:r w:rsidRPr="005A7A8E">
        <w:rPr>
          <w:rFonts w:ascii="Times New Roman" w:hAnsi="Times New Roman"/>
        </w:rPr>
        <w:t>.</w:t>
      </w:r>
    </w:p>
    <w:p w:rsidR="005A7A8E" w:rsidRP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LoPucki</w:t>
      </w:r>
      <w:proofErr w:type="spellEnd"/>
      <w:r w:rsidRPr="005A7A8E">
        <w:rPr>
          <w:rFonts w:ascii="Times New Roman" w:hAnsi="Times New Roman"/>
        </w:rPr>
        <w:t xml:space="preserve">, L. (2008). Court </w:t>
      </w:r>
      <w:proofErr w:type="spellStart"/>
      <w:r w:rsidRPr="005A7A8E">
        <w:rPr>
          <w:rFonts w:ascii="Times New Roman" w:hAnsi="Times New Roman"/>
        </w:rPr>
        <w:t>System</w:t>
      </w:r>
      <w:proofErr w:type="spellEnd"/>
      <w:r w:rsidRPr="005A7A8E">
        <w:rPr>
          <w:rFonts w:ascii="Times New Roman" w:hAnsi="Times New Roman"/>
        </w:rPr>
        <w:t xml:space="preserve"> </w:t>
      </w:r>
      <w:proofErr w:type="spellStart"/>
      <w:r w:rsidRPr="005A7A8E">
        <w:rPr>
          <w:rFonts w:ascii="Times New Roman" w:hAnsi="Times New Roman"/>
        </w:rPr>
        <w:t>Transparency</w:t>
      </w:r>
      <w:proofErr w:type="spellEnd"/>
      <w:r w:rsidRPr="005A7A8E">
        <w:rPr>
          <w:rFonts w:ascii="Times New Roman" w:hAnsi="Times New Roman"/>
        </w:rPr>
        <w:t xml:space="preserve">. </w:t>
      </w:r>
      <w:proofErr w:type="spellStart"/>
      <w:r w:rsidRPr="005A7A8E">
        <w:rPr>
          <w:rFonts w:ascii="Times New Roman" w:hAnsi="Times New Roman"/>
          <w:i/>
        </w:rPr>
        <w:t>Iowa</w:t>
      </w:r>
      <w:proofErr w:type="spellEnd"/>
      <w:r w:rsidRPr="005A7A8E">
        <w:rPr>
          <w:rFonts w:ascii="Times New Roman" w:hAnsi="Times New Roman"/>
          <w:i/>
        </w:rPr>
        <w:t xml:space="preserve"> </w:t>
      </w:r>
      <w:proofErr w:type="spellStart"/>
      <w:r w:rsidRPr="005A7A8E">
        <w:rPr>
          <w:rFonts w:ascii="Times New Roman" w:hAnsi="Times New Roman"/>
          <w:i/>
        </w:rPr>
        <w:t>Law</w:t>
      </w:r>
      <w:proofErr w:type="spellEnd"/>
      <w:r w:rsidRPr="005A7A8E">
        <w:rPr>
          <w:rFonts w:ascii="Times New Roman" w:hAnsi="Times New Roman"/>
          <w:i/>
        </w:rPr>
        <w:t xml:space="preserve"> </w:t>
      </w:r>
      <w:proofErr w:type="spellStart"/>
      <w:r w:rsidRPr="005A7A8E">
        <w:rPr>
          <w:rFonts w:ascii="Times New Roman" w:hAnsi="Times New Roman"/>
          <w:i/>
        </w:rPr>
        <w:t>Review</w:t>
      </w:r>
      <w:proofErr w:type="spellEnd"/>
      <w:r w:rsidRPr="005A7A8E">
        <w:rPr>
          <w:rFonts w:ascii="Times New Roman" w:hAnsi="Times New Roman"/>
        </w:rPr>
        <w:t>, 94. Dostupno na http://ssrn.com/abstract=1013380 (pristupljeno 4.3.2014.)</w:t>
      </w:r>
    </w:p>
    <w:p w:rsidR="005A7A8E" w:rsidRP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LoPucki</w:t>
      </w:r>
      <w:proofErr w:type="spellEnd"/>
      <w:r w:rsidRPr="005A7A8E">
        <w:rPr>
          <w:rFonts w:ascii="Times New Roman" w:hAnsi="Times New Roman"/>
        </w:rPr>
        <w:t xml:space="preserve">, L., </w:t>
      </w:r>
      <w:proofErr w:type="spellStart"/>
      <w:r w:rsidRPr="005A7A8E">
        <w:rPr>
          <w:rFonts w:ascii="Times New Roman" w:hAnsi="Times New Roman"/>
        </w:rPr>
        <w:t>Doherty</w:t>
      </w:r>
      <w:proofErr w:type="spellEnd"/>
      <w:r w:rsidRPr="005A7A8E">
        <w:rPr>
          <w:rFonts w:ascii="Times New Roman" w:hAnsi="Times New Roman"/>
        </w:rPr>
        <w:t xml:space="preserve">, J. (2008). Professional </w:t>
      </w:r>
      <w:proofErr w:type="spellStart"/>
      <w:r w:rsidRPr="005A7A8E">
        <w:rPr>
          <w:rFonts w:ascii="Times New Roman" w:hAnsi="Times New Roman"/>
        </w:rPr>
        <w:t>Overcharging</w:t>
      </w:r>
      <w:proofErr w:type="spellEnd"/>
      <w:r w:rsidRPr="005A7A8E">
        <w:rPr>
          <w:rFonts w:ascii="Times New Roman" w:hAnsi="Times New Roman"/>
        </w:rPr>
        <w:t xml:space="preserve"> </w:t>
      </w:r>
      <w:proofErr w:type="spellStart"/>
      <w:r w:rsidRPr="005A7A8E">
        <w:rPr>
          <w:rFonts w:ascii="Times New Roman" w:hAnsi="Times New Roman"/>
        </w:rPr>
        <w:t>in</w:t>
      </w:r>
      <w:proofErr w:type="spellEnd"/>
      <w:r w:rsidRPr="005A7A8E">
        <w:rPr>
          <w:rFonts w:ascii="Times New Roman" w:hAnsi="Times New Roman"/>
        </w:rPr>
        <w:t xml:space="preserve"> </w:t>
      </w:r>
      <w:proofErr w:type="spellStart"/>
      <w:r w:rsidRPr="005A7A8E">
        <w:rPr>
          <w:rFonts w:ascii="Times New Roman" w:hAnsi="Times New Roman"/>
        </w:rPr>
        <w:t>Large</w:t>
      </w:r>
      <w:proofErr w:type="spellEnd"/>
      <w:r w:rsidRPr="005A7A8E">
        <w:rPr>
          <w:rFonts w:ascii="Times New Roman" w:hAnsi="Times New Roman"/>
        </w:rPr>
        <w:t xml:space="preserve"> </w:t>
      </w:r>
      <w:proofErr w:type="spellStart"/>
      <w:r w:rsidRPr="005A7A8E">
        <w:rPr>
          <w:rFonts w:ascii="Times New Roman" w:hAnsi="Times New Roman"/>
        </w:rPr>
        <w:t>Bankruptcy</w:t>
      </w:r>
      <w:proofErr w:type="spellEnd"/>
      <w:r w:rsidRPr="005A7A8E">
        <w:rPr>
          <w:rFonts w:ascii="Times New Roman" w:hAnsi="Times New Roman"/>
        </w:rPr>
        <w:t xml:space="preserve"> </w:t>
      </w:r>
      <w:proofErr w:type="spellStart"/>
      <w:r w:rsidRPr="005A7A8E">
        <w:rPr>
          <w:rFonts w:ascii="Times New Roman" w:hAnsi="Times New Roman"/>
        </w:rPr>
        <w:t>Reorganization</w:t>
      </w:r>
      <w:proofErr w:type="spellEnd"/>
      <w:r w:rsidRPr="005A7A8E">
        <w:rPr>
          <w:rFonts w:ascii="Times New Roman" w:hAnsi="Times New Roman"/>
        </w:rPr>
        <w:t xml:space="preserve"> </w:t>
      </w:r>
      <w:proofErr w:type="spellStart"/>
      <w:r w:rsidRPr="005A7A8E">
        <w:rPr>
          <w:rFonts w:ascii="Times New Roman" w:hAnsi="Times New Roman"/>
        </w:rPr>
        <w:t>Cases</w:t>
      </w:r>
      <w:proofErr w:type="spellEnd"/>
      <w:r w:rsidRPr="005A7A8E">
        <w:rPr>
          <w:rFonts w:ascii="Times New Roman" w:hAnsi="Times New Roman"/>
        </w:rPr>
        <w:t xml:space="preserve">. </w:t>
      </w:r>
      <w:proofErr w:type="spellStart"/>
      <w:r w:rsidRPr="005A7A8E">
        <w:rPr>
          <w:rFonts w:ascii="Times New Roman" w:hAnsi="Times New Roman"/>
          <w:i/>
        </w:rPr>
        <w:t>Journal</w:t>
      </w:r>
      <w:proofErr w:type="spellEnd"/>
      <w:r w:rsidRPr="005A7A8E">
        <w:rPr>
          <w:rFonts w:ascii="Times New Roman" w:hAnsi="Times New Roman"/>
          <w:i/>
        </w:rPr>
        <w:t xml:space="preserve"> </w:t>
      </w:r>
      <w:proofErr w:type="spellStart"/>
      <w:r w:rsidRPr="005A7A8E">
        <w:rPr>
          <w:rFonts w:ascii="Times New Roman" w:hAnsi="Times New Roman"/>
          <w:i/>
        </w:rPr>
        <w:t>of</w:t>
      </w:r>
      <w:proofErr w:type="spellEnd"/>
      <w:r w:rsidRPr="005A7A8E">
        <w:rPr>
          <w:rFonts w:ascii="Times New Roman" w:hAnsi="Times New Roman"/>
          <w:i/>
        </w:rPr>
        <w:t xml:space="preserve"> </w:t>
      </w:r>
      <w:proofErr w:type="spellStart"/>
      <w:r w:rsidRPr="005A7A8E">
        <w:rPr>
          <w:rFonts w:ascii="Times New Roman" w:hAnsi="Times New Roman"/>
          <w:i/>
        </w:rPr>
        <w:t>Empirical</w:t>
      </w:r>
      <w:proofErr w:type="spellEnd"/>
      <w:r w:rsidRPr="005A7A8E">
        <w:rPr>
          <w:rFonts w:ascii="Times New Roman" w:hAnsi="Times New Roman"/>
          <w:i/>
        </w:rPr>
        <w:t xml:space="preserve"> Legal </w:t>
      </w:r>
      <w:proofErr w:type="spellStart"/>
      <w:r w:rsidRPr="005A7A8E">
        <w:rPr>
          <w:rFonts w:ascii="Times New Roman" w:hAnsi="Times New Roman"/>
          <w:i/>
        </w:rPr>
        <w:t>Studies</w:t>
      </w:r>
      <w:proofErr w:type="spellEnd"/>
      <w:r w:rsidRPr="005A7A8E">
        <w:rPr>
          <w:rFonts w:ascii="Times New Roman" w:hAnsi="Times New Roman"/>
        </w:rPr>
        <w:t>, 5(4), 983-1017</w:t>
      </w:r>
    </w:p>
    <w:p w:rsidR="000D33D0" w:rsidRDefault="005A7A8E" w:rsidP="000D33D0">
      <w:pPr>
        <w:spacing w:afterLines="200" w:after="480" w:line="480" w:lineRule="auto"/>
        <w:ind w:left="992" w:hanging="992"/>
        <w:jc w:val="left"/>
        <w:rPr>
          <w:rFonts w:ascii="Times New Roman" w:hAnsi="Times New Roman"/>
        </w:rPr>
      </w:pPr>
      <w:r w:rsidRPr="005A7A8E">
        <w:rPr>
          <w:rFonts w:ascii="Times New Roman" w:hAnsi="Times New Roman"/>
        </w:rPr>
        <w:lastRenderedPageBreak/>
        <w:t xml:space="preserve">Marković, N. (2008). Polaganje računa vjerovnicima - završni račun stečajnog upravitelja. </w:t>
      </w:r>
      <w:r w:rsidRPr="005A7A8E">
        <w:rPr>
          <w:rFonts w:ascii="Times New Roman" w:hAnsi="Times New Roman"/>
          <w:i/>
        </w:rPr>
        <w:t>Stručni članci Trgovačkog suda u Zagrebu</w:t>
      </w:r>
      <w:r w:rsidRPr="005A7A8E">
        <w:rPr>
          <w:rFonts w:ascii="Times New Roman" w:hAnsi="Times New Roman"/>
        </w:rPr>
        <w:t>. Dostupno na http://www.tszg.hr/cro/TSZG/Djelokrug-Suda/Stecaj/Strucni-clanci/Polaganje-racuna-vjerovnicima-Zavrsni-racun-stecajnog-upravitelja (pristupljeno 5.3.2014.)</w:t>
      </w:r>
    </w:p>
    <w:p w:rsidR="006C0D54" w:rsidRDefault="005A7A8E" w:rsidP="000D33D0">
      <w:pPr>
        <w:spacing w:afterLines="200" w:after="480" w:line="480" w:lineRule="auto"/>
        <w:ind w:left="992" w:hanging="992"/>
        <w:jc w:val="left"/>
        <w:rPr>
          <w:rFonts w:ascii="Times New Roman" w:hAnsi="Times New Roman"/>
        </w:rPr>
      </w:pPr>
      <w:proofErr w:type="spellStart"/>
      <w:r w:rsidRPr="006C0D54">
        <w:rPr>
          <w:rFonts w:ascii="Times New Roman" w:hAnsi="Times New Roman"/>
        </w:rPr>
        <w:t>Menkes</w:t>
      </w:r>
      <w:proofErr w:type="spellEnd"/>
      <w:r w:rsidRPr="006C0D54">
        <w:rPr>
          <w:rFonts w:ascii="Times New Roman" w:hAnsi="Times New Roman"/>
        </w:rPr>
        <w:t xml:space="preserve">, R. (2007). </w:t>
      </w:r>
      <w:proofErr w:type="spellStart"/>
      <w:r w:rsidRPr="006C0D54">
        <w:rPr>
          <w:rFonts w:ascii="Times New Roman" w:hAnsi="Times New Roman"/>
          <w:i/>
        </w:rPr>
        <w:t>An</w:t>
      </w:r>
      <w:proofErr w:type="spellEnd"/>
      <w:r w:rsidRPr="006C0D54">
        <w:rPr>
          <w:rFonts w:ascii="Times New Roman" w:hAnsi="Times New Roman"/>
          <w:i/>
        </w:rPr>
        <w:t xml:space="preserve"> </w:t>
      </w:r>
      <w:proofErr w:type="spellStart"/>
      <w:r w:rsidRPr="006C0D54">
        <w:rPr>
          <w:rFonts w:ascii="Times New Roman" w:hAnsi="Times New Roman"/>
          <w:i/>
        </w:rPr>
        <w:t>economic</w:t>
      </w:r>
      <w:proofErr w:type="spellEnd"/>
      <w:r w:rsidRPr="006C0D54">
        <w:rPr>
          <w:rFonts w:ascii="Times New Roman" w:hAnsi="Times New Roman"/>
          <w:i/>
        </w:rPr>
        <w:t xml:space="preserve"> </w:t>
      </w:r>
      <w:proofErr w:type="spellStart"/>
      <w:r w:rsidRPr="006C0D54">
        <w:rPr>
          <w:rFonts w:ascii="Times New Roman" w:hAnsi="Times New Roman"/>
          <w:i/>
        </w:rPr>
        <w:t>analysis</w:t>
      </w:r>
      <w:proofErr w:type="spellEnd"/>
      <w:r w:rsidRPr="006C0D54">
        <w:rPr>
          <w:rFonts w:ascii="Times New Roman" w:hAnsi="Times New Roman"/>
          <w:i/>
        </w:rPr>
        <w:t xml:space="preserve"> </w:t>
      </w:r>
      <w:proofErr w:type="spellStart"/>
      <w:r w:rsidRPr="006C0D54">
        <w:rPr>
          <w:rFonts w:ascii="Times New Roman" w:hAnsi="Times New Roman"/>
          <w:i/>
        </w:rPr>
        <w:t>of</w:t>
      </w:r>
      <w:proofErr w:type="spellEnd"/>
      <w:r w:rsidRPr="006C0D54">
        <w:rPr>
          <w:rFonts w:ascii="Times New Roman" w:hAnsi="Times New Roman"/>
          <w:i/>
        </w:rPr>
        <w:t xml:space="preserve"> trust, </w:t>
      </w:r>
      <w:proofErr w:type="spellStart"/>
      <w:r w:rsidRPr="006C0D54">
        <w:rPr>
          <w:rFonts w:ascii="Times New Roman" w:hAnsi="Times New Roman"/>
          <w:i/>
        </w:rPr>
        <w:t>social</w:t>
      </w:r>
      <w:proofErr w:type="spellEnd"/>
      <w:r w:rsidRPr="006C0D54">
        <w:rPr>
          <w:rFonts w:ascii="Times New Roman" w:hAnsi="Times New Roman"/>
          <w:i/>
        </w:rPr>
        <w:t xml:space="preserve"> </w:t>
      </w:r>
      <w:proofErr w:type="spellStart"/>
      <w:r w:rsidRPr="006C0D54">
        <w:rPr>
          <w:rFonts w:ascii="Times New Roman" w:hAnsi="Times New Roman"/>
          <w:i/>
        </w:rPr>
        <w:t>capital</w:t>
      </w:r>
      <w:proofErr w:type="spellEnd"/>
      <w:r w:rsidRPr="006C0D54">
        <w:rPr>
          <w:rFonts w:ascii="Times New Roman" w:hAnsi="Times New Roman"/>
          <w:i/>
        </w:rPr>
        <w:t xml:space="preserve">, </w:t>
      </w:r>
      <w:proofErr w:type="spellStart"/>
      <w:r w:rsidRPr="006C0D54">
        <w:rPr>
          <w:rFonts w:ascii="Times New Roman" w:hAnsi="Times New Roman"/>
          <w:i/>
        </w:rPr>
        <w:t>and</w:t>
      </w:r>
      <w:proofErr w:type="spellEnd"/>
      <w:r w:rsidRPr="006C0D54">
        <w:rPr>
          <w:rFonts w:ascii="Times New Roman" w:hAnsi="Times New Roman"/>
          <w:i/>
        </w:rPr>
        <w:t xml:space="preserve"> </w:t>
      </w:r>
      <w:proofErr w:type="spellStart"/>
      <w:r w:rsidRPr="006C0D54">
        <w:rPr>
          <w:rFonts w:ascii="Times New Roman" w:hAnsi="Times New Roman"/>
          <w:i/>
        </w:rPr>
        <w:t>the</w:t>
      </w:r>
      <w:proofErr w:type="spellEnd"/>
      <w:r w:rsidRPr="006C0D54">
        <w:rPr>
          <w:rFonts w:ascii="Times New Roman" w:hAnsi="Times New Roman"/>
          <w:i/>
        </w:rPr>
        <w:t xml:space="preserve"> </w:t>
      </w:r>
      <w:proofErr w:type="spellStart"/>
      <w:r w:rsidRPr="006C0D54">
        <w:rPr>
          <w:rFonts w:ascii="Times New Roman" w:hAnsi="Times New Roman"/>
          <w:i/>
        </w:rPr>
        <w:t>legislation</w:t>
      </w:r>
      <w:proofErr w:type="spellEnd"/>
      <w:r w:rsidRPr="006C0D54">
        <w:rPr>
          <w:rFonts w:ascii="Times New Roman" w:hAnsi="Times New Roman"/>
          <w:i/>
        </w:rPr>
        <w:t xml:space="preserve"> </w:t>
      </w:r>
      <w:proofErr w:type="spellStart"/>
      <w:r w:rsidRPr="006C0D54">
        <w:rPr>
          <w:rFonts w:ascii="Times New Roman" w:hAnsi="Times New Roman"/>
          <w:i/>
        </w:rPr>
        <w:t>of</w:t>
      </w:r>
      <w:proofErr w:type="spellEnd"/>
      <w:r w:rsidRPr="006C0D54">
        <w:rPr>
          <w:rFonts w:ascii="Times New Roman" w:hAnsi="Times New Roman"/>
          <w:i/>
        </w:rPr>
        <w:t xml:space="preserve"> trust</w:t>
      </w:r>
      <w:r w:rsidRPr="006C0D54">
        <w:rPr>
          <w:rFonts w:ascii="Times New Roman" w:hAnsi="Times New Roman"/>
        </w:rPr>
        <w:t xml:space="preserve">. </w:t>
      </w:r>
      <w:proofErr w:type="spellStart"/>
      <w:r w:rsidRPr="006C0D54">
        <w:rPr>
          <w:rFonts w:ascii="Times New Roman" w:hAnsi="Times New Roman"/>
        </w:rPr>
        <w:t>European</w:t>
      </w:r>
      <w:proofErr w:type="spellEnd"/>
      <w:r w:rsidRPr="006C0D54">
        <w:rPr>
          <w:rFonts w:ascii="Times New Roman" w:hAnsi="Times New Roman"/>
        </w:rPr>
        <w:t xml:space="preserve"> </w:t>
      </w:r>
      <w:proofErr w:type="spellStart"/>
      <w:r w:rsidRPr="006C0D54">
        <w:rPr>
          <w:rFonts w:ascii="Times New Roman" w:hAnsi="Times New Roman"/>
        </w:rPr>
        <w:t>Master</w:t>
      </w:r>
      <w:proofErr w:type="spellEnd"/>
      <w:r w:rsidRPr="006C0D54">
        <w:rPr>
          <w:rFonts w:ascii="Times New Roman" w:hAnsi="Times New Roman"/>
        </w:rPr>
        <w:t xml:space="preserve"> </w:t>
      </w:r>
      <w:proofErr w:type="spellStart"/>
      <w:r w:rsidRPr="006C0D54">
        <w:rPr>
          <w:rFonts w:ascii="Times New Roman" w:hAnsi="Times New Roman"/>
        </w:rPr>
        <w:t>in</w:t>
      </w:r>
      <w:proofErr w:type="spellEnd"/>
      <w:r w:rsidRPr="006C0D54">
        <w:rPr>
          <w:rFonts w:ascii="Times New Roman" w:hAnsi="Times New Roman"/>
        </w:rPr>
        <w:t xml:space="preserve"> </w:t>
      </w:r>
      <w:proofErr w:type="spellStart"/>
      <w:r w:rsidRPr="006C0D54">
        <w:rPr>
          <w:rFonts w:ascii="Times New Roman" w:hAnsi="Times New Roman"/>
        </w:rPr>
        <w:t>Law</w:t>
      </w:r>
      <w:proofErr w:type="spellEnd"/>
      <w:r w:rsidRPr="006C0D54">
        <w:rPr>
          <w:rFonts w:ascii="Times New Roman" w:hAnsi="Times New Roman"/>
        </w:rPr>
        <w:t xml:space="preserve"> &amp; </w:t>
      </w:r>
      <w:proofErr w:type="spellStart"/>
      <w:r w:rsidRPr="006C0D54">
        <w:rPr>
          <w:rFonts w:ascii="Times New Roman" w:hAnsi="Times New Roman"/>
        </w:rPr>
        <w:t>Economics</w:t>
      </w:r>
      <w:proofErr w:type="spellEnd"/>
      <w:r w:rsidRPr="006C0D54">
        <w:rPr>
          <w:rFonts w:ascii="Times New Roman" w:hAnsi="Times New Roman"/>
        </w:rPr>
        <w:t xml:space="preserve"> </w:t>
      </w:r>
      <w:proofErr w:type="spellStart"/>
      <w:r w:rsidRPr="006C0D54">
        <w:rPr>
          <w:rFonts w:ascii="Times New Roman" w:hAnsi="Times New Roman"/>
        </w:rPr>
        <w:t>Thesis</w:t>
      </w:r>
      <w:proofErr w:type="spellEnd"/>
      <w:r w:rsidRPr="006C0D54">
        <w:rPr>
          <w:rFonts w:ascii="Times New Roman" w:hAnsi="Times New Roman"/>
        </w:rPr>
        <w:t xml:space="preserve">, </w:t>
      </w:r>
      <w:proofErr w:type="spellStart"/>
      <w:r w:rsidRPr="006C0D54">
        <w:rPr>
          <w:rFonts w:ascii="Times New Roman" w:hAnsi="Times New Roman"/>
        </w:rPr>
        <w:t>Ghent</w:t>
      </w:r>
      <w:proofErr w:type="spellEnd"/>
      <w:r w:rsidRPr="006C0D54">
        <w:rPr>
          <w:rFonts w:ascii="Times New Roman" w:hAnsi="Times New Roman"/>
        </w:rPr>
        <w:t>, Belgija</w:t>
      </w:r>
    </w:p>
    <w:p w:rsidR="000D33D0" w:rsidRDefault="000D33D0" w:rsidP="006C0D54">
      <w:pPr>
        <w:spacing w:afterLines="200" w:after="480" w:line="360" w:lineRule="auto"/>
        <w:ind w:left="992" w:hanging="992"/>
        <w:jc w:val="left"/>
        <w:rPr>
          <w:rFonts w:ascii="Times New Roman" w:hAnsi="Times New Roman"/>
        </w:rPr>
      </w:pPr>
      <w:proofErr w:type="spellStart"/>
      <w:r w:rsidRPr="000D33D0">
        <w:rPr>
          <w:rFonts w:ascii="Times New Roman" w:hAnsi="Times New Roman"/>
        </w:rPr>
        <w:t>Omar</w:t>
      </w:r>
      <w:proofErr w:type="spellEnd"/>
      <w:r>
        <w:rPr>
          <w:rFonts w:ascii="Times New Roman" w:hAnsi="Times New Roman"/>
        </w:rPr>
        <w:t>,</w:t>
      </w:r>
      <w:r w:rsidRPr="000D33D0">
        <w:rPr>
          <w:rFonts w:ascii="Times New Roman" w:hAnsi="Times New Roman"/>
        </w:rPr>
        <w:t xml:space="preserve"> P</w:t>
      </w:r>
      <w:r>
        <w:rPr>
          <w:rFonts w:ascii="Times New Roman" w:hAnsi="Times New Roman"/>
        </w:rPr>
        <w:t xml:space="preserve">. (2006). </w:t>
      </w:r>
      <w:proofErr w:type="spellStart"/>
      <w:r w:rsidRPr="000D33D0">
        <w:rPr>
          <w:rFonts w:ascii="Times New Roman" w:hAnsi="Times New Roman"/>
        </w:rPr>
        <w:t>Reforms</w:t>
      </w:r>
      <w:proofErr w:type="spellEnd"/>
      <w:r w:rsidRPr="000D33D0">
        <w:rPr>
          <w:rFonts w:ascii="Times New Roman" w:hAnsi="Times New Roman"/>
        </w:rPr>
        <w:t xml:space="preserve"> to </w:t>
      </w:r>
      <w:proofErr w:type="spellStart"/>
      <w:r w:rsidRPr="000D33D0">
        <w:rPr>
          <w:rFonts w:ascii="Times New Roman" w:hAnsi="Times New Roman"/>
        </w:rPr>
        <w:t>the</w:t>
      </w:r>
      <w:proofErr w:type="spellEnd"/>
      <w:r w:rsidRPr="000D33D0">
        <w:rPr>
          <w:rFonts w:ascii="Times New Roman" w:hAnsi="Times New Roman"/>
        </w:rPr>
        <w:t xml:space="preserve"> Framework </w:t>
      </w:r>
      <w:proofErr w:type="spellStart"/>
      <w:r w:rsidRPr="000D33D0">
        <w:rPr>
          <w:rFonts w:ascii="Times New Roman" w:hAnsi="Times New Roman"/>
        </w:rPr>
        <w:t>of</w:t>
      </w:r>
      <w:proofErr w:type="spellEnd"/>
      <w:r w:rsidRPr="000D33D0">
        <w:rPr>
          <w:rFonts w:ascii="Times New Roman" w:hAnsi="Times New Roman"/>
        </w:rPr>
        <w:t xml:space="preserve"> </w:t>
      </w:r>
      <w:proofErr w:type="spellStart"/>
      <w:r w:rsidRPr="000D33D0">
        <w:rPr>
          <w:rFonts w:ascii="Times New Roman" w:hAnsi="Times New Roman"/>
        </w:rPr>
        <w:t>Insolvency</w:t>
      </w:r>
      <w:proofErr w:type="spellEnd"/>
      <w:r w:rsidRPr="000D33D0">
        <w:rPr>
          <w:rFonts w:ascii="Times New Roman" w:hAnsi="Times New Roman"/>
        </w:rPr>
        <w:t xml:space="preserve"> </w:t>
      </w:r>
      <w:proofErr w:type="spellStart"/>
      <w:r w:rsidRPr="000D33D0">
        <w:rPr>
          <w:rFonts w:ascii="Times New Roman" w:hAnsi="Times New Roman"/>
        </w:rPr>
        <w:t>Law</w:t>
      </w:r>
      <w:proofErr w:type="spellEnd"/>
      <w:r w:rsidRPr="000D33D0">
        <w:rPr>
          <w:rFonts w:ascii="Times New Roman" w:hAnsi="Times New Roman"/>
        </w:rPr>
        <w:t xml:space="preserve"> </w:t>
      </w:r>
      <w:proofErr w:type="spellStart"/>
      <w:r w:rsidRPr="000D33D0">
        <w:rPr>
          <w:rFonts w:ascii="Times New Roman" w:hAnsi="Times New Roman"/>
        </w:rPr>
        <w:t>and</w:t>
      </w:r>
      <w:proofErr w:type="spellEnd"/>
      <w:r w:rsidRPr="000D33D0">
        <w:rPr>
          <w:rFonts w:ascii="Times New Roman" w:hAnsi="Times New Roman"/>
        </w:rPr>
        <w:t xml:space="preserve"> </w:t>
      </w:r>
      <w:proofErr w:type="spellStart"/>
      <w:r w:rsidRPr="000D33D0">
        <w:rPr>
          <w:rFonts w:ascii="Times New Roman" w:hAnsi="Times New Roman"/>
        </w:rPr>
        <w:t>Practice</w:t>
      </w:r>
      <w:proofErr w:type="spellEnd"/>
      <w:r w:rsidRPr="000D33D0">
        <w:rPr>
          <w:rFonts w:ascii="Times New Roman" w:hAnsi="Times New Roman"/>
        </w:rPr>
        <w:t xml:space="preserve"> </w:t>
      </w:r>
      <w:proofErr w:type="spellStart"/>
      <w:r w:rsidRPr="000D33D0">
        <w:rPr>
          <w:rFonts w:ascii="Times New Roman" w:hAnsi="Times New Roman"/>
        </w:rPr>
        <w:t>in</w:t>
      </w:r>
      <w:proofErr w:type="spellEnd"/>
      <w:r w:rsidRPr="000D33D0">
        <w:rPr>
          <w:rFonts w:ascii="Times New Roman" w:hAnsi="Times New Roman"/>
        </w:rPr>
        <w:t xml:space="preserve"> France: 1996-2006</w:t>
      </w:r>
      <w:r>
        <w:rPr>
          <w:rFonts w:ascii="Times New Roman" w:hAnsi="Times New Roman"/>
        </w:rPr>
        <w:t>. U</w:t>
      </w:r>
      <w:r w:rsidRPr="000D33D0">
        <w:rPr>
          <w:rFonts w:ascii="Times New Roman" w:hAnsi="Times New Roman"/>
        </w:rPr>
        <w:t xml:space="preserve"> </w:t>
      </w:r>
      <w:proofErr w:type="spellStart"/>
      <w:r w:rsidRPr="000D33D0">
        <w:rPr>
          <w:rFonts w:ascii="Times New Roman" w:hAnsi="Times New Roman"/>
        </w:rPr>
        <w:t>Broc</w:t>
      </w:r>
      <w:proofErr w:type="spellEnd"/>
      <w:r>
        <w:rPr>
          <w:rFonts w:ascii="Times New Roman" w:hAnsi="Times New Roman"/>
        </w:rPr>
        <w:t>,</w:t>
      </w:r>
      <w:r w:rsidRPr="000D33D0">
        <w:rPr>
          <w:rFonts w:ascii="Times New Roman" w:hAnsi="Times New Roman"/>
        </w:rPr>
        <w:t xml:space="preserve"> G</w:t>
      </w:r>
      <w:r>
        <w:rPr>
          <w:rFonts w:ascii="Times New Roman" w:hAnsi="Times New Roman"/>
        </w:rPr>
        <w:t xml:space="preserve">. i </w:t>
      </w:r>
      <w:proofErr w:type="spellStart"/>
      <w:r w:rsidRPr="000D33D0">
        <w:rPr>
          <w:rFonts w:ascii="Times New Roman" w:hAnsi="Times New Roman"/>
        </w:rPr>
        <w:t>Parry</w:t>
      </w:r>
      <w:proofErr w:type="spellEnd"/>
      <w:r>
        <w:rPr>
          <w:rFonts w:ascii="Times New Roman" w:hAnsi="Times New Roman"/>
        </w:rPr>
        <w:t>,</w:t>
      </w:r>
      <w:r w:rsidRPr="000D33D0">
        <w:rPr>
          <w:rFonts w:ascii="Times New Roman" w:hAnsi="Times New Roman"/>
        </w:rPr>
        <w:t xml:space="preserve"> R</w:t>
      </w:r>
      <w:r>
        <w:rPr>
          <w:rFonts w:ascii="Times New Roman" w:hAnsi="Times New Roman"/>
        </w:rPr>
        <w:t>.</w:t>
      </w:r>
      <w:r w:rsidRPr="000D33D0">
        <w:rPr>
          <w:rFonts w:ascii="Times New Roman" w:hAnsi="Times New Roman"/>
        </w:rPr>
        <w:t xml:space="preserve"> (</w:t>
      </w:r>
      <w:proofErr w:type="spellStart"/>
      <w:r>
        <w:rPr>
          <w:rFonts w:ascii="Times New Roman" w:hAnsi="Times New Roman"/>
        </w:rPr>
        <w:t>ur</w:t>
      </w:r>
      <w:proofErr w:type="spellEnd"/>
      <w:r>
        <w:rPr>
          <w:rFonts w:ascii="Times New Roman" w:hAnsi="Times New Roman"/>
        </w:rPr>
        <w:t>.</w:t>
      </w:r>
      <w:r w:rsidRPr="000D33D0">
        <w:rPr>
          <w:rFonts w:ascii="Times New Roman" w:hAnsi="Times New Roman"/>
        </w:rPr>
        <w:t xml:space="preserve">) </w:t>
      </w:r>
      <w:proofErr w:type="spellStart"/>
      <w:r w:rsidRPr="000D33D0">
        <w:rPr>
          <w:rFonts w:ascii="Times New Roman" w:hAnsi="Times New Roman"/>
          <w:i/>
        </w:rPr>
        <w:t>Corporate</w:t>
      </w:r>
      <w:proofErr w:type="spellEnd"/>
      <w:r w:rsidRPr="000D33D0">
        <w:rPr>
          <w:rFonts w:ascii="Times New Roman" w:hAnsi="Times New Roman"/>
          <w:i/>
        </w:rPr>
        <w:t xml:space="preserve"> </w:t>
      </w:r>
      <w:proofErr w:type="spellStart"/>
      <w:r w:rsidRPr="000D33D0">
        <w:rPr>
          <w:rFonts w:ascii="Times New Roman" w:hAnsi="Times New Roman"/>
          <w:i/>
        </w:rPr>
        <w:t>Rescue</w:t>
      </w:r>
      <w:proofErr w:type="spellEnd"/>
      <w:r w:rsidRPr="000D33D0">
        <w:rPr>
          <w:rFonts w:ascii="Times New Roman" w:hAnsi="Times New Roman"/>
          <w:i/>
        </w:rPr>
        <w:t xml:space="preserve">: </w:t>
      </w:r>
      <w:proofErr w:type="spellStart"/>
      <w:r w:rsidRPr="000D33D0">
        <w:rPr>
          <w:rFonts w:ascii="Times New Roman" w:hAnsi="Times New Roman"/>
          <w:i/>
        </w:rPr>
        <w:t>An</w:t>
      </w:r>
      <w:proofErr w:type="spellEnd"/>
      <w:r w:rsidRPr="000D33D0">
        <w:rPr>
          <w:rFonts w:ascii="Times New Roman" w:hAnsi="Times New Roman"/>
          <w:i/>
        </w:rPr>
        <w:t xml:space="preserve"> </w:t>
      </w:r>
      <w:proofErr w:type="spellStart"/>
      <w:r w:rsidRPr="000D33D0">
        <w:rPr>
          <w:rFonts w:ascii="Times New Roman" w:hAnsi="Times New Roman"/>
          <w:i/>
        </w:rPr>
        <w:t>Overview</w:t>
      </w:r>
      <w:proofErr w:type="spellEnd"/>
      <w:r w:rsidRPr="000D33D0">
        <w:rPr>
          <w:rFonts w:ascii="Times New Roman" w:hAnsi="Times New Roman"/>
          <w:i/>
        </w:rPr>
        <w:t xml:space="preserve"> </w:t>
      </w:r>
      <w:proofErr w:type="spellStart"/>
      <w:r w:rsidRPr="000D33D0">
        <w:rPr>
          <w:rFonts w:ascii="Times New Roman" w:hAnsi="Times New Roman"/>
          <w:i/>
        </w:rPr>
        <w:t>of</w:t>
      </w:r>
      <w:proofErr w:type="spellEnd"/>
      <w:r w:rsidRPr="000D33D0">
        <w:rPr>
          <w:rFonts w:ascii="Times New Roman" w:hAnsi="Times New Roman"/>
          <w:i/>
        </w:rPr>
        <w:t xml:space="preserve"> </w:t>
      </w:r>
      <w:proofErr w:type="spellStart"/>
      <w:r w:rsidRPr="000D33D0">
        <w:rPr>
          <w:rFonts w:ascii="Times New Roman" w:hAnsi="Times New Roman"/>
          <w:i/>
        </w:rPr>
        <w:t>Recent</w:t>
      </w:r>
      <w:proofErr w:type="spellEnd"/>
      <w:r w:rsidRPr="000D33D0">
        <w:rPr>
          <w:rFonts w:ascii="Times New Roman" w:hAnsi="Times New Roman"/>
          <w:i/>
        </w:rPr>
        <w:t xml:space="preserve"> </w:t>
      </w:r>
      <w:proofErr w:type="spellStart"/>
      <w:r w:rsidRPr="000D33D0">
        <w:rPr>
          <w:rFonts w:ascii="Times New Roman" w:hAnsi="Times New Roman"/>
          <w:i/>
        </w:rPr>
        <w:t>Developments</w:t>
      </w:r>
      <w:proofErr w:type="spellEnd"/>
      <w:r>
        <w:rPr>
          <w:rFonts w:ascii="Times New Roman" w:hAnsi="Times New Roman"/>
          <w:i/>
        </w:rPr>
        <w:t xml:space="preserve"> </w:t>
      </w:r>
      <w:r w:rsidRPr="000D33D0">
        <w:rPr>
          <w:rFonts w:ascii="Times New Roman" w:hAnsi="Times New Roman"/>
        </w:rPr>
        <w:t>(str. 111-150)</w:t>
      </w:r>
      <w:r>
        <w:rPr>
          <w:rFonts w:ascii="Times New Roman" w:hAnsi="Times New Roman"/>
        </w:rPr>
        <w:t xml:space="preserve">, </w:t>
      </w:r>
      <w:r w:rsidRPr="000D33D0">
        <w:rPr>
          <w:rFonts w:ascii="Times New Roman" w:hAnsi="Times New Roman"/>
        </w:rPr>
        <w:t xml:space="preserve"> 2nd</w:t>
      </w:r>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rPr>
        <w:t>Kluwer</w:t>
      </w:r>
      <w:proofErr w:type="spellEnd"/>
      <w:r>
        <w:rPr>
          <w:rFonts w:ascii="Times New Roman" w:hAnsi="Times New Roman"/>
        </w:rPr>
        <w:t xml:space="preserve"> </w:t>
      </w:r>
      <w:proofErr w:type="spellStart"/>
      <w:r>
        <w:rPr>
          <w:rFonts w:ascii="Times New Roman" w:hAnsi="Times New Roman"/>
        </w:rPr>
        <w:t>Deventer</w:t>
      </w:r>
      <w:proofErr w:type="spellEnd"/>
      <w:r>
        <w:rPr>
          <w:rFonts w:ascii="Times New Roman" w:hAnsi="Times New Roman"/>
        </w:rPr>
        <w:t xml:space="preserve">. Dostupno na </w:t>
      </w:r>
      <w:r w:rsidRPr="000D33D0">
        <w:rPr>
          <w:rFonts w:ascii="Times New Roman" w:hAnsi="Times New Roman"/>
        </w:rPr>
        <w:t>http://www.iiiglobal.org/component/jdownloads/viewdownload/668/6044.html</w:t>
      </w:r>
      <w:r>
        <w:rPr>
          <w:rFonts w:ascii="Times New Roman" w:hAnsi="Times New Roman"/>
        </w:rPr>
        <w:t xml:space="preserve"> </w:t>
      </w:r>
      <w:r w:rsidRPr="005A7A8E">
        <w:rPr>
          <w:rFonts w:ascii="Times New Roman" w:hAnsi="Times New Roman"/>
        </w:rPr>
        <w:t>(</w:t>
      </w:r>
      <w:proofErr w:type="spellStart"/>
      <w:r w:rsidRPr="005A7A8E">
        <w:rPr>
          <w:rFonts w:ascii="Times New Roman" w:hAnsi="Times New Roman"/>
        </w:rPr>
        <w:t>pristupljeno</w:t>
      </w:r>
      <w:proofErr w:type="spellEnd"/>
      <w:r w:rsidRPr="005A7A8E">
        <w:rPr>
          <w:rFonts w:ascii="Times New Roman" w:hAnsi="Times New Roman"/>
        </w:rPr>
        <w:t xml:space="preserve"> </w:t>
      </w:r>
      <w:r>
        <w:rPr>
          <w:rFonts w:ascii="Times New Roman" w:hAnsi="Times New Roman"/>
        </w:rPr>
        <w:t>1</w:t>
      </w:r>
      <w:r w:rsidRPr="005A7A8E">
        <w:rPr>
          <w:rFonts w:ascii="Times New Roman" w:hAnsi="Times New Roman"/>
        </w:rPr>
        <w:t>.</w:t>
      </w:r>
      <w:r>
        <w:rPr>
          <w:rFonts w:ascii="Times New Roman" w:hAnsi="Times New Roman"/>
        </w:rPr>
        <w:t>6</w:t>
      </w:r>
      <w:r w:rsidRPr="005A7A8E">
        <w:rPr>
          <w:rFonts w:ascii="Times New Roman" w:hAnsi="Times New Roman"/>
        </w:rPr>
        <w:t>.2014.)</w:t>
      </w:r>
    </w:p>
    <w:p w:rsidR="006C0D54" w:rsidRDefault="006C0D54" w:rsidP="006C0D54">
      <w:pPr>
        <w:spacing w:afterLines="200" w:after="480" w:line="360" w:lineRule="auto"/>
        <w:ind w:left="992" w:hanging="992"/>
        <w:jc w:val="left"/>
        <w:rPr>
          <w:rFonts w:ascii="Times New Roman" w:eastAsia="Times New Roman" w:hAnsi="Times New Roman"/>
          <w:lang w:eastAsia="hr-HR"/>
        </w:rPr>
      </w:pPr>
      <w:proofErr w:type="spellStart"/>
      <w:r w:rsidRPr="006C0D54">
        <w:rPr>
          <w:rFonts w:ascii="Times New Roman" w:hAnsi="Times New Roman"/>
        </w:rPr>
        <w:t>Pontell</w:t>
      </w:r>
      <w:proofErr w:type="spellEnd"/>
      <w:r w:rsidRPr="006C0D54">
        <w:rPr>
          <w:rFonts w:ascii="Times New Roman" w:hAnsi="Times New Roman"/>
        </w:rPr>
        <w:t>, H. N. (2</w:t>
      </w:r>
      <w:r w:rsidRPr="006C0D54">
        <w:rPr>
          <w:rFonts w:ascii="Times New Roman" w:eastAsia="Times New Roman" w:hAnsi="Times New Roman"/>
          <w:lang w:eastAsia="hr-HR"/>
        </w:rPr>
        <w:t>005). White-</w:t>
      </w:r>
      <w:proofErr w:type="spellStart"/>
      <w:r w:rsidRPr="006C0D54">
        <w:rPr>
          <w:rFonts w:ascii="Times New Roman" w:eastAsia="Times New Roman" w:hAnsi="Times New Roman"/>
          <w:lang w:eastAsia="hr-HR"/>
        </w:rPr>
        <w:t>collar</w:t>
      </w:r>
      <w:proofErr w:type="spellEnd"/>
      <w:r w:rsidRPr="006C0D54">
        <w:rPr>
          <w:rFonts w:ascii="Times New Roman" w:eastAsia="Times New Roman" w:hAnsi="Times New Roman"/>
          <w:lang w:eastAsia="hr-HR"/>
        </w:rPr>
        <w:t xml:space="preserve"> </w:t>
      </w:r>
      <w:proofErr w:type="spellStart"/>
      <w:r w:rsidRPr="006C0D54">
        <w:rPr>
          <w:rFonts w:ascii="Times New Roman" w:eastAsia="Times New Roman" w:hAnsi="Times New Roman"/>
          <w:lang w:eastAsia="hr-HR"/>
        </w:rPr>
        <w:t>crime</w:t>
      </w:r>
      <w:proofErr w:type="spellEnd"/>
      <w:r w:rsidRPr="006C0D54">
        <w:rPr>
          <w:rFonts w:ascii="Times New Roman" w:eastAsia="Times New Roman" w:hAnsi="Times New Roman"/>
          <w:lang w:eastAsia="hr-HR"/>
        </w:rPr>
        <w:t xml:space="preserve"> or </w:t>
      </w:r>
      <w:proofErr w:type="spellStart"/>
      <w:r w:rsidRPr="006C0D54">
        <w:rPr>
          <w:rFonts w:ascii="Times New Roman" w:eastAsia="Times New Roman" w:hAnsi="Times New Roman"/>
          <w:lang w:eastAsia="hr-HR"/>
        </w:rPr>
        <w:t>just</w:t>
      </w:r>
      <w:proofErr w:type="spellEnd"/>
      <w:r w:rsidRPr="006C0D54">
        <w:rPr>
          <w:rFonts w:ascii="Times New Roman" w:eastAsia="Times New Roman" w:hAnsi="Times New Roman"/>
          <w:lang w:eastAsia="hr-HR"/>
        </w:rPr>
        <w:t xml:space="preserve"> </w:t>
      </w:r>
      <w:proofErr w:type="spellStart"/>
      <w:r w:rsidRPr="006C0D54">
        <w:rPr>
          <w:rFonts w:ascii="Times New Roman" w:eastAsia="Times New Roman" w:hAnsi="Times New Roman"/>
          <w:lang w:eastAsia="hr-HR"/>
        </w:rPr>
        <w:t>risky</w:t>
      </w:r>
      <w:proofErr w:type="spellEnd"/>
      <w:r w:rsidRPr="006C0D54">
        <w:rPr>
          <w:rFonts w:ascii="Times New Roman" w:eastAsia="Times New Roman" w:hAnsi="Times New Roman"/>
          <w:lang w:eastAsia="hr-HR"/>
        </w:rPr>
        <w:t xml:space="preserve"> </w:t>
      </w:r>
      <w:proofErr w:type="spellStart"/>
      <w:r w:rsidRPr="006C0D54">
        <w:rPr>
          <w:rFonts w:ascii="Times New Roman" w:eastAsia="Times New Roman" w:hAnsi="Times New Roman"/>
          <w:lang w:eastAsia="hr-HR"/>
        </w:rPr>
        <w:t>business</w:t>
      </w:r>
      <w:proofErr w:type="spellEnd"/>
      <w:r w:rsidRPr="006C0D54">
        <w:rPr>
          <w:rFonts w:ascii="Times New Roman" w:eastAsia="Times New Roman" w:hAnsi="Times New Roman"/>
          <w:lang w:eastAsia="hr-HR"/>
        </w:rPr>
        <w:t xml:space="preserve">? </w:t>
      </w:r>
      <w:proofErr w:type="spellStart"/>
      <w:r w:rsidRPr="006C0D54">
        <w:rPr>
          <w:rFonts w:ascii="Times New Roman" w:eastAsia="Times New Roman" w:hAnsi="Times New Roman"/>
          <w:lang w:eastAsia="hr-HR"/>
        </w:rPr>
        <w:t>The</w:t>
      </w:r>
      <w:proofErr w:type="spellEnd"/>
      <w:r w:rsidRPr="006C0D54">
        <w:rPr>
          <w:rFonts w:ascii="Times New Roman" w:eastAsia="Times New Roman" w:hAnsi="Times New Roman"/>
          <w:lang w:eastAsia="hr-HR"/>
        </w:rPr>
        <w:t xml:space="preserve"> role </w:t>
      </w:r>
      <w:proofErr w:type="spellStart"/>
      <w:r w:rsidRPr="006C0D54">
        <w:rPr>
          <w:rFonts w:ascii="Times New Roman" w:eastAsia="Times New Roman" w:hAnsi="Times New Roman"/>
          <w:lang w:eastAsia="hr-HR"/>
        </w:rPr>
        <w:t>of</w:t>
      </w:r>
      <w:proofErr w:type="spellEnd"/>
      <w:r w:rsidRPr="006C0D54">
        <w:rPr>
          <w:rFonts w:ascii="Times New Roman" w:eastAsia="Times New Roman" w:hAnsi="Times New Roman"/>
          <w:lang w:eastAsia="hr-HR"/>
        </w:rPr>
        <w:t xml:space="preserve"> </w:t>
      </w:r>
      <w:proofErr w:type="spellStart"/>
      <w:r w:rsidRPr="006C0D54">
        <w:rPr>
          <w:rFonts w:ascii="Times New Roman" w:eastAsia="Times New Roman" w:hAnsi="Times New Roman"/>
          <w:lang w:eastAsia="hr-HR"/>
        </w:rPr>
        <w:t>fraud</w:t>
      </w:r>
      <w:proofErr w:type="spellEnd"/>
      <w:r w:rsidRPr="006C0D54">
        <w:rPr>
          <w:rFonts w:ascii="Times New Roman" w:eastAsia="Times New Roman" w:hAnsi="Times New Roman"/>
          <w:lang w:eastAsia="hr-HR"/>
        </w:rPr>
        <w:t xml:space="preserve"> </w:t>
      </w:r>
      <w:proofErr w:type="spellStart"/>
      <w:r w:rsidRPr="006C0D54">
        <w:rPr>
          <w:rFonts w:ascii="Times New Roman" w:eastAsia="Times New Roman" w:hAnsi="Times New Roman"/>
          <w:lang w:eastAsia="hr-HR"/>
        </w:rPr>
        <w:t>in</w:t>
      </w:r>
      <w:proofErr w:type="spellEnd"/>
      <w:r w:rsidRPr="006C0D54">
        <w:rPr>
          <w:rFonts w:ascii="Times New Roman" w:eastAsia="Times New Roman" w:hAnsi="Times New Roman"/>
          <w:lang w:eastAsia="hr-HR"/>
        </w:rPr>
        <w:t xml:space="preserve"> major </w:t>
      </w:r>
      <w:proofErr w:type="spellStart"/>
      <w:r w:rsidRPr="006C0D54">
        <w:rPr>
          <w:rFonts w:ascii="Times New Roman" w:eastAsia="Times New Roman" w:hAnsi="Times New Roman"/>
          <w:lang w:eastAsia="hr-HR"/>
        </w:rPr>
        <w:t>financial</w:t>
      </w:r>
      <w:proofErr w:type="spellEnd"/>
      <w:r w:rsidRPr="006C0D54">
        <w:rPr>
          <w:rFonts w:ascii="Times New Roman" w:eastAsia="Times New Roman" w:hAnsi="Times New Roman"/>
          <w:lang w:eastAsia="hr-HR"/>
        </w:rPr>
        <w:t xml:space="preserve"> </w:t>
      </w:r>
      <w:proofErr w:type="spellStart"/>
      <w:r w:rsidRPr="006C0D54">
        <w:rPr>
          <w:rFonts w:ascii="Times New Roman" w:eastAsia="Times New Roman" w:hAnsi="Times New Roman"/>
          <w:lang w:eastAsia="hr-HR"/>
        </w:rPr>
        <w:t>debacles</w:t>
      </w:r>
      <w:proofErr w:type="spellEnd"/>
      <w:r w:rsidRPr="006C0D54">
        <w:rPr>
          <w:rFonts w:ascii="Times New Roman" w:eastAsia="Times New Roman" w:hAnsi="Times New Roman"/>
          <w:lang w:eastAsia="hr-HR"/>
        </w:rPr>
        <w:t xml:space="preserve">. </w:t>
      </w:r>
      <w:proofErr w:type="spellStart"/>
      <w:r w:rsidRPr="006C0D54">
        <w:rPr>
          <w:rFonts w:ascii="Times New Roman" w:eastAsia="Times New Roman" w:hAnsi="Times New Roman"/>
          <w:i/>
          <w:iCs/>
          <w:lang w:eastAsia="hr-HR"/>
        </w:rPr>
        <w:t>Crime</w:t>
      </w:r>
      <w:proofErr w:type="spellEnd"/>
      <w:r w:rsidRPr="006C0D54">
        <w:rPr>
          <w:rFonts w:ascii="Times New Roman" w:eastAsia="Times New Roman" w:hAnsi="Times New Roman"/>
          <w:i/>
          <w:iCs/>
          <w:lang w:eastAsia="hr-HR"/>
        </w:rPr>
        <w:t xml:space="preserve">, </w:t>
      </w:r>
      <w:proofErr w:type="spellStart"/>
      <w:r w:rsidRPr="006C0D54">
        <w:rPr>
          <w:rFonts w:ascii="Times New Roman" w:eastAsia="Times New Roman" w:hAnsi="Times New Roman"/>
          <w:i/>
          <w:iCs/>
          <w:lang w:eastAsia="hr-HR"/>
        </w:rPr>
        <w:t>law</w:t>
      </w:r>
      <w:proofErr w:type="spellEnd"/>
      <w:r w:rsidRPr="006C0D54">
        <w:rPr>
          <w:rFonts w:ascii="Times New Roman" w:eastAsia="Times New Roman" w:hAnsi="Times New Roman"/>
          <w:i/>
          <w:iCs/>
          <w:lang w:eastAsia="hr-HR"/>
        </w:rPr>
        <w:t xml:space="preserve"> </w:t>
      </w:r>
      <w:proofErr w:type="spellStart"/>
      <w:r w:rsidRPr="006C0D54">
        <w:rPr>
          <w:rFonts w:ascii="Times New Roman" w:eastAsia="Times New Roman" w:hAnsi="Times New Roman"/>
          <w:i/>
          <w:iCs/>
          <w:lang w:eastAsia="hr-HR"/>
        </w:rPr>
        <w:t>and</w:t>
      </w:r>
      <w:proofErr w:type="spellEnd"/>
      <w:r w:rsidRPr="006C0D54">
        <w:rPr>
          <w:rFonts w:ascii="Times New Roman" w:eastAsia="Times New Roman" w:hAnsi="Times New Roman"/>
          <w:i/>
          <w:iCs/>
          <w:lang w:eastAsia="hr-HR"/>
        </w:rPr>
        <w:t xml:space="preserve"> </w:t>
      </w:r>
      <w:proofErr w:type="spellStart"/>
      <w:r w:rsidRPr="006C0D54">
        <w:rPr>
          <w:rFonts w:ascii="Times New Roman" w:eastAsia="Times New Roman" w:hAnsi="Times New Roman"/>
          <w:i/>
          <w:iCs/>
          <w:lang w:eastAsia="hr-HR"/>
        </w:rPr>
        <w:t>social</w:t>
      </w:r>
      <w:proofErr w:type="spellEnd"/>
      <w:r w:rsidRPr="006C0D54">
        <w:rPr>
          <w:rFonts w:ascii="Times New Roman" w:eastAsia="Times New Roman" w:hAnsi="Times New Roman"/>
          <w:i/>
          <w:iCs/>
          <w:lang w:eastAsia="hr-HR"/>
        </w:rPr>
        <w:t xml:space="preserve"> change</w:t>
      </w:r>
      <w:r w:rsidRPr="006C0D54">
        <w:rPr>
          <w:rFonts w:ascii="Times New Roman" w:eastAsia="Times New Roman" w:hAnsi="Times New Roman"/>
          <w:lang w:eastAsia="hr-HR"/>
        </w:rPr>
        <w:t xml:space="preserve">, </w:t>
      </w:r>
      <w:r w:rsidRPr="006C0D54">
        <w:rPr>
          <w:rFonts w:ascii="Times New Roman" w:eastAsia="Times New Roman" w:hAnsi="Times New Roman"/>
          <w:iCs/>
          <w:lang w:eastAsia="hr-HR"/>
        </w:rPr>
        <w:t xml:space="preserve">42 </w:t>
      </w:r>
      <w:r w:rsidRPr="006C0D54">
        <w:rPr>
          <w:rFonts w:ascii="Times New Roman" w:eastAsia="Times New Roman" w:hAnsi="Times New Roman"/>
          <w:lang w:eastAsia="hr-HR"/>
        </w:rPr>
        <w:t>(4-5), 309-324</w:t>
      </w:r>
    </w:p>
    <w:p w:rsidR="005A7A8E" w:rsidRPr="006C0D54" w:rsidRDefault="005A7A8E" w:rsidP="006C0D54">
      <w:pPr>
        <w:spacing w:afterLines="200" w:after="480" w:line="360" w:lineRule="auto"/>
        <w:ind w:left="992" w:hanging="992"/>
        <w:jc w:val="left"/>
        <w:rPr>
          <w:rFonts w:ascii="Times New Roman" w:hAnsi="Times New Roman"/>
        </w:rPr>
      </w:pPr>
      <w:proofErr w:type="spellStart"/>
      <w:r w:rsidRPr="006C0D54">
        <w:rPr>
          <w:rFonts w:ascii="Times New Roman" w:hAnsi="Times New Roman"/>
        </w:rPr>
        <w:t>Rajak</w:t>
      </w:r>
      <w:proofErr w:type="spellEnd"/>
      <w:r w:rsidRPr="006C0D54">
        <w:rPr>
          <w:rFonts w:ascii="Times New Roman" w:hAnsi="Times New Roman"/>
        </w:rPr>
        <w:t xml:space="preserve">, H. (2008). </w:t>
      </w:r>
      <w:proofErr w:type="spellStart"/>
      <w:r w:rsidRPr="006C0D54">
        <w:rPr>
          <w:rFonts w:ascii="Times New Roman" w:hAnsi="Times New Roman"/>
        </w:rPr>
        <w:t>The</w:t>
      </w:r>
      <w:proofErr w:type="spellEnd"/>
      <w:r w:rsidRPr="006C0D54">
        <w:rPr>
          <w:rFonts w:ascii="Times New Roman" w:hAnsi="Times New Roman"/>
        </w:rPr>
        <w:t xml:space="preserve"> </w:t>
      </w:r>
      <w:proofErr w:type="spellStart"/>
      <w:r w:rsidRPr="006C0D54">
        <w:rPr>
          <w:rFonts w:ascii="Times New Roman" w:hAnsi="Times New Roman"/>
        </w:rPr>
        <w:t>Culture</w:t>
      </w:r>
      <w:proofErr w:type="spellEnd"/>
      <w:r w:rsidRPr="006C0D54">
        <w:rPr>
          <w:rFonts w:ascii="Times New Roman" w:hAnsi="Times New Roman"/>
        </w:rPr>
        <w:t xml:space="preserve"> </w:t>
      </w:r>
      <w:proofErr w:type="spellStart"/>
      <w:r w:rsidRPr="006C0D54">
        <w:rPr>
          <w:rFonts w:ascii="Times New Roman" w:hAnsi="Times New Roman"/>
        </w:rPr>
        <w:t>of</w:t>
      </w:r>
      <w:proofErr w:type="spellEnd"/>
      <w:r w:rsidRPr="006C0D54">
        <w:rPr>
          <w:rFonts w:ascii="Times New Roman" w:hAnsi="Times New Roman"/>
        </w:rPr>
        <w:t xml:space="preserve"> </w:t>
      </w:r>
      <w:proofErr w:type="spellStart"/>
      <w:r w:rsidRPr="006C0D54">
        <w:rPr>
          <w:rFonts w:ascii="Times New Roman" w:hAnsi="Times New Roman"/>
        </w:rPr>
        <w:t>Bankruptcy</w:t>
      </w:r>
      <w:proofErr w:type="spellEnd"/>
      <w:r w:rsidRPr="006C0D54">
        <w:rPr>
          <w:rFonts w:ascii="Times New Roman" w:hAnsi="Times New Roman"/>
        </w:rPr>
        <w:t xml:space="preserve">. U P. </w:t>
      </w:r>
      <w:proofErr w:type="spellStart"/>
      <w:r w:rsidRPr="006C0D54">
        <w:rPr>
          <w:rFonts w:ascii="Times New Roman" w:hAnsi="Times New Roman"/>
        </w:rPr>
        <w:t>Omar</w:t>
      </w:r>
      <w:proofErr w:type="spellEnd"/>
      <w:r w:rsidRPr="006C0D54">
        <w:rPr>
          <w:rFonts w:ascii="Times New Roman" w:hAnsi="Times New Roman"/>
        </w:rPr>
        <w:t xml:space="preserve"> (</w:t>
      </w:r>
      <w:proofErr w:type="spellStart"/>
      <w:r w:rsidR="000D33D0">
        <w:rPr>
          <w:rFonts w:ascii="Times New Roman" w:hAnsi="Times New Roman"/>
        </w:rPr>
        <w:t>u</w:t>
      </w:r>
      <w:r w:rsidRPr="006C0D54">
        <w:rPr>
          <w:rFonts w:ascii="Times New Roman" w:hAnsi="Times New Roman"/>
        </w:rPr>
        <w:t>r</w:t>
      </w:r>
      <w:proofErr w:type="spellEnd"/>
      <w:r w:rsidRPr="006C0D54">
        <w:rPr>
          <w:rFonts w:ascii="Times New Roman" w:hAnsi="Times New Roman"/>
        </w:rPr>
        <w:t xml:space="preserve">.), </w:t>
      </w:r>
      <w:proofErr w:type="spellStart"/>
      <w:r w:rsidRPr="006C0D54">
        <w:rPr>
          <w:rFonts w:ascii="Times New Roman" w:hAnsi="Times New Roman"/>
          <w:i/>
        </w:rPr>
        <w:t>International</w:t>
      </w:r>
      <w:proofErr w:type="spellEnd"/>
      <w:r w:rsidRPr="006C0D54">
        <w:rPr>
          <w:rFonts w:ascii="Times New Roman" w:hAnsi="Times New Roman"/>
          <w:i/>
        </w:rPr>
        <w:t xml:space="preserve"> </w:t>
      </w:r>
      <w:proofErr w:type="spellStart"/>
      <w:r w:rsidRPr="006C0D54">
        <w:rPr>
          <w:rFonts w:ascii="Times New Roman" w:hAnsi="Times New Roman"/>
          <w:i/>
        </w:rPr>
        <w:t>Insolvency</w:t>
      </w:r>
      <w:proofErr w:type="spellEnd"/>
      <w:r w:rsidRPr="006C0D54">
        <w:rPr>
          <w:rFonts w:ascii="Times New Roman" w:hAnsi="Times New Roman"/>
          <w:i/>
        </w:rPr>
        <w:t xml:space="preserve"> </w:t>
      </w:r>
      <w:proofErr w:type="spellStart"/>
      <w:r w:rsidRPr="006C0D54">
        <w:rPr>
          <w:rFonts w:ascii="Times New Roman" w:hAnsi="Times New Roman"/>
          <w:i/>
        </w:rPr>
        <w:t>Law</w:t>
      </w:r>
      <w:proofErr w:type="spellEnd"/>
      <w:r w:rsidRPr="006C0D54">
        <w:rPr>
          <w:rFonts w:ascii="Times New Roman" w:hAnsi="Times New Roman"/>
        </w:rPr>
        <w:t>, (str. 3-25)</w:t>
      </w:r>
      <w:r w:rsidR="000D33D0">
        <w:rPr>
          <w:rFonts w:ascii="Times New Roman" w:hAnsi="Times New Roman"/>
        </w:rPr>
        <w:t>,</w:t>
      </w:r>
      <w:r w:rsidRPr="006C0D54">
        <w:rPr>
          <w:rFonts w:ascii="Times New Roman" w:hAnsi="Times New Roman"/>
        </w:rPr>
        <w:t xml:space="preserve"> </w:t>
      </w:r>
      <w:proofErr w:type="spellStart"/>
      <w:r w:rsidRPr="006C0D54">
        <w:rPr>
          <w:rFonts w:ascii="Times New Roman" w:hAnsi="Times New Roman"/>
        </w:rPr>
        <w:t>Ashgate</w:t>
      </w:r>
      <w:proofErr w:type="spellEnd"/>
      <w:r w:rsidRPr="006C0D54">
        <w:rPr>
          <w:rFonts w:ascii="Times New Roman" w:hAnsi="Times New Roman"/>
        </w:rPr>
        <w:t xml:space="preserve"> </w:t>
      </w:r>
      <w:proofErr w:type="spellStart"/>
      <w:r w:rsidRPr="006C0D54">
        <w:rPr>
          <w:rFonts w:ascii="Times New Roman" w:hAnsi="Times New Roman"/>
        </w:rPr>
        <w:t>Publishing</w:t>
      </w:r>
      <w:proofErr w:type="spellEnd"/>
      <w:r w:rsidRPr="006C0D54">
        <w:rPr>
          <w:rFonts w:ascii="Times New Roman" w:hAnsi="Times New Roman"/>
        </w:rPr>
        <w:t xml:space="preserve"> </w:t>
      </w:r>
      <w:proofErr w:type="spellStart"/>
      <w:r w:rsidRPr="006C0D54">
        <w:rPr>
          <w:rFonts w:ascii="Times New Roman" w:hAnsi="Times New Roman"/>
        </w:rPr>
        <w:t>Ltd</w:t>
      </w:r>
      <w:proofErr w:type="spellEnd"/>
      <w:r w:rsidRPr="006C0D54">
        <w:rPr>
          <w:rFonts w:ascii="Times New Roman" w:hAnsi="Times New Roman"/>
        </w:rPr>
        <w:t xml:space="preserve">. </w:t>
      </w:r>
    </w:p>
    <w:p w:rsidR="005A7A8E" w:rsidRPr="005A7A8E" w:rsidRDefault="005A7A8E" w:rsidP="006C0D54">
      <w:pPr>
        <w:spacing w:afterLines="200" w:after="480" w:line="360" w:lineRule="auto"/>
        <w:ind w:left="992" w:hanging="992"/>
        <w:jc w:val="left"/>
        <w:rPr>
          <w:rFonts w:ascii="Times New Roman" w:hAnsi="Times New Roman"/>
        </w:rPr>
      </w:pPr>
      <w:proofErr w:type="spellStart"/>
      <w:r w:rsidRPr="005A7A8E">
        <w:rPr>
          <w:rFonts w:ascii="Times New Roman" w:hAnsi="Times New Roman"/>
        </w:rPr>
        <w:t>Roose</w:t>
      </w:r>
      <w:proofErr w:type="spellEnd"/>
      <w:r w:rsidRPr="005A7A8E">
        <w:rPr>
          <w:rFonts w:ascii="Times New Roman" w:hAnsi="Times New Roman"/>
        </w:rPr>
        <w:t xml:space="preserve">, K. (2014). </w:t>
      </w:r>
      <w:proofErr w:type="spellStart"/>
      <w:r w:rsidRPr="005A7A8E">
        <w:rPr>
          <w:rFonts w:ascii="Times New Roman" w:hAnsi="Times New Roman"/>
        </w:rPr>
        <w:t>The</w:t>
      </w:r>
      <w:proofErr w:type="spellEnd"/>
      <w:r w:rsidRPr="005A7A8E">
        <w:rPr>
          <w:rFonts w:ascii="Times New Roman" w:hAnsi="Times New Roman"/>
        </w:rPr>
        <w:t xml:space="preserve"> </w:t>
      </w:r>
      <w:proofErr w:type="spellStart"/>
      <w:r w:rsidRPr="005A7A8E">
        <w:rPr>
          <w:rFonts w:ascii="Times New Roman" w:hAnsi="Times New Roman"/>
        </w:rPr>
        <w:t>Failure</w:t>
      </w:r>
      <w:proofErr w:type="spellEnd"/>
      <w:r w:rsidRPr="005A7A8E">
        <w:rPr>
          <w:rFonts w:ascii="Times New Roman" w:hAnsi="Times New Roman"/>
        </w:rPr>
        <w:t xml:space="preserve"> </w:t>
      </w:r>
      <w:proofErr w:type="spellStart"/>
      <w:r w:rsidRPr="005A7A8E">
        <w:rPr>
          <w:rFonts w:ascii="Times New Roman" w:hAnsi="Times New Roman"/>
        </w:rPr>
        <w:t>Fetish</w:t>
      </w:r>
      <w:proofErr w:type="spellEnd"/>
      <w:r w:rsidRPr="005A7A8E">
        <w:rPr>
          <w:rFonts w:ascii="Times New Roman" w:hAnsi="Times New Roman"/>
        </w:rPr>
        <w:t xml:space="preserve"> </w:t>
      </w:r>
      <w:proofErr w:type="spellStart"/>
      <w:r w:rsidRPr="005A7A8E">
        <w:rPr>
          <w:rFonts w:ascii="Times New Roman" w:hAnsi="Times New Roman"/>
        </w:rPr>
        <w:t>in</w:t>
      </w:r>
      <w:proofErr w:type="spellEnd"/>
      <w:r w:rsidRPr="005A7A8E">
        <w:rPr>
          <w:rFonts w:ascii="Times New Roman" w:hAnsi="Times New Roman"/>
        </w:rPr>
        <w:t xml:space="preserve"> </w:t>
      </w:r>
      <w:proofErr w:type="spellStart"/>
      <w:r w:rsidRPr="005A7A8E">
        <w:rPr>
          <w:rFonts w:ascii="Times New Roman" w:hAnsi="Times New Roman"/>
        </w:rPr>
        <w:t>Silicon</w:t>
      </w:r>
      <w:proofErr w:type="spellEnd"/>
      <w:r w:rsidRPr="005A7A8E">
        <w:rPr>
          <w:rFonts w:ascii="Times New Roman" w:hAnsi="Times New Roman"/>
        </w:rPr>
        <w:t xml:space="preserve"> </w:t>
      </w:r>
      <w:proofErr w:type="spellStart"/>
      <w:r w:rsidRPr="005A7A8E">
        <w:rPr>
          <w:rFonts w:ascii="Times New Roman" w:hAnsi="Times New Roman"/>
        </w:rPr>
        <w:t>Valley</w:t>
      </w:r>
      <w:proofErr w:type="spellEnd"/>
      <w:r w:rsidRPr="005A7A8E">
        <w:rPr>
          <w:rFonts w:ascii="Times New Roman" w:hAnsi="Times New Roman"/>
        </w:rPr>
        <w:t xml:space="preserve">. </w:t>
      </w:r>
      <w:r w:rsidRPr="005A7A8E">
        <w:rPr>
          <w:rFonts w:ascii="Times New Roman" w:hAnsi="Times New Roman"/>
          <w:i/>
        </w:rPr>
        <w:t>New York Magazine</w:t>
      </w:r>
      <w:r w:rsidRPr="005A7A8E">
        <w:rPr>
          <w:rFonts w:ascii="Times New Roman" w:hAnsi="Times New Roman"/>
        </w:rPr>
        <w:t>. http://nymag.com/daily/intelligencer/2014/03/silicon-valley-failure-fetish.html (pristupljeno 26.3.2014.)</w:t>
      </w:r>
    </w:p>
    <w:p w:rsidR="005A7A8E" w:rsidRDefault="005A7A8E" w:rsidP="00E377E6">
      <w:pPr>
        <w:spacing w:line="480" w:lineRule="auto"/>
        <w:ind w:left="993" w:hanging="993"/>
        <w:jc w:val="left"/>
        <w:rPr>
          <w:rFonts w:ascii="Times New Roman" w:hAnsi="Times New Roman"/>
        </w:rPr>
      </w:pPr>
      <w:r w:rsidRPr="005A7A8E">
        <w:rPr>
          <w:rFonts w:ascii="Times New Roman" w:hAnsi="Times New Roman"/>
        </w:rPr>
        <w:t>Sajter, D. (2008</w:t>
      </w:r>
      <w:r w:rsidRPr="009B281F">
        <w:rPr>
          <w:rFonts w:ascii="Times New Roman" w:hAnsi="Times New Roman"/>
        </w:rPr>
        <w:t>).</w:t>
      </w:r>
      <w:r w:rsidRPr="005A7A8E">
        <w:rPr>
          <w:rFonts w:ascii="Times New Roman" w:hAnsi="Times New Roman"/>
          <w:i/>
        </w:rPr>
        <w:t xml:space="preserve"> Ekonomski aspekti stečaja i restrukturiranja u stečaju</w:t>
      </w:r>
      <w:r w:rsidRPr="005A7A8E">
        <w:rPr>
          <w:rFonts w:ascii="Times New Roman" w:hAnsi="Times New Roman"/>
        </w:rPr>
        <w:t>. Doktorska disertacija, Ekonomski fakultet u Osijeku.</w:t>
      </w:r>
    </w:p>
    <w:p w:rsidR="009B281F" w:rsidRPr="005A7A8E" w:rsidRDefault="009B281F" w:rsidP="009B281F">
      <w:pPr>
        <w:spacing w:line="480" w:lineRule="auto"/>
        <w:ind w:left="993" w:hanging="993"/>
        <w:jc w:val="left"/>
        <w:rPr>
          <w:rFonts w:ascii="Times New Roman" w:hAnsi="Times New Roman"/>
        </w:rPr>
      </w:pPr>
      <w:proofErr w:type="spellStart"/>
      <w:r w:rsidRPr="009B281F">
        <w:rPr>
          <w:rFonts w:ascii="Times New Roman" w:hAnsi="Times New Roman"/>
        </w:rPr>
        <w:t>Selvatici</w:t>
      </w:r>
      <w:proofErr w:type="spellEnd"/>
      <w:r w:rsidRPr="009B281F">
        <w:rPr>
          <w:rFonts w:ascii="Times New Roman" w:hAnsi="Times New Roman"/>
        </w:rPr>
        <w:t xml:space="preserve">, F. </w:t>
      </w:r>
      <w:r>
        <w:rPr>
          <w:rFonts w:ascii="Times New Roman" w:hAnsi="Times New Roman"/>
        </w:rPr>
        <w:t>(</w:t>
      </w:r>
      <w:r w:rsidRPr="009B281F">
        <w:rPr>
          <w:rFonts w:ascii="Times New Roman" w:hAnsi="Times New Roman"/>
        </w:rPr>
        <w:t>2004</w:t>
      </w:r>
      <w:r>
        <w:rPr>
          <w:rFonts w:ascii="Times New Roman" w:hAnsi="Times New Roman"/>
        </w:rPr>
        <w:t>)</w:t>
      </w:r>
      <w:r w:rsidRPr="009B281F">
        <w:rPr>
          <w:rFonts w:ascii="Times New Roman" w:hAnsi="Times New Roman"/>
        </w:rPr>
        <w:t xml:space="preserve">. </w:t>
      </w:r>
      <w:proofErr w:type="spellStart"/>
      <w:r w:rsidRPr="009B281F">
        <w:rPr>
          <w:rFonts w:ascii="Times New Roman" w:hAnsi="Times New Roman"/>
        </w:rPr>
        <w:t>Fallimenti</w:t>
      </w:r>
      <w:proofErr w:type="spellEnd"/>
      <w:r w:rsidRPr="009B281F">
        <w:rPr>
          <w:rFonts w:ascii="Times New Roman" w:hAnsi="Times New Roman"/>
        </w:rPr>
        <w:t xml:space="preserve"> </w:t>
      </w:r>
      <w:proofErr w:type="spellStart"/>
      <w:r w:rsidRPr="009B281F">
        <w:rPr>
          <w:rFonts w:ascii="Times New Roman" w:hAnsi="Times New Roman"/>
        </w:rPr>
        <w:t>pilotati</w:t>
      </w:r>
      <w:proofErr w:type="spellEnd"/>
      <w:r w:rsidRPr="009B281F">
        <w:rPr>
          <w:rFonts w:ascii="Times New Roman" w:hAnsi="Times New Roman"/>
        </w:rPr>
        <w:t xml:space="preserve">, </w:t>
      </w:r>
      <w:proofErr w:type="spellStart"/>
      <w:r w:rsidRPr="009B281F">
        <w:rPr>
          <w:rFonts w:ascii="Times New Roman" w:hAnsi="Times New Roman"/>
        </w:rPr>
        <w:t>effetto</w:t>
      </w:r>
      <w:proofErr w:type="spellEnd"/>
      <w:r w:rsidRPr="009B281F">
        <w:rPr>
          <w:rFonts w:ascii="Times New Roman" w:hAnsi="Times New Roman"/>
        </w:rPr>
        <w:t xml:space="preserve"> </w:t>
      </w:r>
      <w:proofErr w:type="spellStart"/>
      <w:r w:rsidRPr="009B281F">
        <w:rPr>
          <w:rFonts w:ascii="Times New Roman" w:hAnsi="Times New Roman"/>
        </w:rPr>
        <w:t>prescrizione</w:t>
      </w:r>
      <w:proofErr w:type="spellEnd"/>
      <w:r w:rsidRPr="009B281F">
        <w:rPr>
          <w:rFonts w:ascii="Times New Roman" w:hAnsi="Times New Roman"/>
        </w:rPr>
        <w:t xml:space="preserve"> i beni </w:t>
      </w:r>
      <w:proofErr w:type="spellStart"/>
      <w:r w:rsidRPr="009B281F">
        <w:rPr>
          <w:rFonts w:ascii="Times New Roman" w:hAnsi="Times New Roman"/>
        </w:rPr>
        <w:t>confiscati</w:t>
      </w:r>
      <w:proofErr w:type="spellEnd"/>
      <w:r w:rsidRPr="009B281F">
        <w:rPr>
          <w:rFonts w:ascii="Times New Roman" w:hAnsi="Times New Roman"/>
        </w:rPr>
        <w:t xml:space="preserve"> </w:t>
      </w:r>
      <w:proofErr w:type="spellStart"/>
      <w:r w:rsidRPr="009B281F">
        <w:rPr>
          <w:rFonts w:ascii="Times New Roman" w:hAnsi="Times New Roman"/>
        </w:rPr>
        <w:t>tornano</w:t>
      </w:r>
      <w:proofErr w:type="spellEnd"/>
      <w:r w:rsidRPr="009B281F">
        <w:rPr>
          <w:rFonts w:ascii="Times New Roman" w:hAnsi="Times New Roman"/>
        </w:rPr>
        <w:t xml:space="preserve"> </w:t>
      </w:r>
      <w:proofErr w:type="spellStart"/>
      <w:r w:rsidRPr="009B281F">
        <w:rPr>
          <w:rFonts w:ascii="Times New Roman" w:hAnsi="Times New Roman"/>
        </w:rPr>
        <w:t>ai</w:t>
      </w:r>
      <w:proofErr w:type="spellEnd"/>
      <w:r w:rsidRPr="009B281F">
        <w:rPr>
          <w:rFonts w:ascii="Times New Roman" w:hAnsi="Times New Roman"/>
        </w:rPr>
        <w:t xml:space="preserve"> </w:t>
      </w:r>
      <w:proofErr w:type="spellStart"/>
      <w:r w:rsidRPr="009B281F">
        <w:rPr>
          <w:rFonts w:ascii="Times New Roman" w:hAnsi="Times New Roman"/>
        </w:rPr>
        <w:t>condannati</w:t>
      </w:r>
      <w:proofErr w:type="spellEnd"/>
      <w:r w:rsidRPr="009B281F">
        <w:rPr>
          <w:rFonts w:ascii="Times New Roman" w:hAnsi="Times New Roman"/>
        </w:rPr>
        <w:t xml:space="preserve">, </w:t>
      </w:r>
      <w:proofErr w:type="spellStart"/>
      <w:r w:rsidRPr="009B281F">
        <w:rPr>
          <w:rFonts w:ascii="Times New Roman" w:hAnsi="Times New Roman"/>
          <w:i/>
        </w:rPr>
        <w:t>La</w:t>
      </w:r>
      <w:proofErr w:type="spellEnd"/>
      <w:r w:rsidRPr="009B281F">
        <w:rPr>
          <w:rFonts w:ascii="Times New Roman" w:hAnsi="Times New Roman"/>
          <w:i/>
        </w:rPr>
        <w:t xml:space="preserve"> </w:t>
      </w:r>
      <w:proofErr w:type="spellStart"/>
      <w:r w:rsidRPr="009B281F">
        <w:rPr>
          <w:rFonts w:ascii="Times New Roman" w:hAnsi="Times New Roman"/>
          <w:i/>
        </w:rPr>
        <w:t>Repubblica</w:t>
      </w:r>
      <w:proofErr w:type="spellEnd"/>
      <w:r w:rsidRPr="009B281F">
        <w:rPr>
          <w:rFonts w:ascii="Times New Roman" w:hAnsi="Times New Roman"/>
        </w:rPr>
        <w:t>.</w:t>
      </w:r>
      <w:r>
        <w:rPr>
          <w:rFonts w:ascii="Times New Roman" w:hAnsi="Times New Roman"/>
        </w:rPr>
        <w:t xml:space="preserve"> </w:t>
      </w:r>
      <w:r w:rsidR="001446DC">
        <w:rPr>
          <w:rFonts w:ascii="Times New Roman" w:hAnsi="Times New Roman"/>
        </w:rPr>
        <w:t xml:space="preserve">Dostupno na </w:t>
      </w:r>
      <w:r w:rsidRPr="009B281F">
        <w:rPr>
          <w:rFonts w:ascii="Times New Roman" w:hAnsi="Times New Roman"/>
        </w:rPr>
        <w:t>http://ricerca.repubblica.it/repubblica/archivio/repubblica/2014/02/02/fallimenti-pilotati-effetto-prescrizione-beni-confiscati-tornano.html</w:t>
      </w:r>
      <w:r>
        <w:rPr>
          <w:rFonts w:ascii="Times New Roman" w:hAnsi="Times New Roman"/>
        </w:rPr>
        <w:t xml:space="preserve"> </w:t>
      </w:r>
      <w:r w:rsidRPr="005A7A8E">
        <w:rPr>
          <w:rFonts w:ascii="Times New Roman" w:hAnsi="Times New Roman"/>
        </w:rPr>
        <w:t>(</w:t>
      </w:r>
      <w:proofErr w:type="spellStart"/>
      <w:r w:rsidRPr="005A7A8E">
        <w:rPr>
          <w:rFonts w:ascii="Times New Roman" w:hAnsi="Times New Roman"/>
        </w:rPr>
        <w:t>pristupljeno</w:t>
      </w:r>
      <w:proofErr w:type="spellEnd"/>
      <w:r w:rsidRPr="005A7A8E">
        <w:rPr>
          <w:rFonts w:ascii="Times New Roman" w:hAnsi="Times New Roman"/>
        </w:rPr>
        <w:t xml:space="preserve"> </w:t>
      </w:r>
      <w:r>
        <w:rPr>
          <w:rFonts w:ascii="Times New Roman" w:hAnsi="Times New Roman"/>
        </w:rPr>
        <w:t>29</w:t>
      </w:r>
      <w:r w:rsidRPr="005A7A8E">
        <w:rPr>
          <w:rFonts w:ascii="Times New Roman" w:hAnsi="Times New Roman"/>
        </w:rPr>
        <w:t>.</w:t>
      </w:r>
      <w:r>
        <w:rPr>
          <w:rFonts w:ascii="Times New Roman" w:hAnsi="Times New Roman"/>
        </w:rPr>
        <w:t>5</w:t>
      </w:r>
      <w:r w:rsidRPr="005A7A8E">
        <w:rPr>
          <w:rFonts w:ascii="Times New Roman" w:hAnsi="Times New Roman"/>
        </w:rPr>
        <w:t>.2014.)</w:t>
      </w:r>
    </w:p>
    <w:p w:rsidR="005A7A8E" w:rsidRP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lastRenderedPageBreak/>
        <w:t>Schumpeter</w:t>
      </w:r>
      <w:proofErr w:type="spellEnd"/>
      <w:r w:rsidRPr="005A7A8E">
        <w:rPr>
          <w:rFonts w:ascii="Times New Roman" w:hAnsi="Times New Roman"/>
        </w:rPr>
        <w:t xml:space="preserve">, J. (1942). </w:t>
      </w:r>
      <w:proofErr w:type="spellStart"/>
      <w:r w:rsidRPr="005A7A8E">
        <w:rPr>
          <w:rFonts w:ascii="Times New Roman" w:hAnsi="Times New Roman"/>
          <w:i/>
        </w:rPr>
        <w:t>Capitalism</w:t>
      </w:r>
      <w:proofErr w:type="spellEnd"/>
      <w:r w:rsidRPr="005A7A8E">
        <w:rPr>
          <w:rFonts w:ascii="Times New Roman" w:hAnsi="Times New Roman"/>
          <w:i/>
        </w:rPr>
        <w:t xml:space="preserve">, </w:t>
      </w:r>
      <w:proofErr w:type="spellStart"/>
      <w:r w:rsidRPr="005A7A8E">
        <w:rPr>
          <w:rFonts w:ascii="Times New Roman" w:hAnsi="Times New Roman"/>
          <w:i/>
        </w:rPr>
        <w:t>Socialism</w:t>
      </w:r>
      <w:proofErr w:type="spellEnd"/>
      <w:r w:rsidRPr="005A7A8E">
        <w:rPr>
          <w:rFonts w:ascii="Times New Roman" w:hAnsi="Times New Roman"/>
          <w:i/>
        </w:rPr>
        <w:t xml:space="preserve"> </w:t>
      </w:r>
      <w:proofErr w:type="spellStart"/>
      <w:r w:rsidRPr="005A7A8E">
        <w:rPr>
          <w:rFonts w:ascii="Times New Roman" w:hAnsi="Times New Roman"/>
          <w:i/>
        </w:rPr>
        <w:t>and</w:t>
      </w:r>
      <w:proofErr w:type="spellEnd"/>
      <w:r w:rsidRPr="005A7A8E">
        <w:rPr>
          <w:rFonts w:ascii="Times New Roman" w:hAnsi="Times New Roman"/>
          <w:i/>
        </w:rPr>
        <w:t xml:space="preserve"> </w:t>
      </w:r>
      <w:proofErr w:type="spellStart"/>
      <w:r w:rsidRPr="005A7A8E">
        <w:rPr>
          <w:rFonts w:ascii="Times New Roman" w:hAnsi="Times New Roman"/>
          <w:i/>
        </w:rPr>
        <w:t>Democracy</w:t>
      </w:r>
      <w:proofErr w:type="spellEnd"/>
      <w:r w:rsidRPr="005A7A8E">
        <w:rPr>
          <w:rFonts w:ascii="Times New Roman" w:hAnsi="Times New Roman"/>
        </w:rPr>
        <w:t xml:space="preserve">. 6 izdanje, </w:t>
      </w:r>
      <w:proofErr w:type="spellStart"/>
      <w:r w:rsidRPr="005A7A8E">
        <w:rPr>
          <w:rFonts w:ascii="Times New Roman" w:hAnsi="Times New Roman"/>
        </w:rPr>
        <w:t>Routledge</w:t>
      </w:r>
      <w:proofErr w:type="spellEnd"/>
      <w:r w:rsidRPr="005A7A8E">
        <w:rPr>
          <w:rFonts w:ascii="Times New Roman" w:hAnsi="Times New Roman"/>
        </w:rPr>
        <w:t>, 2006.</w:t>
      </w:r>
    </w:p>
    <w:p w:rsidR="005A7A8E" w:rsidRPr="005A7A8E" w:rsidRDefault="005A7A8E" w:rsidP="00E377E6">
      <w:pPr>
        <w:spacing w:line="480" w:lineRule="auto"/>
        <w:ind w:left="993" w:hanging="993"/>
        <w:jc w:val="left"/>
        <w:rPr>
          <w:rFonts w:ascii="Times New Roman" w:hAnsi="Times New Roman"/>
        </w:rPr>
      </w:pPr>
      <w:r w:rsidRPr="005A7A8E">
        <w:rPr>
          <w:rFonts w:ascii="Times New Roman" w:hAnsi="Times New Roman"/>
        </w:rPr>
        <w:t>Stečajni zakon, Narodne novine br. 44/1996, 161/1998, 29/1999, 129/2000, 123/2003, 197/2003, 187/2004, 82/2006, 116/2010, 25/2012, 133/2012, 45/2013.</w:t>
      </w:r>
    </w:p>
    <w:p w:rsid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Šimundić</w:t>
      </w:r>
      <w:proofErr w:type="spellEnd"/>
      <w:r w:rsidRPr="005A7A8E">
        <w:rPr>
          <w:rFonts w:ascii="Times New Roman" w:hAnsi="Times New Roman"/>
        </w:rPr>
        <w:t xml:space="preserve">, M. (2006). Stečajni postupak u praksi. </w:t>
      </w:r>
      <w:r w:rsidRPr="005A7A8E">
        <w:rPr>
          <w:rFonts w:ascii="Times New Roman" w:hAnsi="Times New Roman"/>
          <w:i/>
        </w:rPr>
        <w:t>Sudačka mreža</w:t>
      </w:r>
      <w:r w:rsidRPr="005A7A8E">
        <w:rPr>
          <w:rFonts w:ascii="Times New Roman" w:hAnsi="Times New Roman"/>
        </w:rPr>
        <w:t>. Dostupno na http://www.sudacka-mreza.hr/doc/sr/radovi/Mladen_Simundic_-_Stecajni_postupak_u_praksi.pdf (pristupljeno 4.3.2014.)</w:t>
      </w:r>
    </w:p>
    <w:p w:rsidR="005A7A8E" w:rsidRPr="005A7A8E" w:rsidRDefault="005A7A8E" w:rsidP="00E377E6">
      <w:pPr>
        <w:spacing w:line="480" w:lineRule="auto"/>
        <w:ind w:left="993" w:hanging="993"/>
        <w:jc w:val="left"/>
        <w:rPr>
          <w:rFonts w:ascii="Times New Roman" w:hAnsi="Times New Roman"/>
        </w:rPr>
      </w:pPr>
      <w:r w:rsidRPr="005A7A8E">
        <w:rPr>
          <w:rFonts w:ascii="Times New Roman" w:hAnsi="Times New Roman"/>
        </w:rPr>
        <w:t xml:space="preserve">UK </w:t>
      </w:r>
      <w:proofErr w:type="spellStart"/>
      <w:r w:rsidRPr="005A7A8E">
        <w:rPr>
          <w:rFonts w:ascii="Times New Roman" w:hAnsi="Times New Roman"/>
        </w:rPr>
        <w:t>IPA</w:t>
      </w:r>
      <w:proofErr w:type="spellEnd"/>
      <w:r w:rsidRPr="005A7A8E">
        <w:rPr>
          <w:rFonts w:ascii="Times New Roman" w:hAnsi="Times New Roman"/>
        </w:rPr>
        <w:t xml:space="preserve"> - United </w:t>
      </w:r>
      <w:proofErr w:type="spellStart"/>
      <w:r w:rsidRPr="005A7A8E">
        <w:rPr>
          <w:rFonts w:ascii="Times New Roman" w:hAnsi="Times New Roman"/>
        </w:rPr>
        <w:t>Kingdom</w:t>
      </w:r>
      <w:proofErr w:type="spellEnd"/>
      <w:r w:rsidRPr="005A7A8E">
        <w:rPr>
          <w:rFonts w:ascii="Times New Roman" w:hAnsi="Times New Roman"/>
        </w:rPr>
        <w:t xml:space="preserve"> </w:t>
      </w:r>
      <w:proofErr w:type="spellStart"/>
      <w:r w:rsidRPr="005A7A8E">
        <w:rPr>
          <w:rFonts w:ascii="Times New Roman" w:hAnsi="Times New Roman"/>
        </w:rPr>
        <w:t>Insolvency</w:t>
      </w:r>
      <w:proofErr w:type="spellEnd"/>
      <w:r w:rsidRPr="005A7A8E">
        <w:rPr>
          <w:rFonts w:ascii="Times New Roman" w:hAnsi="Times New Roman"/>
        </w:rPr>
        <w:t xml:space="preserve"> </w:t>
      </w:r>
      <w:proofErr w:type="spellStart"/>
      <w:r w:rsidRPr="005A7A8E">
        <w:rPr>
          <w:rFonts w:ascii="Times New Roman" w:hAnsi="Times New Roman"/>
        </w:rPr>
        <w:t>Practitioners</w:t>
      </w:r>
      <w:proofErr w:type="spellEnd"/>
      <w:r w:rsidRPr="005A7A8E">
        <w:rPr>
          <w:rFonts w:ascii="Times New Roman" w:hAnsi="Times New Roman"/>
        </w:rPr>
        <w:t xml:space="preserve"> </w:t>
      </w:r>
      <w:proofErr w:type="spellStart"/>
      <w:r w:rsidRPr="005A7A8E">
        <w:rPr>
          <w:rFonts w:ascii="Times New Roman" w:hAnsi="Times New Roman"/>
        </w:rPr>
        <w:t>Association</w:t>
      </w:r>
      <w:proofErr w:type="spellEnd"/>
      <w:r w:rsidRPr="005A7A8E">
        <w:rPr>
          <w:rFonts w:ascii="Times New Roman" w:hAnsi="Times New Roman"/>
        </w:rPr>
        <w:t xml:space="preserve">, (2014). </w:t>
      </w:r>
      <w:proofErr w:type="spellStart"/>
      <w:r w:rsidRPr="005A7A8E">
        <w:rPr>
          <w:rFonts w:ascii="Times New Roman" w:hAnsi="Times New Roman"/>
        </w:rPr>
        <w:t>Ethics</w:t>
      </w:r>
      <w:proofErr w:type="spellEnd"/>
      <w:r w:rsidRPr="005A7A8E">
        <w:rPr>
          <w:rFonts w:ascii="Times New Roman" w:hAnsi="Times New Roman"/>
        </w:rPr>
        <w:t xml:space="preserve"> </w:t>
      </w:r>
      <w:proofErr w:type="spellStart"/>
      <w:r w:rsidRPr="005A7A8E">
        <w:rPr>
          <w:rFonts w:ascii="Times New Roman" w:hAnsi="Times New Roman"/>
        </w:rPr>
        <w:t>Code</w:t>
      </w:r>
      <w:proofErr w:type="spellEnd"/>
      <w:r w:rsidRPr="005A7A8E">
        <w:rPr>
          <w:rFonts w:ascii="Times New Roman" w:hAnsi="Times New Roman"/>
        </w:rPr>
        <w:t xml:space="preserve"> for </w:t>
      </w:r>
      <w:proofErr w:type="spellStart"/>
      <w:r w:rsidRPr="005A7A8E">
        <w:rPr>
          <w:rFonts w:ascii="Times New Roman" w:hAnsi="Times New Roman"/>
        </w:rPr>
        <w:t>Members</w:t>
      </w:r>
      <w:proofErr w:type="spellEnd"/>
      <w:r w:rsidRPr="005A7A8E">
        <w:rPr>
          <w:rFonts w:ascii="Times New Roman" w:hAnsi="Times New Roman"/>
        </w:rPr>
        <w:t>. Dostupno na http://www.insolvency-practitioners.org.uk/download/documents/1064 (pristupljeno 3.3.2014.)</w:t>
      </w:r>
    </w:p>
    <w:p w:rsid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UNCITRAL</w:t>
      </w:r>
      <w:proofErr w:type="spellEnd"/>
      <w:r w:rsidRPr="005A7A8E">
        <w:rPr>
          <w:rFonts w:ascii="Times New Roman" w:hAnsi="Times New Roman"/>
        </w:rPr>
        <w:t xml:space="preserve"> - United </w:t>
      </w:r>
      <w:proofErr w:type="spellStart"/>
      <w:r w:rsidRPr="005A7A8E">
        <w:rPr>
          <w:rFonts w:ascii="Times New Roman" w:hAnsi="Times New Roman"/>
        </w:rPr>
        <w:t>Nations</w:t>
      </w:r>
      <w:proofErr w:type="spellEnd"/>
      <w:r w:rsidRPr="005A7A8E">
        <w:rPr>
          <w:rFonts w:ascii="Times New Roman" w:hAnsi="Times New Roman"/>
        </w:rPr>
        <w:t xml:space="preserve"> </w:t>
      </w:r>
      <w:proofErr w:type="spellStart"/>
      <w:r w:rsidRPr="005A7A8E">
        <w:rPr>
          <w:rFonts w:ascii="Times New Roman" w:hAnsi="Times New Roman"/>
        </w:rPr>
        <w:t>Commission</w:t>
      </w:r>
      <w:proofErr w:type="spellEnd"/>
      <w:r w:rsidRPr="005A7A8E">
        <w:rPr>
          <w:rFonts w:ascii="Times New Roman" w:hAnsi="Times New Roman"/>
        </w:rPr>
        <w:t xml:space="preserve"> on </w:t>
      </w:r>
      <w:proofErr w:type="spellStart"/>
      <w:r w:rsidRPr="005A7A8E">
        <w:rPr>
          <w:rFonts w:ascii="Times New Roman" w:hAnsi="Times New Roman"/>
        </w:rPr>
        <w:t>International</w:t>
      </w:r>
      <w:proofErr w:type="spellEnd"/>
      <w:r w:rsidRPr="005A7A8E">
        <w:rPr>
          <w:rFonts w:ascii="Times New Roman" w:hAnsi="Times New Roman"/>
        </w:rPr>
        <w:t xml:space="preserve"> </w:t>
      </w:r>
      <w:proofErr w:type="spellStart"/>
      <w:r w:rsidRPr="005A7A8E">
        <w:rPr>
          <w:rFonts w:ascii="Times New Roman" w:hAnsi="Times New Roman"/>
        </w:rPr>
        <w:t>Trade</w:t>
      </w:r>
      <w:proofErr w:type="spellEnd"/>
      <w:r w:rsidRPr="005A7A8E">
        <w:rPr>
          <w:rFonts w:ascii="Times New Roman" w:hAnsi="Times New Roman"/>
        </w:rPr>
        <w:t xml:space="preserve"> </w:t>
      </w:r>
      <w:proofErr w:type="spellStart"/>
      <w:r w:rsidRPr="005A7A8E">
        <w:rPr>
          <w:rFonts w:ascii="Times New Roman" w:hAnsi="Times New Roman"/>
        </w:rPr>
        <w:t>Law</w:t>
      </w:r>
      <w:proofErr w:type="spellEnd"/>
      <w:r w:rsidRPr="005A7A8E">
        <w:rPr>
          <w:rFonts w:ascii="Times New Roman" w:hAnsi="Times New Roman"/>
        </w:rPr>
        <w:t xml:space="preserve">, (2005). </w:t>
      </w:r>
      <w:r w:rsidRPr="005A7A8E">
        <w:rPr>
          <w:rFonts w:ascii="Times New Roman" w:hAnsi="Times New Roman"/>
          <w:i/>
        </w:rPr>
        <w:t xml:space="preserve">Legislative </w:t>
      </w:r>
      <w:proofErr w:type="spellStart"/>
      <w:r w:rsidRPr="005A7A8E">
        <w:rPr>
          <w:rFonts w:ascii="Times New Roman" w:hAnsi="Times New Roman"/>
          <w:i/>
        </w:rPr>
        <w:t>Guide</w:t>
      </w:r>
      <w:proofErr w:type="spellEnd"/>
      <w:r w:rsidRPr="005A7A8E">
        <w:rPr>
          <w:rFonts w:ascii="Times New Roman" w:hAnsi="Times New Roman"/>
          <w:i/>
        </w:rPr>
        <w:t xml:space="preserve"> on </w:t>
      </w:r>
      <w:proofErr w:type="spellStart"/>
      <w:r w:rsidRPr="005A7A8E">
        <w:rPr>
          <w:rFonts w:ascii="Times New Roman" w:hAnsi="Times New Roman"/>
          <w:i/>
        </w:rPr>
        <w:t>Insolvency</w:t>
      </w:r>
      <w:proofErr w:type="spellEnd"/>
      <w:r w:rsidRPr="005A7A8E">
        <w:rPr>
          <w:rFonts w:ascii="Times New Roman" w:hAnsi="Times New Roman"/>
          <w:i/>
        </w:rPr>
        <w:t xml:space="preserve"> </w:t>
      </w:r>
      <w:proofErr w:type="spellStart"/>
      <w:r w:rsidRPr="005A7A8E">
        <w:rPr>
          <w:rFonts w:ascii="Times New Roman" w:hAnsi="Times New Roman"/>
          <w:i/>
        </w:rPr>
        <w:t>Law</w:t>
      </w:r>
      <w:proofErr w:type="spellEnd"/>
      <w:r w:rsidRPr="005A7A8E">
        <w:rPr>
          <w:rFonts w:ascii="Times New Roman" w:hAnsi="Times New Roman"/>
        </w:rPr>
        <w:t>. New York: UN.</w:t>
      </w:r>
    </w:p>
    <w:p w:rsidR="00AF1C3C" w:rsidRDefault="00AF1C3C" w:rsidP="00AF1C3C">
      <w:pPr>
        <w:spacing w:line="480" w:lineRule="auto"/>
        <w:ind w:left="993" w:hanging="993"/>
        <w:jc w:val="left"/>
        <w:rPr>
          <w:rFonts w:ascii="Times New Roman" w:hAnsi="Times New Roman"/>
        </w:rPr>
      </w:pPr>
      <w:proofErr w:type="spellStart"/>
      <w:r w:rsidRPr="00AF1C3C">
        <w:rPr>
          <w:rFonts w:ascii="Times New Roman" w:hAnsi="Times New Roman"/>
        </w:rPr>
        <w:t>Veldkamp</w:t>
      </w:r>
      <w:proofErr w:type="spellEnd"/>
      <w:r w:rsidRPr="00AF1C3C">
        <w:rPr>
          <w:rFonts w:ascii="Times New Roman" w:hAnsi="Times New Roman"/>
        </w:rPr>
        <w:t xml:space="preserve">, B. P., De </w:t>
      </w:r>
      <w:proofErr w:type="spellStart"/>
      <w:r w:rsidRPr="00AF1C3C">
        <w:rPr>
          <w:rFonts w:ascii="Times New Roman" w:hAnsi="Times New Roman"/>
        </w:rPr>
        <w:t>Vries</w:t>
      </w:r>
      <w:proofErr w:type="spellEnd"/>
      <w:r w:rsidRPr="00AF1C3C">
        <w:rPr>
          <w:rFonts w:ascii="Times New Roman" w:hAnsi="Times New Roman"/>
        </w:rPr>
        <w:t xml:space="preserve">, T. (2008). </w:t>
      </w:r>
      <w:proofErr w:type="spellStart"/>
      <w:r w:rsidRPr="00AF1C3C">
        <w:rPr>
          <w:rFonts w:ascii="Times New Roman" w:hAnsi="Times New Roman"/>
        </w:rPr>
        <w:t>Identification</w:t>
      </w:r>
      <w:proofErr w:type="spellEnd"/>
      <w:r w:rsidRPr="00AF1C3C">
        <w:rPr>
          <w:rFonts w:ascii="Times New Roman" w:hAnsi="Times New Roman"/>
        </w:rPr>
        <w:t xml:space="preserve"> </w:t>
      </w:r>
      <w:proofErr w:type="spellStart"/>
      <w:r w:rsidRPr="00AF1C3C">
        <w:rPr>
          <w:rFonts w:ascii="Times New Roman" w:hAnsi="Times New Roman"/>
        </w:rPr>
        <w:t>of</w:t>
      </w:r>
      <w:proofErr w:type="spellEnd"/>
      <w:r w:rsidRPr="00AF1C3C">
        <w:rPr>
          <w:rFonts w:ascii="Times New Roman" w:hAnsi="Times New Roman"/>
        </w:rPr>
        <w:t xml:space="preserve"> </w:t>
      </w:r>
      <w:proofErr w:type="spellStart"/>
      <w:r w:rsidRPr="00AF1C3C">
        <w:rPr>
          <w:rFonts w:ascii="Times New Roman" w:hAnsi="Times New Roman"/>
        </w:rPr>
        <w:t>Bankruptcy</w:t>
      </w:r>
      <w:proofErr w:type="spellEnd"/>
      <w:r w:rsidRPr="00AF1C3C">
        <w:rPr>
          <w:rFonts w:ascii="Times New Roman" w:hAnsi="Times New Roman"/>
        </w:rPr>
        <w:t xml:space="preserve"> </w:t>
      </w:r>
      <w:proofErr w:type="spellStart"/>
      <w:r w:rsidRPr="00AF1C3C">
        <w:rPr>
          <w:rFonts w:ascii="Times New Roman" w:hAnsi="Times New Roman"/>
        </w:rPr>
        <w:t>Fraud</w:t>
      </w:r>
      <w:proofErr w:type="spellEnd"/>
      <w:r w:rsidRPr="00AF1C3C">
        <w:rPr>
          <w:rFonts w:ascii="Times New Roman" w:hAnsi="Times New Roman"/>
        </w:rPr>
        <w:t xml:space="preserve"> </w:t>
      </w:r>
      <w:proofErr w:type="spellStart"/>
      <w:r w:rsidRPr="00AF1C3C">
        <w:rPr>
          <w:rFonts w:ascii="Times New Roman" w:hAnsi="Times New Roman"/>
        </w:rPr>
        <w:t>in</w:t>
      </w:r>
      <w:proofErr w:type="spellEnd"/>
      <w:r w:rsidRPr="00AF1C3C">
        <w:rPr>
          <w:rFonts w:ascii="Times New Roman" w:hAnsi="Times New Roman"/>
        </w:rPr>
        <w:t xml:space="preserve"> </w:t>
      </w:r>
      <w:proofErr w:type="spellStart"/>
      <w:r w:rsidRPr="00AF1C3C">
        <w:rPr>
          <w:rFonts w:ascii="Times New Roman" w:hAnsi="Times New Roman"/>
        </w:rPr>
        <w:t>Dutch</w:t>
      </w:r>
      <w:proofErr w:type="spellEnd"/>
      <w:r w:rsidRPr="00AF1C3C">
        <w:rPr>
          <w:rFonts w:ascii="Times New Roman" w:hAnsi="Times New Roman"/>
        </w:rPr>
        <w:t xml:space="preserve"> </w:t>
      </w:r>
      <w:proofErr w:type="spellStart"/>
      <w:r w:rsidRPr="00AF1C3C">
        <w:rPr>
          <w:rFonts w:ascii="Times New Roman" w:hAnsi="Times New Roman"/>
        </w:rPr>
        <w:t>Organizations</w:t>
      </w:r>
      <w:proofErr w:type="spellEnd"/>
      <w:r w:rsidRPr="00AF1C3C">
        <w:rPr>
          <w:rFonts w:ascii="Times New Roman" w:hAnsi="Times New Roman"/>
        </w:rPr>
        <w:t xml:space="preserve">. </w:t>
      </w:r>
      <w:proofErr w:type="spellStart"/>
      <w:r w:rsidRPr="00AF1C3C">
        <w:rPr>
          <w:rFonts w:ascii="Times New Roman" w:hAnsi="Times New Roman"/>
        </w:rPr>
        <w:t>In</w:t>
      </w:r>
      <w:proofErr w:type="spellEnd"/>
      <w:r w:rsidRPr="00AF1C3C">
        <w:rPr>
          <w:rFonts w:ascii="Times New Roman" w:hAnsi="Times New Roman"/>
        </w:rPr>
        <w:t xml:space="preserve"> </w:t>
      </w:r>
      <w:proofErr w:type="spellStart"/>
      <w:r w:rsidRPr="00AF1C3C">
        <w:rPr>
          <w:rFonts w:ascii="Times New Roman" w:hAnsi="Times New Roman"/>
          <w:i/>
        </w:rPr>
        <w:t>IADIS</w:t>
      </w:r>
      <w:proofErr w:type="spellEnd"/>
      <w:r w:rsidRPr="00AF1C3C">
        <w:rPr>
          <w:rFonts w:ascii="Times New Roman" w:hAnsi="Times New Roman"/>
          <w:i/>
        </w:rPr>
        <w:t xml:space="preserve"> </w:t>
      </w:r>
      <w:proofErr w:type="spellStart"/>
      <w:r w:rsidRPr="00AF1C3C">
        <w:rPr>
          <w:rFonts w:ascii="Times New Roman" w:hAnsi="Times New Roman"/>
          <w:i/>
        </w:rPr>
        <w:t>European</w:t>
      </w:r>
      <w:proofErr w:type="spellEnd"/>
      <w:r w:rsidRPr="00AF1C3C">
        <w:rPr>
          <w:rFonts w:ascii="Times New Roman" w:hAnsi="Times New Roman"/>
          <w:i/>
        </w:rPr>
        <w:t xml:space="preserve"> </w:t>
      </w:r>
      <w:proofErr w:type="spellStart"/>
      <w:r w:rsidRPr="00AF1C3C">
        <w:rPr>
          <w:rFonts w:ascii="Times New Roman" w:hAnsi="Times New Roman"/>
          <w:i/>
        </w:rPr>
        <w:t>Conf</w:t>
      </w:r>
      <w:proofErr w:type="spellEnd"/>
      <w:r w:rsidRPr="00AF1C3C">
        <w:rPr>
          <w:rFonts w:ascii="Times New Roman" w:hAnsi="Times New Roman"/>
          <w:i/>
        </w:rPr>
        <w:t xml:space="preserve">. Data </w:t>
      </w:r>
      <w:proofErr w:type="spellStart"/>
      <w:r w:rsidRPr="00AF1C3C">
        <w:rPr>
          <w:rFonts w:ascii="Times New Roman" w:hAnsi="Times New Roman"/>
          <w:i/>
        </w:rPr>
        <w:t>Mining</w:t>
      </w:r>
      <w:proofErr w:type="spellEnd"/>
      <w:r w:rsidR="00EC5EDD">
        <w:rPr>
          <w:rFonts w:ascii="Times New Roman" w:hAnsi="Times New Roman"/>
          <w:i/>
        </w:rPr>
        <w:t>,</w:t>
      </w:r>
      <w:r>
        <w:rPr>
          <w:rFonts w:ascii="Times New Roman" w:hAnsi="Times New Roman"/>
        </w:rPr>
        <w:t xml:space="preserve"> 63-66</w:t>
      </w:r>
    </w:p>
    <w:p w:rsidR="000D33D0" w:rsidRDefault="000D33D0" w:rsidP="000D33D0">
      <w:pPr>
        <w:spacing w:line="480" w:lineRule="auto"/>
        <w:ind w:left="993" w:hanging="993"/>
        <w:jc w:val="left"/>
        <w:rPr>
          <w:rFonts w:ascii="Times New Roman" w:hAnsi="Times New Roman"/>
        </w:rPr>
      </w:pPr>
      <w:proofErr w:type="spellStart"/>
      <w:r w:rsidRPr="000D33D0">
        <w:rPr>
          <w:rFonts w:ascii="Times New Roman" w:hAnsi="Times New Roman"/>
        </w:rPr>
        <w:t>Vriesendorp</w:t>
      </w:r>
      <w:proofErr w:type="spellEnd"/>
      <w:r w:rsidRPr="000D33D0">
        <w:rPr>
          <w:rFonts w:ascii="Times New Roman" w:hAnsi="Times New Roman"/>
        </w:rPr>
        <w:t xml:space="preserve">, R. D. (2008). </w:t>
      </w:r>
      <w:proofErr w:type="spellStart"/>
      <w:r w:rsidRPr="000D33D0">
        <w:rPr>
          <w:rFonts w:ascii="Times New Roman" w:hAnsi="Times New Roman"/>
        </w:rPr>
        <w:t>The</w:t>
      </w:r>
      <w:proofErr w:type="spellEnd"/>
      <w:r w:rsidRPr="000D33D0">
        <w:rPr>
          <w:rFonts w:ascii="Times New Roman" w:hAnsi="Times New Roman"/>
        </w:rPr>
        <w:t xml:space="preserve"> </w:t>
      </w:r>
      <w:proofErr w:type="spellStart"/>
      <w:r w:rsidRPr="000D33D0">
        <w:rPr>
          <w:rFonts w:ascii="Times New Roman" w:hAnsi="Times New Roman"/>
        </w:rPr>
        <w:t>righteous</w:t>
      </w:r>
      <w:proofErr w:type="spellEnd"/>
      <w:r w:rsidRPr="000D33D0">
        <w:rPr>
          <w:rFonts w:ascii="Times New Roman" w:hAnsi="Times New Roman"/>
        </w:rPr>
        <w:t xml:space="preserve"> </w:t>
      </w:r>
      <w:proofErr w:type="spellStart"/>
      <w:r w:rsidRPr="000D33D0">
        <w:rPr>
          <w:rFonts w:ascii="Times New Roman" w:hAnsi="Times New Roman"/>
        </w:rPr>
        <w:t>bankruptcy</w:t>
      </w:r>
      <w:proofErr w:type="spellEnd"/>
      <w:r w:rsidRPr="000D33D0">
        <w:rPr>
          <w:rFonts w:ascii="Times New Roman" w:hAnsi="Times New Roman"/>
        </w:rPr>
        <w:t xml:space="preserve"> </w:t>
      </w:r>
      <w:proofErr w:type="spellStart"/>
      <w:r w:rsidRPr="000D33D0">
        <w:rPr>
          <w:rFonts w:ascii="Times New Roman" w:hAnsi="Times New Roman"/>
        </w:rPr>
        <w:t>trustee</w:t>
      </w:r>
      <w:proofErr w:type="spellEnd"/>
      <w:r w:rsidRPr="000D33D0">
        <w:rPr>
          <w:rFonts w:ascii="Times New Roman" w:hAnsi="Times New Roman"/>
        </w:rPr>
        <w:t xml:space="preserve">: </w:t>
      </w:r>
      <w:proofErr w:type="spellStart"/>
      <w:r w:rsidRPr="000D33D0">
        <w:rPr>
          <w:rFonts w:ascii="Times New Roman" w:hAnsi="Times New Roman"/>
        </w:rPr>
        <w:t>the</w:t>
      </w:r>
      <w:proofErr w:type="spellEnd"/>
      <w:r w:rsidRPr="000D33D0">
        <w:rPr>
          <w:rFonts w:ascii="Times New Roman" w:hAnsi="Times New Roman"/>
        </w:rPr>
        <w:t xml:space="preserve"> influence </w:t>
      </w:r>
      <w:proofErr w:type="spellStart"/>
      <w:r w:rsidRPr="000D33D0">
        <w:rPr>
          <w:rFonts w:ascii="Times New Roman" w:hAnsi="Times New Roman"/>
        </w:rPr>
        <w:t>of</w:t>
      </w:r>
      <w:proofErr w:type="spellEnd"/>
      <w:r w:rsidRPr="000D33D0">
        <w:rPr>
          <w:rFonts w:ascii="Times New Roman" w:hAnsi="Times New Roman"/>
        </w:rPr>
        <w:t xml:space="preserve"> </w:t>
      </w:r>
      <w:proofErr w:type="spellStart"/>
      <w:r w:rsidRPr="000D33D0">
        <w:rPr>
          <w:rFonts w:ascii="Times New Roman" w:hAnsi="Times New Roman"/>
        </w:rPr>
        <w:t>creditors</w:t>
      </w:r>
      <w:proofErr w:type="spellEnd"/>
      <w:r w:rsidRPr="000D33D0">
        <w:rPr>
          <w:rFonts w:ascii="Times New Roman" w:hAnsi="Times New Roman"/>
        </w:rPr>
        <w:t xml:space="preserve"> on </w:t>
      </w:r>
      <w:proofErr w:type="spellStart"/>
      <w:r w:rsidRPr="000D33D0">
        <w:rPr>
          <w:rFonts w:ascii="Times New Roman" w:hAnsi="Times New Roman"/>
        </w:rPr>
        <w:t>the</w:t>
      </w:r>
      <w:proofErr w:type="spellEnd"/>
      <w:r w:rsidRPr="000D33D0">
        <w:rPr>
          <w:rFonts w:ascii="Times New Roman" w:hAnsi="Times New Roman"/>
        </w:rPr>
        <w:t xml:space="preserve"> </w:t>
      </w:r>
      <w:proofErr w:type="spellStart"/>
      <w:r w:rsidRPr="000D33D0">
        <w:rPr>
          <w:rFonts w:ascii="Times New Roman" w:hAnsi="Times New Roman"/>
        </w:rPr>
        <w:t>appointment</w:t>
      </w:r>
      <w:proofErr w:type="spellEnd"/>
      <w:r w:rsidRPr="000D33D0">
        <w:rPr>
          <w:rFonts w:ascii="Times New Roman" w:hAnsi="Times New Roman"/>
        </w:rPr>
        <w:t xml:space="preserve"> </w:t>
      </w:r>
      <w:proofErr w:type="spellStart"/>
      <w:r w:rsidRPr="000D33D0">
        <w:rPr>
          <w:rFonts w:ascii="Times New Roman" w:hAnsi="Times New Roman"/>
        </w:rPr>
        <w:t>of</w:t>
      </w:r>
      <w:proofErr w:type="spellEnd"/>
      <w:r w:rsidRPr="000D33D0">
        <w:rPr>
          <w:rFonts w:ascii="Times New Roman" w:hAnsi="Times New Roman"/>
        </w:rPr>
        <w:t xml:space="preserve"> a </w:t>
      </w:r>
      <w:proofErr w:type="spellStart"/>
      <w:r w:rsidRPr="000D33D0">
        <w:rPr>
          <w:rFonts w:ascii="Times New Roman" w:hAnsi="Times New Roman"/>
        </w:rPr>
        <w:t>bankruptcy</w:t>
      </w:r>
      <w:proofErr w:type="spellEnd"/>
      <w:r w:rsidRPr="000D33D0">
        <w:rPr>
          <w:rFonts w:ascii="Times New Roman" w:hAnsi="Times New Roman"/>
        </w:rPr>
        <w:t xml:space="preserve"> </w:t>
      </w:r>
      <w:proofErr w:type="spellStart"/>
      <w:r w:rsidRPr="000D33D0">
        <w:rPr>
          <w:rFonts w:ascii="Times New Roman" w:hAnsi="Times New Roman"/>
        </w:rPr>
        <w:t>trustee</w:t>
      </w:r>
      <w:proofErr w:type="spellEnd"/>
      <w:r w:rsidRPr="000D33D0">
        <w:rPr>
          <w:rFonts w:ascii="Times New Roman" w:hAnsi="Times New Roman"/>
        </w:rPr>
        <w:t xml:space="preserve"> </w:t>
      </w:r>
      <w:proofErr w:type="spellStart"/>
      <w:r w:rsidRPr="000D33D0">
        <w:rPr>
          <w:rFonts w:ascii="Times New Roman" w:hAnsi="Times New Roman"/>
        </w:rPr>
        <w:t>from</w:t>
      </w:r>
      <w:proofErr w:type="spellEnd"/>
      <w:r w:rsidRPr="000D33D0">
        <w:rPr>
          <w:rFonts w:ascii="Times New Roman" w:hAnsi="Times New Roman"/>
        </w:rPr>
        <w:t xml:space="preserve"> a </w:t>
      </w:r>
      <w:proofErr w:type="spellStart"/>
      <w:r w:rsidRPr="000D33D0">
        <w:rPr>
          <w:rFonts w:ascii="Times New Roman" w:hAnsi="Times New Roman"/>
        </w:rPr>
        <w:t>Netherlands</w:t>
      </w:r>
      <w:proofErr w:type="spellEnd"/>
      <w:r w:rsidRPr="000D33D0">
        <w:rPr>
          <w:rFonts w:ascii="Times New Roman" w:hAnsi="Times New Roman"/>
        </w:rPr>
        <w:t xml:space="preserve"> </w:t>
      </w:r>
      <w:proofErr w:type="spellStart"/>
      <w:r w:rsidRPr="000D33D0">
        <w:rPr>
          <w:rFonts w:ascii="Times New Roman" w:hAnsi="Times New Roman"/>
        </w:rPr>
        <w:t>perspective</w:t>
      </w:r>
      <w:proofErr w:type="spellEnd"/>
      <w:r w:rsidRPr="000D33D0">
        <w:rPr>
          <w:rFonts w:ascii="Times New Roman" w:hAnsi="Times New Roman"/>
        </w:rPr>
        <w:t xml:space="preserve">. </w:t>
      </w:r>
      <w:proofErr w:type="spellStart"/>
      <w:r w:rsidRPr="000D33D0">
        <w:rPr>
          <w:rFonts w:ascii="Times New Roman" w:hAnsi="Times New Roman"/>
        </w:rPr>
        <w:t>P</w:t>
      </w:r>
      <w:r w:rsidRPr="000D33D0">
        <w:rPr>
          <w:rFonts w:ascii="Times New Roman" w:hAnsi="Times New Roman"/>
          <w:i/>
        </w:rPr>
        <w:t>ER</w:t>
      </w:r>
      <w:proofErr w:type="spellEnd"/>
      <w:r w:rsidRPr="000D33D0">
        <w:rPr>
          <w:rFonts w:ascii="Times New Roman" w:hAnsi="Times New Roman"/>
          <w:i/>
        </w:rPr>
        <w:t xml:space="preserve">: </w:t>
      </w:r>
      <w:proofErr w:type="spellStart"/>
      <w:r w:rsidRPr="000D33D0">
        <w:rPr>
          <w:rFonts w:ascii="Times New Roman" w:hAnsi="Times New Roman"/>
          <w:i/>
        </w:rPr>
        <w:t>Potchefstroomse</w:t>
      </w:r>
      <w:proofErr w:type="spellEnd"/>
      <w:r w:rsidRPr="000D33D0">
        <w:rPr>
          <w:rFonts w:ascii="Times New Roman" w:hAnsi="Times New Roman"/>
          <w:i/>
        </w:rPr>
        <w:t xml:space="preserve"> </w:t>
      </w:r>
      <w:proofErr w:type="spellStart"/>
      <w:r w:rsidRPr="000D33D0">
        <w:rPr>
          <w:rFonts w:ascii="Times New Roman" w:hAnsi="Times New Roman"/>
          <w:i/>
        </w:rPr>
        <w:t>Elektroniese</w:t>
      </w:r>
      <w:proofErr w:type="spellEnd"/>
      <w:r w:rsidRPr="000D33D0">
        <w:rPr>
          <w:rFonts w:ascii="Times New Roman" w:hAnsi="Times New Roman"/>
          <w:i/>
        </w:rPr>
        <w:t xml:space="preserve"> </w:t>
      </w:r>
      <w:proofErr w:type="spellStart"/>
      <w:r w:rsidRPr="000D33D0">
        <w:rPr>
          <w:rFonts w:ascii="Times New Roman" w:hAnsi="Times New Roman"/>
          <w:i/>
        </w:rPr>
        <w:t>Regsblad</w:t>
      </w:r>
      <w:proofErr w:type="spellEnd"/>
      <w:r w:rsidRPr="000D33D0">
        <w:rPr>
          <w:rFonts w:ascii="Times New Roman" w:hAnsi="Times New Roman"/>
        </w:rPr>
        <w:t>, 11</w:t>
      </w:r>
      <w:r>
        <w:rPr>
          <w:rFonts w:ascii="Times New Roman" w:hAnsi="Times New Roman"/>
        </w:rPr>
        <w:t xml:space="preserve"> (1), 139-211</w:t>
      </w:r>
    </w:p>
    <w:p w:rsidR="00740D7A" w:rsidRPr="000D33D0" w:rsidRDefault="00740D7A" w:rsidP="000D33D0">
      <w:pPr>
        <w:spacing w:line="480" w:lineRule="auto"/>
        <w:ind w:left="993" w:hanging="993"/>
        <w:jc w:val="left"/>
        <w:rPr>
          <w:rFonts w:ascii="Times New Roman" w:hAnsi="Times New Roman"/>
        </w:rPr>
      </w:pPr>
      <w:r>
        <w:rPr>
          <w:rFonts w:ascii="Times New Roman" w:hAnsi="Times New Roman"/>
        </w:rPr>
        <w:t>Vrhovni sud</w:t>
      </w:r>
      <w:r w:rsidRPr="00740D7A">
        <w:rPr>
          <w:rFonts w:ascii="Times New Roman" w:hAnsi="Times New Roman"/>
        </w:rPr>
        <w:t xml:space="preserve"> Italije (</w:t>
      </w:r>
      <w:proofErr w:type="spellStart"/>
      <w:r w:rsidRPr="00740D7A">
        <w:rPr>
          <w:rFonts w:ascii="Times New Roman" w:hAnsi="Times New Roman"/>
        </w:rPr>
        <w:t>Suprema</w:t>
      </w:r>
      <w:proofErr w:type="spellEnd"/>
      <w:r w:rsidRPr="00740D7A">
        <w:rPr>
          <w:rFonts w:ascii="Times New Roman" w:hAnsi="Times New Roman"/>
        </w:rPr>
        <w:t xml:space="preserve"> </w:t>
      </w:r>
      <w:proofErr w:type="spellStart"/>
      <w:r w:rsidRPr="00740D7A">
        <w:rPr>
          <w:rFonts w:ascii="Times New Roman" w:hAnsi="Times New Roman"/>
        </w:rPr>
        <w:t>Corte</w:t>
      </w:r>
      <w:proofErr w:type="spellEnd"/>
      <w:r w:rsidRPr="00740D7A">
        <w:rPr>
          <w:rFonts w:ascii="Times New Roman" w:hAnsi="Times New Roman"/>
        </w:rPr>
        <w:t xml:space="preserve"> </w:t>
      </w:r>
      <w:proofErr w:type="spellStart"/>
      <w:r w:rsidRPr="00740D7A">
        <w:rPr>
          <w:rFonts w:ascii="Times New Roman" w:hAnsi="Times New Roman"/>
        </w:rPr>
        <w:t>Di</w:t>
      </w:r>
      <w:proofErr w:type="spellEnd"/>
      <w:r w:rsidRPr="00740D7A">
        <w:rPr>
          <w:rFonts w:ascii="Times New Roman" w:hAnsi="Times New Roman"/>
        </w:rPr>
        <w:t xml:space="preserve"> </w:t>
      </w:r>
      <w:proofErr w:type="spellStart"/>
      <w:r w:rsidRPr="00740D7A">
        <w:rPr>
          <w:rFonts w:ascii="Times New Roman" w:hAnsi="Times New Roman"/>
        </w:rPr>
        <w:t>Cassazione</w:t>
      </w:r>
      <w:proofErr w:type="spellEnd"/>
      <w:r w:rsidRPr="00740D7A">
        <w:rPr>
          <w:rFonts w:ascii="Times New Roman" w:hAnsi="Times New Roman"/>
        </w:rPr>
        <w:t>)</w:t>
      </w:r>
      <w:r>
        <w:rPr>
          <w:rFonts w:ascii="Times New Roman" w:hAnsi="Times New Roman"/>
        </w:rPr>
        <w:t>, presuda</w:t>
      </w:r>
      <w:r w:rsidRPr="00740D7A">
        <w:rPr>
          <w:rFonts w:ascii="Times New Roman" w:hAnsi="Times New Roman"/>
        </w:rPr>
        <w:t xml:space="preserve"> od 26.1.2010, br. 3327. Dostupno na http://www.altalex.com/index.php?idnot=49014 (</w:t>
      </w:r>
      <w:proofErr w:type="spellStart"/>
      <w:r w:rsidRPr="00740D7A">
        <w:rPr>
          <w:rFonts w:ascii="Times New Roman" w:hAnsi="Times New Roman"/>
        </w:rPr>
        <w:t>pristupljeno</w:t>
      </w:r>
      <w:proofErr w:type="spellEnd"/>
      <w:r w:rsidRPr="00740D7A">
        <w:rPr>
          <w:rFonts w:ascii="Times New Roman" w:hAnsi="Times New Roman"/>
        </w:rPr>
        <w:t xml:space="preserve"> 2.6.2014.)</w:t>
      </w:r>
    </w:p>
    <w:p w:rsidR="005A7A8E" w:rsidRPr="005A7A8E" w:rsidRDefault="005A7A8E" w:rsidP="00E377E6">
      <w:pPr>
        <w:spacing w:line="480" w:lineRule="auto"/>
        <w:ind w:left="993" w:hanging="993"/>
        <w:jc w:val="left"/>
        <w:rPr>
          <w:rFonts w:ascii="Times New Roman" w:hAnsi="Times New Roman"/>
        </w:rPr>
      </w:pPr>
      <w:r w:rsidRPr="005A7A8E">
        <w:rPr>
          <w:rFonts w:ascii="Times New Roman" w:hAnsi="Times New Roman"/>
        </w:rPr>
        <w:t>Vlada RH (2012). Prijedlog Zakona o financijskom poslovanju i predstečajnoj nagodbi, 37. sjednica Vlade Republike Hrvatske, 5.7.2012. Dostupno na http://www.vlada.hr/hr/content/download/218091/3204136/file/37.%20-%202.pdf (pristupljeno 4.3.2014.)</w:t>
      </w:r>
    </w:p>
    <w:p w:rsidR="005A7A8E" w:rsidRPr="005A7A8E" w:rsidRDefault="005A7A8E" w:rsidP="00E377E6">
      <w:pPr>
        <w:spacing w:line="480" w:lineRule="auto"/>
        <w:ind w:left="993" w:hanging="993"/>
        <w:jc w:val="left"/>
        <w:rPr>
          <w:rFonts w:ascii="Times New Roman" w:hAnsi="Times New Roman"/>
        </w:rPr>
      </w:pPr>
      <w:r w:rsidRPr="005A7A8E">
        <w:rPr>
          <w:rFonts w:ascii="Times New Roman" w:hAnsi="Times New Roman"/>
        </w:rPr>
        <w:t xml:space="preserve">Vuković, A. (2010). Nagrada za rad i naknada troškova za stečajnog upravitelja. </w:t>
      </w:r>
      <w:r w:rsidRPr="005A7A8E">
        <w:rPr>
          <w:rFonts w:ascii="Times New Roman" w:hAnsi="Times New Roman"/>
          <w:i/>
        </w:rPr>
        <w:t>Zbornik radova Pravnog fakulteta u Splitu</w:t>
      </w:r>
      <w:r w:rsidRPr="005A7A8E">
        <w:rPr>
          <w:rFonts w:ascii="Times New Roman" w:hAnsi="Times New Roman"/>
        </w:rPr>
        <w:t>,47(1), 191-204</w:t>
      </w:r>
    </w:p>
    <w:p w:rsidR="005A7A8E" w:rsidRPr="005A7A8E" w:rsidRDefault="005A7A8E" w:rsidP="00E377E6">
      <w:pPr>
        <w:spacing w:line="480" w:lineRule="auto"/>
        <w:ind w:left="993" w:hanging="993"/>
        <w:jc w:val="left"/>
        <w:rPr>
          <w:rFonts w:ascii="Times New Roman" w:hAnsi="Times New Roman"/>
        </w:rPr>
      </w:pPr>
      <w:r w:rsidRPr="005A7A8E">
        <w:rPr>
          <w:rFonts w:ascii="Times New Roman" w:hAnsi="Times New Roman"/>
        </w:rPr>
        <w:lastRenderedPageBreak/>
        <w:t xml:space="preserve">Vuković, A., Bodul, D. (2012). Stečajno zakonodavstvo u tranziciji: komparativni osvrt, hrvatski izazovi i potencijalna rješenja. </w:t>
      </w:r>
      <w:r w:rsidRPr="005A7A8E">
        <w:rPr>
          <w:rFonts w:ascii="Times New Roman" w:hAnsi="Times New Roman"/>
          <w:i/>
        </w:rPr>
        <w:t>Zbornik Pravnog fakulteta u Splitu</w:t>
      </w:r>
      <w:r w:rsidRPr="005A7A8E">
        <w:rPr>
          <w:rFonts w:ascii="Times New Roman" w:hAnsi="Times New Roman"/>
        </w:rPr>
        <w:t>, 49(3), 633-661</w:t>
      </w:r>
    </w:p>
    <w:p w:rsidR="005A7A8E" w:rsidRPr="005A7A8E" w:rsidRDefault="005A7A8E" w:rsidP="00E377E6">
      <w:pPr>
        <w:spacing w:line="480" w:lineRule="auto"/>
        <w:ind w:left="993" w:hanging="993"/>
        <w:jc w:val="left"/>
        <w:rPr>
          <w:rFonts w:ascii="Times New Roman" w:hAnsi="Times New Roman"/>
        </w:rPr>
      </w:pPr>
      <w:proofErr w:type="spellStart"/>
      <w:r w:rsidRPr="005A7A8E">
        <w:rPr>
          <w:rFonts w:ascii="Times New Roman" w:hAnsi="Times New Roman"/>
        </w:rPr>
        <w:t>Vychodil</w:t>
      </w:r>
      <w:proofErr w:type="spellEnd"/>
      <w:r w:rsidRPr="005A7A8E">
        <w:rPr>
          <w:rFonts w:ascii="Times New Roman" w:hAnsi="Times New Roman"/>
        </w:rPr>
        <w:t xml:space="preserve"> O., </w:t>
      </w:r>
      <w:proofErr w:type="spellStart"/>
      <w:r w:rsidRPr="005A7A8E">
        <w:rPr>
          <w:rFonts w:ascii="Times New Roman" w:hAnsi="Times New Roman"/>
        </w:rPr>
        <w:t>Knot</w:t>
      </w:r>
      <w:proofErr w:type="spellEnd"/>
      <w:r w:rsidRPr="005A7A8E">
        <w:rPr>
          <w:rFonts w:ascii="Times New Roman" w:hAnsi="Times New Roman"/>
        </w:rPr>
        <w:t xml:space="preserve"> O. (2004). </w:t>
      </w:r>
      <w:proofErr w:type="spellStart"/>
      <w:r w:rsidRPr="005A7A8E">
        <w:rPr>
          <w:rFonts w:ascii="Times New Roman" w:hAnsi="Times New Roman"/>
        </w:rPr>
        <w:t>What</w:t>
      </w:r>
      <w:proofErr w:type="spellEnd"/>
      <w:r w:rsidRPr="005A7A8E">
        <w:rPr>
          <w:rFonts w:ascii="Times New Roman" w:hAnsi="Times New Roman"/>
        </w:rPr>
        <w:t xml:space="preserve"> </w:t>
      </w:r>
      <w:proofErr w:type="spellStart"/>
      <w:r w:rsidRPr="005A7A8E">
        <w:rPr>
          <w:rFonts w:ascii="Times New Roman" w:hAnsi="Times New Roman"/>
        </w:rPr>
        <w:t>Drives</w:t>
      </w:r>
      <w:proofErr w:type="spellEnd"/>
      <w:r w:rsidRPr="005A7A8E">
        <w:rPr>
          <w:rFonts w:ascii="Times New Roman" w:hAnsi="Times New Roman"/>
        </w:rPr>
        <w:t xml:space="preserve"> </w:t>
      </w:r>
      <w:proofErr w:type="spellStart"/>
      <w:r w:rsidRPr="005A7A8E">
        <w:rPr>
          <w:rFonts w:ascii="Times New Roman" w:hAnsi="Times New Roman"/>
        </w:rPr>
        <w:t>the</w:t>
      </w:r>
      <w:proofErr w:type="spellEnd"/>
      <w:r w:rsidRPr="005A7A8E">
        <w:rPr>
          <w:rFonts w:ascii="Times New Roman" w:hAnsi="Times New Roman"/>
        </w:rPr>
        <w:t xml:space="preserve"> </w:t>
      </w:r>
      <w:proofErr w:type="spellStart"/>
      <w:r w:rsidRPr="005A7A8E">
        <w:rPr>
          <w:rFonts w:ascii="Times New Roman" w:hAnsi="Times New Roman"/>
        </w:rPr>
        <w:t>Optimal</w:t>
      </w:r>
      <w:proofErr w:type="spellEnd"/>
      <w:r w:rsidRPr="005A7A8E">
        <w:rPr>
          <w:rFonts w:ascii="Times New Roman" w:hAnsi="Times New Roman"/>
        </w:rPr>
        <w:t xml:space="preserve"> </w:t>
      </w:r>
      <w:proofErr w:type="spellStart"/>
      <w:r w:rsidRPr="005A7A8E">
        <w:rPr>
          <w:rFonts w:ascii="Times New Roman" w:hAnsi="Times New Roman"/>
        </w:rPr>
        <w:t>Bankruptcy</w:t>
      </w:r>
      <w:proofErr w:type="spellEnd"/>
      <w:r w:rsidRPr="005A7A8E">
        <w:rPr>
          <w:rFonts w:ascii="Times New Roman" w:hAnsi="Times New Roman"/>
        </w:rPr>
        <w:t xml:space="preserve"> </w:t>
      </w:r>
      <w:proofErr w:type="spellStart"/>
      <w:r w:rsidRPr="005A7A8E">
        <w:rPr>
          <w:rFonts w:ascii="Times New Roman" w:hAnsi="Times New Roman"/>
        </w:rPr>
        <w:t>Law</w:t>
      </w:r>
      <w:proofErr w:type="spellEnd"/>
      <w:r w:rsidRPr="005A7A8E">
        <w:rPr>
          <w:rFonts w:ascii="Times New Roman" w:hAnsi="Times New Roman"/>
        </w:rPr>
        <w:t xml:space="preserve"> </w:t>
      </w:r>
      <w:proofErr w:type="spellStart"/>
      <w:r w:rsidRPr="005A7A8E">
        <w:rPr>
          <w:rFonts w:ascii="Times New Roman" w:hAnsi="Times New Roman"/>
        </w:rPr>
        <w:t>Design</w:t>
      </w:r>
      <w:proofErr w:type="spellEnd"/>
      <w:r w:rsidRPr="005A7A8E">
        <w:rPr>
          <w:rFonts w:ascii="Times New Roman" w:hAnsi="Times New Roman"/>
        </w:rPr>
        <w:t xml:space="preserve">?. </w:t>
      </w:r>
      <w:proofErr w:type="spellStart"/>
      <w:r w:rsidRPr="005A7A8E">
        <w:rPr>
          <w:rFonts w:ascii="Times New Roman" w:hAnsi="Times New Roman"/>
          <w:i/>
        </w:rPr>
        <w:t>Working</w:t>
      </w:r>
      <w:proofErr w:type="spellEnd"/>
      <w:r w:rsidRPr="005A7A8E">
        <w:rPr>
          <w:rFonts w:ascii="Times New Roman" w:hAnsi="Times New Roman"/>
          <w:i/>
        </w:rPr>
        <w:t xml:space="preserve"> </w:t>
      </w:r>
      <w:proofErr w:type="spellStart"/>
      <w:r w:rsidRPr="005A7A8E">
        <w:rPr>
          <w:rFonts w:ascii="Times New Roman" w:hAnsi="Times New Roman"/>
          <w:i/>
        </w:rPr>
        <w:t>Papers</w:t>
      </w:r>
      <w:proofErr w:type="spellEnd"/>
      <w:r w:rsidRPr="005A7A8E">
        <w:rPr>
          <w:rFonts w:ascii="Times New Roman" w:hAnsi="Times New Roman"/>
          <w:i/>
        </w:rPr>
        <w:t xml:space="preserve"> </w:t>
      </w:r>
      <w:proofErr w:type="spellStart"/>
      <w:r w:rsidRPr="005A7A8E">
        <w:rPr>
          <w:rFonts w:ascii="Times New Roman" w:hAnsi="Times New Roman"/>
          <w:i/>
        </w:rPr>
        <w:t>IES</w:t>
      </w:r>
      <w:proofErr w:type="spellEnd"/>
      <w:r w:rsidRPr="005A7A8E">
        <w:rPr>
          <w:rFonts w:ascii="Times New Roman" w:hAnsi="Times New Roman"/>
          <w:i/>
        </w:rPr>
        <w:t xml:space="preserve"> 62</w:t>
      </w:r>
      <w:r w:rsidRPr="005A7A8E">
        <w:rPr>
          <w:rFonts w:ascii="Times New Roman" w:hAnsi="Times New Roman"/>
        </w:rPr>
        <w:t xml:space="preserve">. Charles </w:t>
      </w:r>
      <w:proofErr w:type="spellStart"/>
      <w:r w:rsidRPr="005A7A8E">
        <w:rPr>
          <w:rFonts w:ascii="Times New Roman" w:hAnsi="Times New Roman"/>
        </w:rPr>
        <w:t>University</w:t>
      </w:r>
      <w:proofErr w:type="spellEnd"/>
      <w:r w:rsidRPr="005A7A8E">
        <w:rPr>
          <w:rFonts w:ascii="Times New Roman" w:hAnsi="Times New Roman"/>
        </w:rPr>
        <w:t xml:space="preserve"> </w:t>
      </w:r>
      <w:proofErr w:type="spellStart"/>
      <w:r w:rsidRPr="005A7A8E">
        <w:rPr>
          <w:rFonts w:ascii="Times New Roman" w:hAnsi="Times New Roman"/>
        </w:rPr>
        <w:t>Prague</w:t>
      </w:r>
      <w:proofErr w:type="spellEnd"/>
      <w:r w:rsidRPr="005A7A8E">
        <w:rPr>
          <w:rFonts w:ascii="Times New Roman" w:hAnsi="Times New Roman"/>
        </w:rPr>
        <w:t xml:space="preserve">, </w:t>
      </w:r>
      <w:proofErr w:type="spellStart"/>
      <w:r w:rsidRPr="005A7A8E">
        <w:rPr>
          <w:rFonts w:ascii="Times New Roman" w:hAnsi="Times New Roman"/>
        </w:rPr>
        <w:t>Faculty</w:t>
      </w:r>
      <w:proofErr w:type="spellEnd"/>
      <w:r w:rsidRPr="005A7A8E">
        <w:rPr>
          <w:rFonts w:ascii="Times New Roman" w:hAnsi="Times New Roman"/>
        </w:rPr>
        <w:t xml:space="preserve"> </w:t>
      </w:r>
      <w:proofErr w:type="spellStart"/>
      <w:r w:rsidRPr="005A7A8E">
        <w:rPr>
          <w:rFonts w:ascii="Times New Roman" w:hAnsi="Times New Roman"/>
        </w:rPr>
        <w:t>of</w:t>
      </w:r>
      <w:proofErr w:type="spellEnd"/>
      <w:r w:rsidRPr="005A7A8E">
        <w:rPr>
          <w:rFonts w:ascii="Times New Roman" w:hAnsi="Times New Roman"/>
        </w:rPr>
        <w:t xml:space="preserve"> </w:t>
      </w:r>
      <w:proofErr w:type="spellStart"/>
      <w:r w:rsidRPr="005A7A8E">
        <w:rPr>
          <w:rFonts w:ascii="Times New Roman" w:hAnsi="Times New Roman"/>
        </w:rPr>
        <w:t>Social</w:t>
      </w:r>
      <w:proofErr w:type="spellEnd"/>
      <w:r w:rsidRPr="005A7A8E">
        <w:rPr>
          <w:rFonts w:ascii="Times New Roman" w:hAnsi="Times New Roman"/>
        </w:rPr>
        <w:t xml:space="preserve"> </w:t>
      </w:r>
      <w:proofErr w:type="spellStart"/>
      <w:r w:rsidRPr="005A7A8E">
        <w:rPr>
          <w:rFonts w:ascii="Times New Roman" w:hAnsi="Times New Roman"/>
        </w:rPr>
        <w:t>Sciences</w:t>
      </w:r>
      <w:proofErr w:type="spellEnd"/>
      <w:r w:rsidRPr="005A7A8E">
        <w:rPr>
          <w:rFonts w:ascii="Times New Roman" w:hAnsi="Times New Roman"/>
        </w:rPr>
        <w:t xml:space="preserve">, Institute </w:t>
      </w:r>
      <w:proofErr w:type="spellStart"/>
      <w:r w:rsidRPr="005A7A8E">
        <w:rPr>
          <w:rFonts w:ascii="Times New Roman" w:hAnsi="Times New Roman"/>
        </w:rPr>
        <w:t>of</w:t>
      </w:r>
      <w:proofErr w:type="spellEnd"/>
      <w:r w:rsidRPr="005A7A8E">
        <w:rPr>
          <w:rFonts w:ascii="Times New Roman" w:hAnsi="Times New Roman"/>
        </w:rPr>
        <w:t xml:space="preserve"> </w:t>
      </w:r>
      <w:proofErr w:type="spellStart"/>
      <w:r w:rsidRPr="005A7A8E">
        <w:rPr>
          <w:rFonts w:ascii="Times New Roman" w:hAnsi="Times New Roman"/>
        </w:rPr>
        <w:t>Economic</w:t>
      </w:r>
      <w:proofErr w:type="spellEnd"/>
      <w:r w:rsidRPr="005A7A8E">
        <w:rPr>
          <w:rFonts w:ascii="Times New Roman" w:hAnsi="Times New Roman"/>
        </w:rPr>
        <w:t xml:space="preserve"> </w:t>
      </w:r>
      <w:proofErr w:type="spellStart"/>
      <w:r w:rsidRPr="005A7A8E">
        <w:rPr>
          <w:rFonts w:ascii="Times New Roman" w:hAnsi="Times New Roman"/>
        </w:rPr>
        <w:t>Studies</w:t>
      </w:r>
      <w:proofErr w:type="spellEnd"/>
      <w:r w:rsidRPr="005A7A8E">
        <w:rPr>
          <w:rFonts w:ascii="Times New Roman" w:hAnsi="Times New Roman"/>
        </w:rPr>
        <w:t>. Dostupno na http://ideas.repec.org/p/fau/wpaper/wp062.html (pristupljeno 8.3.2014.)</w:t>
      </w:r>
    </w:p>
    <w:p w:rsidR="005A7A8E" w:rsidRPr="005A7A8E" w:rsidRDefault="005A7A8E" w:rsidP="00E377E6">
      <w:pPr>
        <w:spacing w:line="480" w:lineRule="auto"/>
        <w:ind w:left="993" w:hanging="993"/>
        <w:jc w:val="left"/>
        <w:rPr>
          <w:rFonts w:ascii="Times New Roman" w:hAnsi="Times New Roman"/>
        </w:rPr>
      </w:pPr>
      <w:r w:rsidRPr="005A7A8E">
        <w:rPr>
          <w:rFonts w:ascii="Times New Roman" w:hAnsi="Times New Roman"/>
        </w:rPr>
        <w:t xml:space="preserve">White, M. (2005). </w:t>
      </w:r>
      <w:proofErr w:type="spellStart"/>
      <w:r w:rsidRPr="005A7A8E">
        <w:rPr>
          <w:rFonts w:ascii="Times New Roman" w:hAnsi="Times New Roman"/>
        </w:rPr>
        <w:t>Economic</w:t>
      </w:r>
      <w:proofErr w:type="spellEnd"/>
      <w:r w:rsidRPr="005A7A8E">
        <w:rPr>
          <w:rFonts w:ascii="Times New Roman" w:hAnsi="Times New Roman"/>
        </w:rPr>
        <w:t xml:space="preserve"> </w:t>
      </w:r>
      <w:proofErr w:type="spellStart"/>
      <w:r w:rsidRPr="005A7A8E">
        <w:rPr>
          <w:rFonts w:ascii="Times New Roman" w:hAnsi="Times New Roman"/>
        </w:rPr>
        <w:t>Analysis</w:t>
      </w:r>
      <w:proofErr w:type="spellEnd"/>
      <w:r w:rsidRPr="005A7A8E">
        <w:rPr>
          <w:rFonts w:ascii="Times New Roman" w:hAnsi="Times New Roman"/>
        </w:rPr>
        <w:t xml:space="preserve"> </w:t>
      </w:r>
      <w:proofErr w:type="spellStart"/>
      <w:r w:rsidRPr="005A7A8E">
        <w:rPr>
          <w:rFonts w:ascii="Times New Roman" w:hAnsi="Times New Roman"/>
        </w:rPr>
        <w:t>of</w:t>
      </w:r>
      <w:proofErr w:type="spellEnd"/>
      <w:r w:rsidRPr="005A7A8E">
        <w:rPr>
          <w:rFonts w:ascii="Times New Roman" w:hAnsi="Times New Roman"/>
        </w:rPr>
        <w:t xml:space="preserve"> </w:t>
      </w:r>
      <w:proofErr w:type="spellStart"/>
      <w:r w:rsidRPr="005A7A8E">
        <w:rPr>
          <w:rFonts w:ascii="Times New Roman" w:hAnsi="Times New Roman"/>
        </w:rPr>
        <w:t>Corporate</w:t>
      </w:r>
      <w:proofErr w:type="spellEnd"/>
      <w:r w:rsidRPr="005A7A8E">
        <w:rPr>
          <w:rFonts w:ascii="Times New Roman" w:hAnsi="Times New Roman"/>
        </w:rPr>
        <w:t xml:space="preserve"> </w:t>
      </w:r>
      <w:proofErr w:type="spellStart"/>
      <w:r w:rsidRPr="005A7A8E">
        <w:rPr>
          <w:rFonts w:ascii="Times New Roman" w:hAnsi="Times New Roman"/>
        </w:rPr>
        <w:t>and</w:t>
      </w:r>
      <w:proofErr w:type="spellEnd"/>
      <w:r w:rsidRPr="005A7A8E">
        <w:rPr>
          <w:rFonts w:ascii="Times New Roman" w:hAnsi="Times New Roman"/>
        </w:rPr>
        <w:t xml:space="preserve"> Personal </w:t>
      </w:r>
      <w:proofErr w:type="spellStart"/>
      <w:r w:rsidRPr="005A7A8E">
        <w:rPr>
          <w:rFonts w:ascii="Times New Roman" w:hAnsi="Times New Roman"/>
        </w:rPr>
        <w:t>Bankruptcy</w:t>
      </w:r>
      <w:proofErr w:type="spellEnd"/>
      <w:r w:rsidRPr="005A7A8E">
        <w:rPr>
          <w:rFonts w:ascii="Times New Roman" w:hAnsi="Times New Roman"/>
        </w:rPr>
        <w:t xml:space="preserve"> </w:t>
      </w:r>
      <w:proofErr w:type="spellStart"/>
      <w:r w:rsidRPr="005A7A8E">
        <w:rPr>
          <w:rFonts w:ascii="Times New Roman" w:hAnsi="Times New Roman"/>
        </w:rPr>
        <w:t>Law</w:t>
      </w:r>
      <w:proofErr w:type="spellEnd"/>
      <w:r w:rsidRPr="005A7A8E">
        <w:rPr>
          <w:rFonts w:ascii="Times New Roman" w:hAnsi="Times New Roman"/>
        </w:rPr>
        <w:t xml:space="preserve">. </w:t>
      </w:r>
      <w:r w:rsidRPr="005A7A8E">
        <w:rPr>
          <w:rFonts w:ascii="Times New Roman" w:hAnsi="Times New Roman"/>
          <w:i/>
        </w:rPr>
        <w:t xml:space="preserve">National </w:t>
      </w:r>
      <w:proofErr w:type="spellStart"/>
      <w:r w:rsidRPr="005A7A8E">
        <w:rPr>
          <w:rFonts w:ascii="Times New Roman" w:hAnsi="Times New Roman"/>
          <w:i/>
        </w:rPr>
        <w:t>Bureau</w:t>
      </w:r>
      <w:proofErr w:type="spellEnd"/>
      <w:r w:rsidRPr="005A7A8E">
        <w:rPr>
          <w:rFonts w:ascii="Times New Roman" w:hAnsi="Times New Roman"/>
          <w:i/>
        </w:rPr>
        <w:t xml:space="preserve"> </w:t>
      </w:r>
      <w:proofErr w:type="spellStart"/>
      <w:r w:rsidRPr="005A7A8E">
        <w:rPr>
          <w:rFonts w:ascii="Times New Roman" w:hAnsi="Times New Roman"/>
          <w:i/>
        </w:rPr>
        <w:t>Of</w:t>
      </w:r>
      <w:proofErr w:type="spellEnd"/>
      <w:r w:rsidRPr="005A7A8E">
        <w:rPr>
          <w:rFonts w:ascii="Times New Roman" w:hAnsi="Times New Roman"/>
          <w:i/>
        </w:rPr>
        <w:t xml:space="preserve"> </w:t>
      </w:r>
      <w:proofErr w:type="spellStart"/>
      <w:r w:rsidRPr="005A7A8E">
        <w:rPr>
          <w:rFonts w:ascii="Times New Roman" w:hAnsi="Times New Roman"/>
          <w:i/>
        </w:rPr>
        <w:t>Economic</w:t>
      </w:r>
      <w:proofErr w:type="spellEnd"/>
      <w:r w:rsidRPr="005A7A8E">
        <w:rPr>
          <w:rFonts w:ascii="Times New Roman" w:hAnsi="Times New Roman"/>
          <w:i/>
        </w:rPr>
        <w:t xml:space="preserve"> </w:t>
      </w:r>
      <w:proofErr w:type="spellStart"/>
      <w:r w:rsidRPr="005A7A8E">
        <w:rPr>
          <w:rFonts w:ascii="Times New Roman" w:hAnsi="Times New Roman"/>
          <w:i/>
        </w:rPr>
        <w:t>Research</w:t>
      </w:r>
      <w:proofErr w:type="spellEnd"/>
      <w:r w:rsidRPr="005A7A8E">
        <w:rPr>
          <w:rFonts w:ascii="Times New Roman" w:hAnsi="Times New Roman"/>
          <w:i/>
        </w:rPr>
        <w:t xml:space="preserve">, </w:t>
      </w:r>
      <w:proofErr w:type="spellStart"/>
      <w:r w:rsidRPr="005A7A8E">
        <w:rPr>
          <w:rFonts w:ascii="Times New Roman" w:hAnsi="Times New Roman"/>
          <w:i/>
        </w:rPr>
        <w:t>Working</w:t>
      </w:r>
      <w:proofErr w:type="spellEnd"/>
      <w:r w:rsidRPr="005A7A8E">
        <w:rPr>
          <w:rFonts w:ascii="Times New Roman" w:hAnsi="Times New Roman"/>
          <w:i/>
        </w:rPr>
        <w:t xml:space="preserve"> </w:t>
      </w:r>
      <w:proofErr w:type="spellStart"/>
      <w:r w:rsidRPr="005A7A8E">
        <w:rPr>
          <w:rFonts w:ascii="Times New Roman" w:hAnsi="Times New Roman"/>
          <w:i/>
        </w:rPr>
        <w:t>Paper</w:t>
      </w:r>
      <w:proofErr w:type="spellEnd"/>
      <w:r w:rsidRPr="005A7A8E">
        <w:rPr>
          <w:rFonts w:ascii="Times New Roman" w:hAnsi="Times New Roman"/>
        </w:rPr>
        <w:t xml:space="preserve"> 11536. Dostupno na http://www.nber.org/papers/w11536 (pristupljeno 12.3.2014)</w:t>
      </w:r>
    </w:p>
    <w:p w:rsidR="005A7A8E" w:rsidRPr="005A7A8E" w:rsidRDefault="005A7A8E" w:rsidP="00E377E6">
      <w:pPr>
        <w:spacing w:line="480" w:lineRule="auto"/>
        <w:ind w:left="993" w:hanging="993"/>
        <w:jc w:val="left"/>
        <w:rPr>
          <w:rFonts w:ascii="Times New Roman" w:hAnsi="Times New Roman"/>
        </w:rPr>
      </w:pPr>
      <w:r w:rsidRPr="005A7A8E">
        <w:rPr>
          <w:rFonts w:ascii="Times New Roman" w:hAnsi="Times New Roman"/>
        </w:rPr>
        <w:t xml:space="preserve">Zakon o prisilnoj nagodbi, stečaju i likvidaciji, Službeni list SFRJ 84-1311/1989, Narodne novine </w:t>
      </w:r>
      <w:r w:rsidR="00EC5EDD">
        <w:rPr>
          <w:rFonts w:ascii="Times New Roman" w:hAnsi="Times New Roman"/>
        </w:rPr>
        <w:t xml:space="preserve">br. </w:t>
      </w:r>
      <w:r w:rsidRPr="005A7A8E">
        <w:rPr>
          <w:rFonts w:ascii="Times New Roman" w:hAnsi="Times New Roman"/>
        </w:rPr>
        <w:t>53/1991, 71/1991, 84/1992, 9/1994, 37/1994, 44/1996</w:t>
      </w:r>
    </w:p>
    <w:p w:rsidR="006C0D54" w:rsidRDefault="006C0D54" w:rsidP="00E377E6">
      <w:pPr>
        <w:spacing w:line="480" w:lineRule="auto"/>
        <w:ind w:firstLine="0"/>
        <w:jc w:val="center"/>
        <w:rPr>
          <w:rFonts w:ascii="Times New Roman" w:hAnsi="Times New Roman"/>
          <w:b/>
          <w:sz w:val="30"/>
          <w:szCs w:val="30"/>
          <w:lang w:val="en-GB"/>
        </w:rPr>
      </w:pPr>
      <w:r>
        <w:rPr>
          <w:rFonts w:ascii="Times New Roman" w:hAnsi="Times New Roman"/>
          <w:b/>
          <w:sz w:val="30"/>
          <w:szCs w:val="30"/>
          <w:lang w:val="en-GB"/>
        </w:rPr>
        <w:br w:type="page"/>
      </w:r>
    </w:p>
    <w:p w:rsidR="0025596B" w:rsidRPr="0025596B" w:rsidRDefault="0025596B" w:rsidP="00E377E6">
      <w:pPr>
        <w:spacing w:line="480" w:lineRule="auto"/>
        <w:ind w:firstLine="0"/>
        <w:jc w:val="center"/>
        <w:rPr>
          <w:rFonts w:ascii="Times New Roman" w:hAnsi="Times New Roman"/>
          <w:b/>
          <w:sz w:val="30"/>
          <w:szCs w:val="30"/>
          <w:lang w:val="en-GB"/>
        </w:rPr>
      </w:pPr>
      <w:r w:rsidRPr="0025596B">
        <w:rPr>
          <w:rFonts w:ascii="Times New Roman" w:hAnsi="Times New Roman"/>
          <w:b/>
          <w:sz w:val="30"/>
          <w:szCs w:val="30"/>
          <w:lang w:val="en-GB"/>
        </w:rPr>
        <w:lastRenderedPageBreak/>
        <w:t xml:space="preserve">Bankruptcy: </w:t>
      </w:r>
      <w:r w:rsidR="00E377E6">
        <w:rPr>
          <w:rFonts w:ascii="Times New Roman" w:hAnsi="Times New Roman"/>
          <w:b/>
          <w:sz w:val="30"/>
          <w:szCs w:val="30"/>
          <w:lang w:val="en-GB"/>
        </w:rPr>
        <w:t>framework</w:t>
      </w:r>
      <w:r w:rsidRPr="0025596B">
        <w:rPr>
          <w:rFonts w:ascii="Times New Roman" w:hAnsi="Times New Roman"/>
          <w:b/>
          <w:sz w:val="30"/>
          <w:szCs w:val="30"/>
          <w:lang w:val="en-GB"/>
        </w:rPr>
        <w:t xml:space="preserve"> </w:t>
      </w:r>
      <w:r>
        <w:rPr>
          <w:rFonts w:ascii="Times New Roman" w:hAnsi="Times New Roman"/>
          <w:b/>
          <w:sz w:val="30"/>
          <w:szCs w:val="30"/>
          <w:lang w:val="en-GB"/>
        </w:rPr>
        <w:t xml:space="preserve">for </w:t>
      </w:r>
      <w:r w:rsidR="00343030">
        <w:rPr>
          <w:rFonts w:ascii="Times New Roman" w:hAnsi="Times New Roman"/>
          <w:b/>
          <w:sz w:val="30"/>
          <w:szCs w:val="30"/>
          <w:lang w:val="en-GB"/>
        </w:rPr>
        <w:t>fraud</w:t>
      </w:r>
      <w:proofErr w:type="gramStart"/>
      <w:r w:rsidR="00E17268">
        <w:rPr>
          <w:rFonts w:ascii="Times New Roman" w:hAnsi="Times New Roman"/>
          <w:b/>
          <w:sz w:val="30"/>
          <w:szCs w:val="30"/>
          <w:lang w:val="en-GB"/>
        </w:rPr>
        <w:t>,</w:t>
      </w:r>
      <w:proofErr w:type="gramEnd"/>
      <w:r w:rsidR="00E17268">
        <w:rPr>
          <w:rFonts w:ascii="Times New Roman" w:hAnsi="Times New Roman"/>
          <w:b/>
          <w:sz w:val="30"/>
          <w:szCs w:val="30"/>
          <w:lang w:val="en-GB"/>
        </w:rPr>
        <w:br/>
      </w:r>
      <w:r>
        <w:rPr>
          <w:rFonts w:ascii="Times New Roman" w:hAnsi="Times New Roman"/>
          <w:b/>
          <w:sz w:val="30"/>
          <w:szCs w:val="30"/>
          <w:lang w:val="en-GB"/>
        </w:rPr>
        <w:t xml:space="preserve">or for creditor settlements and trust rehabilitation? </w:t>
      </w:r>
    </w:p>
    <w:p w:rsidR="00F00FB6" w:rsidRDefault="00F00FB6" w:rsidP="00E377E6">
      <w:pPr>
        <w:spacing w:line="480" w:lineRule="auto"/>
        <w:ind w:firstLine="0"/>
        <w:rPr>
          <w:rFonts w:ascii="Times New Roman" w:hAnsi="Times New Roman"/>
          <w:b/>
          <w:lang w:val="en-GB"/>
        </w:rPr>
      </w:pPr>
    </w:p>
    <w:p w:rsidR="0025596B" w:rsidRPr="0025596B" w:rsidRDefault="0025596B" w:rsidP="00E377E6">
      <w:pPr>
        <w:spacing w:line="480" w:lineRule="auto"/>
        <w:ind w:firstLine="0"/>
        <w:rPr>
          <w:rFonts w:ascii="Times New Roman" w:hAnsi="Times New Roman"/>
          <w:b/>
          <w:lang w:val="en-GB"/>
        </w:rPr>
      </w:pPr>
      <w:r>
        <w:rPr>
          <w:rFonts w:ascii="Times New Roman" w:hAnsi="Times New Roman"/>
          <w:b/>
          <w:lang w:val="en-GB"/>
        </w:rPr>
        <w:t>Abstract</w:t>
      </w:r>
    </w:p>
    <w:p w:rsidR="00FF226C" w:rsidRDefault="00D32ED5" w:rsidP="00E377E6">
      <w:pPr>
        <w:spacing w:line="480" w:lineRule="auto"/>
        <w:ind w:firstLine="0"/>
        <w:rPr>
          <w:rFonts w:ascii="Times New Roman" w:hAnsi="Times New Roman"/>
          <w:lang w:val="en-GB"/>
        </w:rPr>
      </w:pPr>
      <w:r>
        <w:rPr>
          <w:rFonts w:ascii="Times New Roman" w:hAnsi="Times New Roman"/>
          <w:lang w:val="en-GB"/>
        </w:rPr>
        <w:t>The aim of this paper is to draw attention to practical problems in bankruptcy procedures in Croatia by displaying results of the field research of closed bankruptcy cases</w:t>
      </w:r>
      <w:r w:rsidR="00E6524E">
        <w:rPr>
          <w:rFonts w:ascii="Times New Roman" w:hAnsi="Times New Roman"/>
          <w:lang w:val="en-GB"/>
        </w:rPr>
        <w:t>,</w:t>
      </w:r>
      <w:r>
        <w:rPr>
          <w:rFonts w:ascii="Times New Roman" w:hAnsi="Times New Roman"/>
          <w:lang w:val="en-GB"/>
        </w:rPr>
        <w:t xml:space="preserve"> to eliminate deep-rooted shortcomings of the bankruptcy system, and to improve fulfilment of bankruptcy purposes. The research was performed on a sample of 30 bankruptcy cases of larger public liability companies in Eastern Croatia, and was carried out at the Commercial Court in Osijek, State Archive in Osijek, State Archive in </w:t>
      </w:r>
      <w:proofErr w:type="spellStart"/>
      <w:r>
        <w:rPr>
          <w:rFonts w:ascii="Times New Roman" w:hAnsi="Times New Roman"/>
          <w:lang w:val="en-GB"/>
        </w:rPr>
        <w:t>Vukovar</w:t>
      </w:r>
      <w:proofErr w:type="spellEnd"/>
      <w:r>
        <w:rPr>
          <w:rFonts w:ascii="Times New Roman" w:hAnsi="Times New Roman"/>
          <w:lang w:val="en-GB"/>
        </w:rPr>
        <w:t xml:space="preserve"> (subsidiary in </w:t>
      </w:r>
      <w:proofErr w:type="spellStart"/>
      <w:r>
        <w:rPr>
          <w:rFonts w:ascii="Times New Roman" w:hAnsi="Times New Roman"/>
          <w:lang w:val="en-GB"/>
        </w:rPr>
        <w:t>Vinkovci</w:t>
      </w:r>
      <w:proofErr w:type="spellEnd"/>
      <w:r>
        <w:rPr>
          <w:rFonts w:ascii="Times New Roman" w:hAnsi="Times New Roman"/>
          <w:lang w:val="en-GB"/>
        </w:rPr>
        <w:t>), and at the Financial Agency. The results exhibit average quantitative indicators of duration of bankruptcy procedures, proportions of creditor settlements, and remuneration of insolvency practitioners. The results show that events which are not in line with the purposes of bankruptcy happen frequently. Insolvency practitioners often do not keep business books in order and have the ability to embed unclear expenditures as costs of the bankruptcy procedure. It is not unusual to observe elusion and manipulation of creditors’ intentions. It is therefore necessary to improve transparency of bankruptcy procedures for the benefit of better settlements o</w:t>
      </w:r>
      <w:r w:rsidR="00F00FB6">
        <w:rPr>
          <w:rFonts w:ascii="Times New Roman" w:hAnsi="Times New Roman"/>
          <w:lang w:val="en-GB"/>
        </w:rPr>
        <w:t xml:space="preserve">f creditors, and for increasing </w:t>
      </w:r>
      <w:r>
        <w:rPr>
          <w:rFonts w:ascii="Times New Roman" w:hAnsi="Times New Roman"/>
          <w:lang w:val="en-GB"/>
        </w:rPr>
        <w:t>debtor restructuring opportunities.</w:t>
      </w:r>
    </w:p>
    <w:p w:rsidR="0025596B" w:rsidRPr="0025596B" w:rsidRDefault="00FF226C" w:rsidP="00E377E6">
      <w:pPr>
        <w:spacing w:line="480" w:lineRule="auto"/>
        <w:ind w:firstLine="0"/>
        <w:rPr>
          <w:rFonts w:ascii="Times New Roman" w:hAnsi="Times New Roman"/>
          <w:lang w:val="en-GB"/>
        </w:rPr>
      </w:pPr>
      <w:r>
        <w:rPr>
          <w:rFonts w:ascii="Times New Roman" w:hAnsi="Times New Roman"/>
          <w:b/>
          <w:lang w:val="en-GB"/>
        </w:rPr>
        <w:t>Keywords</w:t>
      </w:r>
      <w:r w:rsidR="0025596B" w:rsidRPr="0025596B">
        <w:rPr>
          <w:rFonts w:ascii="Times New Roman" w:hAnsi="Times New Roman"/>
          <w:lang w:val="en-GB"/>
        </w:rPr>
        <w:t>:</w:t>
      </w:r>
      <w:r w:rsidR="0025596B" w:rsidRPr="0025596B">
        <w:rPr>
          <w:rFonts w:ascii="Times New Roman" w:hAnsi="Times New Roman"/>
          <w:lang w:val="en-GB"/>
        </w:rPr>
        <w:tab/>
      </w:r>
      <w:r>
        <w:rPr>
          <w:rFonts w:ascii="Times New Roman" w:hAnsi="Times New Roman"/>
          <w:lang w:val="en-GB"/>
        </w:rPr>
        <w:t>bankruptcy, insolvency practitioner</w:t>
      </w:r>
      <w:r w:rsidR="0025596B" w:rsidRPr="0025596B">
        <w:rPr>
          <w:rFonts w:ascii="Times New Roman" w:hAnsi="Times New Roman"/>
          <w:lang w:val="en-GB"/>
        </w:rPr>
        <w:t xml:space="preserve">, </w:t>
      </w:r>
      <w:r>
        <w:rPr>
          <w:rFonts w:ascii="Times New Roman" w:hAnsi="Times New Roman"/>
          <w:lang w:val="en-GB"/>
        </w:rPr>
        <w:t xml:space="preserve">creditors, trust, </w:t>
      </w:r>
      <w:r w:rsidR="006C0D54">
        <w:rPr>
          <w:rFonts w:ascii="Times New Roman" w:hAnsi="Times New Roman"/>
          <w:lang w:val="en-GB"/>
        </w:rPr>
        <w:t>fraud</w:t>
      </w:r>
    </w:p>
    <w:p w:rsidR="00CF3882" w:rsidRPr="0025596B" w:rsidRDefault="0025596B" w:rsidP="00E377E6">
      <w:pPr>
        <w:spacing w:line="480" w:lineRule="auto"/>
        <w:ind w:firstLine="0"/>
        <w:rPr>
          <w:rFonts w:ascii="Times New Roman" w:hAnsi="Times New Roman"/>
          <w:lang w:val="en-GB"/>
        </w:rPr>
      </w:pPr>
      <w:r w:rsidRPr="0025596B">
        <w:rPr>
          <w:rFonts w:ascii="Times New Roman" w:hAnsi="Times New Roman"/>
          <w:b/>
          <w:lang w:val="en-GB"/>
        </w:rPr>
        <w:t xml:space="preserve">JEL </w:t>
      </w:r>
      <w:r w:rsidR="00FF226C">
        <w:rPr>
          <w:rFonts w:ascii="Times New Roman" w:hAnsi="Times New Roman"/>
          <w:b/>
          <w:lang w:val="en-GB"/>
        </w:rPr>
        <w:t>classification</w:t>
      </w:r>
      <w:r w:rsidRPr="0025596B">
        <w:rPr>
          <w:rFonts w:ascii="Times New Roman" w:hAnsi="Times New Roman"/>
          <w:lang w:val="en-GB"/>
        </w:rPr>
        <w:t xml:space="preserve">: </w:t>
      </w:r>
      <w:r w:rsidRPr="0025596B">
        <w:rPr>
          <w:rFonts w:ascii="Times New Roman" w:hAnsi="Times New Roman"/>
          <w:lang w:val="en-GB"/>
        </w:rPr>
        <w:tab/>
        <w:t>G33, D73, K22, K42</w:t>
      </w:r>
    </w:p>
    <w:sectPr w:rsidR="00CF3882" w:rsidRPr="0025596B" w:rsidSect="003D18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39" w:rsidRDefault="00075639" w:rsidP="00463A27">
      <w:pPr>
        <w:spacing w:after="0" w:line="240" w:lineRule="auto"/>
      </w:pPr>
      <w:r>
        <w:separator/>
      </w:r>
    </w:p>
  </w:endnote>
  <w:endnote w:type="continuationSeparator" w:id="0">
    <w:p w:rsidR="00075639" w:rsidRDefault="00075639" w:rsidP="0046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01" w:rsidRDefault="00B96481" w:rsidP="00330801">
    <w:pPr>
      <w:pStyle w:val="Footer"/>
      <w:ind w:firstLine="0"/>
      <w:jc w:val="center"/>
    </w:pPr>
    <w:r>
      <w:fldChar w:fldCharType="begin"/>
    </w:r>
    <w:r w:rsidR="00330801">
      <w:instrText>PAGE   \* MERGEFORMAT</w:instrText>
    </w:r>
    <w:r>
      <w:fldChar w:fldCharType="separate"/>
    </w:r>
    <w:r w:rsidR="00D37A0C">
      <w:rPr>
        <w:noProof/>
      </w:rPr>
      <w:t>24</w:t>
    </w:r>
    <w:r>
      <w:fldChar w:fldCharType="end"/>
    </w:r>
  </w:p>
  <w:p w:rsidR="00330801" w:rsidRDefault="00330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39" w:rsidRDefault="00075639" w:rsidP="00463A27">
      <w:pPr>
        <w:spacing w:after="0" w:line="240" w:lineRule="auto"/>
      </w:pPr>
      <w:r>
        <w:separator/>
      </w:r>
    </w:p>
  </w:footnote>
  <w:footnote w:type="continuationSeparator" w:id="0">
    <w:p w:rsidR="00075639" w:rsidRDefault="00075639" w:rsidP="00463A27">
      <w:pPr>
        <w:spacing w:after="0" w:line="240" w:lineRule="auto"/>
      </w:pPr>
      <w:r>
        <w:continuationSeparator/>
      </w:r>
    </w:p>
  </w:footnote>
  <w:footnote w:id="1">
    <w:p w:rsidR="00B96481" w:rsidRDefault="00330801" w:rsidP="001F0DF1">
      <w:pPr>
        <w:pStyle w:val="FootnoteText"/>
        <w:spacing w:line="360" w:lineRule="auto"/>
        <w:jc w:val="both"/>
      </w:pPr>
      <w:r>
        <w:rPr>
          <w:rStyle w:val="FootnoteReference"/>
        </w:rPr>
        <w:footnoteRef/>
      </w:r>
      <w:r>
        <w:t xml:space="preserve"> Ovaj </w:t>
      </w:r>
      <w:r w:rsidR="00FD1DE8">
        <w:t xml:space="preserve">je </w:t>
      </w:r>
      <w:r>
        <w:t>rad produkt istraživanja u sklopu znanstveno-istraživačkog projekta pod naslovom „Obrada arhiva stečajnih predmeta“ koje je financiralo Sveučilišt</w:t>
      </w:r>
      <w:r w:rsidR="00C5758A">
        <w:t>e J. J. Strossmayera u Osijeku.</w:t>
      </w:r>
    </w:p>
    <w:p w:rsidR="00B96481" w:rsidRDefault="00330801" w:rsidP="001F0DF1">
      <w:pPr>
        <w:pStyle w:val="FootnoteText"/>
        <w:spacing w:line="360" w:lineRule="auto"/>
        <w:jc w:val="both"/>
      </w:pPr>
      <w:r>
        <w:t>Autor zahvaljuje recenzentima na korisnim sugestijama i komentarima.</w:t>
      </w:r>
    </w:p>
  </w:footnote>
  <w:footnote w:id="2">
    <w:p w:rsidR="00B96481" w:rsidRDefault="00330801" w:rsidP="001F0DF1">
      <w:pPr>
        <w:pStyle w:val="FootnoteText"/>
        <w:spacing w:line="360" w:lineRule="auto"/>
        <w:jc w:val="both"/>
      </w:pPr>
      <w:r>
        <w:rPr>
          <w:rStyle w:val="FootnoteReference"/>
        </w:rPr>
        <w:footnoteRef/>
      </w:r>
      <w:r>
        <w:t xml:space="preserve"> Štoviše, u vjerojatno najrazvijenijoj i najpropulzivnijoj regiji svijeta, Silicijskoj dolini, neuspjeh ne samo da je iznimno važan element procesa razvoja i rasta, već je gotovo poželjna pojava. Podrazumijeva se da se kroz neuspjeh filtriraju samo održivi, najbolji projekti te da mnogi "gubitnici" kroz neuspjeh nauče mnogo i o sebi i o poslovnom okruženju što ih osnažuje pri pokretanju novoga posla (</w:t>
      </w:r>
      <w:proofErr w:type="spellStart"/>
      <w:r>
        <w:t>Roose</w:t>
      </w:r>
      <w:proofErr w:type="spellEnd"/>
      <w:r>
        <w:t>, 2014).</w:t>
      </w:r>
    </w:p>
  </w:footnote>
  <w:footnote w:id="3">
    <w:p w:rsidR="00B96481" w:rsidRDefault="00330801" w:rsidP="001F0DF1">
      <w:pPr>
        <w:pStyle w:val="FootnoteText"/>
        <w:spacing w:line="360" w:lineRule="auto"/>
        <w:jc w:val="both"/>
      </w:pPr>
      <w:r>
        <w:rPr>
          <w:rStyle w:val="FootnoteReference"/>
        </w:rPr>
        <w:footnoteRef/>
      </w:r>
      <w:r>
        <w:t xml:space="preserve"> Ovo prepoznaje i Europska komisija koja </w:t>
      </w:r>
      <w:r w:rsidRPr="00185222">
        <w:t xml:space="preserve">predlaže novi pristup </w:t>
      </w:r>
      <w:r>
        <w:t xml:space="preserve">stečaju </w:t>
      </w:r>
      <w:r w:rsidRPr="00185222">
        <w:t>s ciljem spašavanja poduzeća i pružanja drugih prili</w:t>
      </w:r>
      <w:r>
        <w:t xml:space="preserve">ka poštenim poduzetnicima (inicijativa </w:t>
      </w:r>
      <w:r w:rsidRPr="00185222">
        <w:t>Europ</w:t>
      </w:r>
      <w:r>
        <w:t xml:space="preserve">ske komisije </w:t>
      </w:r>
      <w:r w:rsidRPr="00185222">
        <w:t>IP/14/254</w:t>
      </w:r>
      <w:r>
        <w:t xml:space="preserve">, </w:t>
      </w:r>
      <w:r w:rsidRPr="00185222">
        <w:t>12</w:t>
      </w:r>
      <w:r>
        <w:t>.3.</w:t>
      </w:r>
      <w:r w:rsidRPr="00185222">
        <w:t>2014</w:t>
      </w:r>
      <w:r>
        <w:t>.).</w:t>
      </w:r>
    </w:p>
  </w:footnote>
  <w:footnote w:id="4">
    <w:p w:rsidR="00B96481" w:rsidRDefault="00330801" w:rsidP="001F0DF1">
      <w:pPr>
        <w:pStyle w:val="FootnoteText"/>
        <w:spacing w:line="360" w:lineRule="auto"/>
        <w:jc w:val="both"/>
      </w:pPr>
      <w:r>
        <w:rPr>
          <w:rStyle w:val="FootnoteReference"/>
        </w:rPr>
        <w:footnoteRef/>
      </w:r>
      <w:r>
        <w:t xml:space="preserve"> Konkretnije, uobičajeno „hamletovsko“ pitanje poduzetnika u Republici Hrvatskoj glasi: "Hoću li se moći naplatiti ili ne?", a o institucionalnom, strukturnom rješenju ove dileme umnogome ovisi i mogućnost oporavka i rasta gospodarstva u cjelini.</w:t>
      </w:r>
    </w:p>
  </w:footnote>
  <w:footnote w:id="5">
    <w:p w:rsidR="00B96481" w:rsidRDefault="00330801" w:rsidP="001F0DF1">
      <w:pPr>
        <w:pStyle w:val="FootnoteText"/>
        <w:spacing w:line="360" w:lineRule="auto"/>
        <w:jc w:val="both"/>
      </w:pPr>
      <w:r>
        <w:rPr>
          <w:rStyle w:val="FootnoteReference"/>
        </w:rPr>
        <w:footnoteRef/>
      </w:r>
      <w:r>
        <w:t xml:space="preserve"> Od izmjena Stečajnog zakona objavljenih u Narodnim novinama br. 133/2012 u Republici Hrvatskoj bitno je sužena mogućnost opstanka dužnika u stečaju te je otvaranje stečaja zapravo znak kraja i pravne smrti dužnika. Jedini praktično mogući način nastavka poslovanja dužnika jest kroz postizanje predstečajne nagodbe. </w:t>
      </w:r>
    </w:p>
  </w:footnote>
  <w:footnote w:id="6">
    <w:p w:rsidR="00B96481" w:rsidRDefault="00330801" w:rsidP="001F0DF1">
      <w:pPr>
        <w:pStyle w:val="FootnoteText"/>
        <w:spacing w:line="360" w:lineRule="auto"/>
        <w:jc w:val="both"/>
      </w:pPr>
      <w:r>
        <w:rPr>
          <w:rStyle w:val="FootnoteReference"/>
        </w:rPr>
        <w:footnoteRef/>
      </w:r>
      <w:r>
        <w:t xml:space="preserve"> </w:t>
      </w:r>
      <w:r w:rsidR="00D32ED5">
        <w:t xml:space="preserve">U ovom radu akronim SZ označava </w:t>
      </w:r>
      <w:r w:rsidRPr="00172F0F">
        <w:t>Stečajni zakon, Narodne novine br. 44/1996, 161/1998, 29/1999, 129/2000, 123/2003, 197/2003, 187/2004, 82/2006, 116/2010, 25/2012, 133/2012, 45/2013</w:t>
      </w:r>
      <w:r>
        <w:t>.</w:t>
      </w:r>
    </w:p>
  </w:footnote>
  <w:footnote w:id="7">
    <w:p w:rsidR="00330801" w:rsidRDefault="00330801" w:rsidP="001F0DF1">
      <w:pPr>
        <w:pStyle w:val="FootnoteText"/>
        <w:spacing w:line="360" w:lineRule="auto"/>
        <w:jc w:val="both"/>
      </w:pPr>
      <w:r>
        <w:rPr>
          <w:rStyle w:val="FootnoteReference"/>
        </w:rPr>
        <w:footnoteRef/>
      </w:r>
      <w:r>
        <w:t xml:space="preserve"> Autor se zahvaljuje na kooperativnosti i susretljivosti predsjedniku Trgovačkog suda u Osijeku mr. sc. Tihomiru Kovačeviću, ravnatelju Državnog arhiva u Osijeku dr. sc. Siniši </w:t>
      </w:r>
      <w:proofErr w:type="spellStart"/>
      <w:r>
        <w:t>Bjedovu</w:t>
      </w:r>
      <w:proofErr w:type="spellEnd"/>
      <w:r>
        <w:t>, voditelju</w:t>
      </w:r>
      <w:r w:rsidRPr="002460D1">
        <w:t xml:space="preserve"> Odjela za sređivanje i obradu arhivskog gradiva gospodarstva i bankarstva</w:t>
      </w:r>
      <w:r>
        <w:t xml:space="preserve"> u Državnom arhivu u Osijeku d</w:t>
      </w:r>
      <w:r w:rsidRPr="002460D1">
        <w:t>r. sc. Dražen</w:t>
      </w:r>
      <w:r>
        <w:t xml:space="preserve">u </w:t>
      </w:r>
      <w:proofErr w:type="spellStart"/>
      <w:r>
        <w:t>Kušenu</w:t>
      </w:r>
      <w:proofErr w:type="spellEnd"/>
      <w:r>
        <w:t xml:space="preserve">, ravnatelju Državnog arhiva u Vukovaru Stjepanu </w:t>
      </w:r>
      <w:proofErr w:type="spellStart"/>
      <w:r>
        <w:t>Prutkom</w:t>
      </w:r>
      <w:proofErr w:type="spellEnd"/>
      <w:r>
        <w:t xml:space="preserve"> i arhivistu </w:t>
      </w:r>
      <w:r w:rsidRPr="002460D1">
        <w:t>Arhivskog sabirnog centra</w:t>
      </w:r>
      <w:r>
        <w:t xml:space="preserve"> u Vinkovcima prof. Petru </w:t>
      </w:r>
      <w:proofErr w:type="spellStart"/>
      <w:r>
        <w:t>Elezu</w:t>
      </w:r>
      <w:proofErr w:type="spellEnd"/>
      <w:r>
        <w:t>.</w:t>
      </w:r>
    </w:p>
  </w:footnote>
  <w:footnote w:id="8">
    <w:p w:rsidR="00BC267C" w:rsidRDefault="00BC267C" w:rsidP="001F0DF1">
      <w:pPr>
        <w:pStyle w:val="FootnoteText"/>
        <w:spacing w:line="360" w:lineRule="auto"/>
      </w:pPr>
      <w:r>
        <w:rPr>
          <w:rStyle w:val="FootnoteReference"/>
        </w:rPr>
        <w:footnoteRef/>
      </w:r>
      <w:r>
        <w:t xml:space="preserve"> </w:t>
      </w:r>
      <w:proofErr w:type="spellStart"/>
      <w:r>
        <w:t>Cousins</w:t>
      </w:r>
      <w:proofErr w:type="spellEnd"/>
      <w:r>
        <w:t>, Mitchell et al., 2000:</w:t>
      </w:r>
      <w:r w:rsidRPr="00BC267C">
        <w:t>56-57</w:t>
      </w:r>
    </w:p>
  </w:footnote>
  <w:footnote w:id="9">
    <w:p w:rsidR="003A0568" w:rsidRDefault="003A0568" w:rsidP="001F0DF1">
      <w:pPr>
        <w:pStyle w:val="FootnoteText"/>
        <w:spacing w:line="360" w:lineRule="auto"/>
      </w:pPr>
      <w:r>
        <w:rPr>
          <w:rStyle w:val="FootnoteReference"/>
        </w:rPr>
        <w:footnoteRef/>
      </w:r>
      <w:r>
        <w:t xml:space="preserve"> </w:t>
      </w:r>
      <w:proofErr w:type="spellStart"/>
      <w:r>
        <w:t>Omar</w:t>
      </w:r>
      <w:proofErr w:type="spellEnd"/>
      <w:r>
        <w:t>, 2006:11</w:t>
      </w:r>
      <w:r w:rsidR="00404937">
        <w:t>4</w:t>
      </w:r>
    </w:p>
  </w:footnote>
  <w:footnote w:id="10">
    <w:p w:rsidR="00404937" w:rsidRDefault="00404937" w:rsidP="001F0DF1">
      <w:pPr>
        <w:pStyle w:val="FootnoteText"/>
        <w:spacing w:line="360" w:lineRule="auto"/>
      </w:pPr>
      <w:r>
        <w:rPr>
          <w:rStyle w:val="FootnoteReference"/>
        </w:rPr>
        <w:footnoteRef/>
      </w:r>
      <w:r>
        <w:t xml:space="preserve"> </w:t>
      </w:r>
      <w:proofErr w:type="spellStart"/>
      <w:r>
        <w:t>Omar</w:t>
      </w:r>
      <w:proofErr w:type="spellEnd"/>
      <w:r>
        <w:t>, 2006: 144</w:t>
      </w:r>
    </w:p>
  </w:footnote>
  <w:footnote w:id="11">
    <w:p w:rsidR="001F0DF1" w:rsidRDefault="001F0DF1" w:rsidP="001F0DF1">
      <w:pPr>
        <w:pStyle w:val="FootnoteText"/>
        <w:spacing w:line="360" w:lineRule="auto"/>
      </w:pPr>
      <w:r>
        <w:rPr>
          <w:rStyle w:val="FootnoteReference"/>
        </w:rPr>
        <w:footnoteRef/>
      </w:r>
      <w:r>
        <w:t xml:space="preserve"> O</w:t>
      </w:r>
      <w:r w:rsidRPr="001F0DF1">
        <w:t xml:space="preserve">sobito imajući u vidu da je talijanski Stečajni zakon reformiran tek 2005. godine, </w:t>
      </w:r>
      <w:r w:rsidR="00343030">
        <w:t>a</w:t>
      </w:r>
      <w:r w:rsidRPr="001F0DF1">
        <w:t xml:space="preserve"> prije toga </w:t>
      </w:r>
      <w:r w:rsidR="00343030">
        <w:t xml:space="preserve">je </w:t>
      </w:r>
      <w:r w:rsidRPr="001F0DF1">
        <w:t>ostao praktično neizmijenjen 63 godine – još od zakona iz 1942., koji se pak temeljio na onome iz 1882. godine (</w:t>
      </w:r>
      <w:proofErr w:type="spellStart"/>
      <w:r w:rsidRPr="001F0DF1">
        <w:t>Constantini</w:t>
      </w:r>
      <w:proofErr w:type="spellEnd"/>
      <w:r w:rsidRPr="001F0DF1">
        <w:t>, 2009:9)</w:t>
      </w:r>
      <w:r>
        <w:t>.</w:t>
      </w:r>
    </w:p>
  </w:footnote>
  <w:footnote w:id="12">
    <w:p w:rsidR="00BC2558" w:rsidRDefault="00BC2558" w:rsidP="001F0DF1">
      <w:pPr>
        <w:pStyle w:val="FootnoteText"/>
        <w:spacing w:line="360" w:lineRule="auto"/>
      </w:pPr>
      <w:r>
        <w:rPr>
          <w:rStyle w:val="FootnoteReference"/>
        </w:rPr>
        <w:footnoteRef/>
      </w:r>
      <w:r>
        <w:t xml:space="preserve"> Npr. p</w:t>
      </w:r>
      <w:r w:rsidRPr="00BC2558">
        <w:t>resuda</w:t>
      </w:r>
      <w:r w:rsidR="003609C6">
        <w:t xml:space="preserve"> Vrhovnog suda Italije</w:t>
      </w:r>
      <w:r w:rsidRPr="00BC2558">
        <w:t xml:space="preserve"> br. 3327</w:t>
      </w:r>
      <w:r w:rsidR="003609C6">
        <w:t xml:space="preserve">.; </w:t>
      </w:r>
      <w:r w:rsidR="00343030">
        <w:t xml:space="preserve">također </w:t>
      </w:r>
      <w:proofErr w:type="spellStart"/>
      <w:r w:rsidR="003609C6">
        <w:t>Selvatici</w:t>
      </w:r>
      <w:proofErr w:type="spellEnd"/>
      <w:r w:rsidR="003609C6" w:rsidRPr="003609C6">
        <w:t xml:space="preserve"> (2004).</w:t>
      </w:r>
      <w:r w:rsidR="003609C6">
        <w:t xml:space="preserve"> </w:t>
      </w:r>
      <w:r w:rsidR="003609C6" w:rsidRPr="003609C6">
        <w:t xml:space="preserve">Opširnije o tijelima stečajnog postupka u Italiji i zlouporabama njihova položaja kod </w:t>
      </w:r>
      <w:proofErr w:type="spellStart"/>
      <w:r w:rsidR="003609C6" w:rsidRPr="003609C6">
        <w:t>Confortini</w:t>
      </w:r>
      <w:proofErr w:type="spellEnd"/>
      <w:r w:rsidR="003609C6" w:rsidRPr="003609C6">
        <w:t xml:space="preserve"> (2011).</w:t>
      </w:r>
    </w:p>
  </w:footnote>
  <w:footnote w:id="13">
    <w:p w:rsidR="00B96481" w:rsidRDefault="00330801" w:rsidP="001F0DF1">
      <w:pPr>
        <w:pStyle w:val="FootnoteText"/>
        <w:spacing w:line="360" w:lineRule="auto"/>
        <w:jc w:val="both"/>
      </w:pPr>
      <w:r>
        <w:rPr>
          <w:rStyle w:val="FootnoteReference"/>
        </w:rPr>
        <w:footnoteRef/>
      </w:r>
      <w:r>
        <w:t xml:space="preserve"> Npr. </w:t>
      </w:r>
      <w:r w:rsidRPr="008F64A8">
        <w:t>Zakon o osiguranju potraživanja radnika u slučaju stečaja poslodavca</w:t>
      </w:r>
      <w:r>
        <w:t xml:space="preserve"> (</w:t>
      </w:r>
      <w:r w:rsidRPr="008F64A8">
        <w:t>Narodne novine 86/2008, 80/2013</w:t>
      </w:r>
      <w:r>
        <w:t xml:space="preserve">). </w:t>
      </w:r>
    </w:p>
  </w:footnote>
  <w:footnote w:id="14">
    <w:p w:rsidR="00B96481" w:rsidRDefault="00330801" w:rsidP="001F0DF1">
      <w:pPr>
        <w:pStyle w:val="FootnoteText"/>
        <w:spacing w:line="360" w:lineRule="auto"/>
        <w:jc w:val="both"/>
      </w:pPr>
      <w:r>
        <w:rPr>
          <w:rStyle w:val="FootnoteReference"/>
        </w:rPr>
        <w:footnoteRef/>
      </w:r>
      <w:r>
        <w:t xml:space="preserve"> Akcentirajući one koje su važne u kontekstu ovoga rada. </w:t>
      </w:r>
    </w:p>
  </w:footnote>
  <w:footnote w:id="15">
    <w:p w:rsidR="00B96481" w:rsidRDefault="00330801" w:rsidP="001F0DF1">
      <w:pPr>
        <w:pStyle w:val="FootnoteText"/>
        <w:spacing w:line="360" w:lineRule="auto"/>
        <w:jc w:val="both"/>
      </w:pPr>
      <w:r>
        <w:rPr>
          <w:rStyle w:val="FootnoteReference"/>
        </w:rPr>
        <w:footnoteRef/>
      </w:r>
      <w:r>
        <w:t xml:space="preserve"> </w:t>
      </w:r>
      <w:r w:rsidRPr="00382146">
        <w:t>Autor ovog istraživanja je kroz niz godina pokušavao obraditi uzorak dokumentacije zaključenih stečajnih postupaka u Trgovačkom sudu u Osijeku i Državnom arhivu u Osijeku. Godinama nije mogao doći do dokumentacije uz usmena objašnjenja da se radi o „osjetljivoj dokumentaciji koja može biti predmetom kriminalističkih obrada“ i/ili da</w:t>
      </w:r>
      <w:r w:rsidR="004C27E0">
        <w:t xml:space="preserve"> </w:t>
      </w:r>
      <w:r w:rsidRPr="00382146">
        <w:t>„građa nije sređena“. Kontraargument autora eksplicirao je da znanstveno-istraživačku zajednicu principijelno ne interesiraju individualna imena i konkretni slučajevi, niti procesu</w:t>
      </w:r>
      <w:r>
        <w:t>iranje eventualnih malverzacija</w:t>
      </w:r>
      <w:r w:rsidRPr="00382146">
        <w:t>, nego stečajeve promatra isključivo na pojavnoj razini, odnosno fenomenološki.  Tek je promjenom čelnih osoba u navedenim institucijama stvoreno pozitivno ozračje za ovakav tip istraživanja.</w:t>
      </w:r>
    </w:p>
  </w:footnote>
  <w:footnote w:id="16">
    <w:p w:rsidR="00B96481" w:rsidRDefault="00330801" w:rsidP="001F0DF1">
      <w:pPr>
        <w:pStyle w:val="FootnoteText"/>
        <w:spacing w:line="360" w:lineRule="auto"/>
        <w:jc w:val="both"/>
      </w:pPr>
      <w:r>
        <w:rPr>
          <w:rStyle w:val="FootnoteReference"/>
        </w:rPr>
        <w:footnoteRef/>
      </w:r>
      <w:r>
        <w:t xml:space="preserve"> „</w:t>
      </w:r>
      <w:r w:rsidRPr="004C27E0">
        <w:rPr>
          <w:i/>
        </w:rPr>
        <w:t xml:space="preserve">Revizija se može izjaviti samo ako odluka drugostupanjskog suda ovisi o rješenju nekog </w:t>
      </w:r>
      <w:proofErr w:type="spellStart"/>
      <w:r w:rsidRPr="004C27E0">
        <w:rPr>
          <w:i/>
        </w:rPr>
        <w:t>materijalnopravnog</w:t>
      </w:r>
      <w:proofErr w:type="spellEnd"/>
      <w:r w:rsidRPr="004C27E0">
        <w:rPr>
          <w:i/>
        </w:rPr>
        <w:t xml:space="preserve"> ili </w:t>
      </w:r>
      <w:proofErr w:type="spellStart"/>
      <w:r w:rsidRPr="004C27E0">
        <w:rPr>
          <w:i/>
        </w:rPr>
        <w:t>postupovnopravnog</w:t>
      </w:r>
      <w:proofErr w:type="spellEnd"/>
      <w:r w:rsidRPr="004C27E0">
        <w:rPr>
          <w:i/>
        </w:rPr>
        <w:t xml:space="preserve"> pitanja važnog za osiguravanje jedinstvene primjene zakona i ravnopravnosti građana, u skladu s pravilima parničnog postupka</w:t>
      </w:r>
      <w:r>
        <w:t>“- čl. 11. st. 10. SZ.</w:t>
      </w:r>
    </w:p>
  </w:footnote>
  <w:footnote w:id="17">
    <w:p w:rsidR="00330801" w:rsidRDefault="00330801" w:rsidP="001F0DF1">
      <w:pPr>
        <w:pStyle w:val="FootnoteText"/>
        <w:spacing w:line="360" w:lineRule="auto"/>
      </w:pPr>
      <w:r>
        <w:rPr>
          <w:rStyle w:val="FootnoteReference"/>
        </w:rPr>
        <w:footnoteRef/>
      </w:r>
      <w:r>
        <w:t xml:space="preserve"> </w:t>
      </w:r>
      <w:r w:rsidRPr="00382146">
        <w:t xml:space="preserve">U jednom postupku nad velikim dužnikom iz Županje stečajni </w:t>
      </w:r>
      <w:r w:rsidR="0021594C" w:rsidRPr="00382146">
        <w:t xml:space="preserve">je </w:t>
      </w:r>
      <w:r w:rsidRPr="00382146">
        <w:t>upravitelj priložio foto-elaborat interijera poslovnih prostora koji izgledaju apokaliptično, kao nakon elementarne nepogode.</w:t>
      </w:r>
    </w:p>
  </w:footnote>
  <w:footnote w:id="18">
    <w:p w:rsidR="00330801" w:rsidRPr="00655C19" w:rsidRDefault="00330801" w:rsidP="001F0DF1">
      <w:pPr>
        <w:pStyle w:val="FootnoteText"/>
        <w:spacing w:line="360" w:lineRule="auto"/>
      </w:pPr>
      <w:r w:rsidRPr="00655C19">
        <w:rPr>
          <w:rStyle w:val="FootnoteReference"/>
        </w:rPr>
        <w:footnoteRef/>
      </w:r>
      <w:r w:rsidR="00B96481" w:rsidRPr="00655C19">
        <w:t>U uzorku obrađenom  ovim istraživanjem Arhivu je iz stečajnih masa za ove usluge isplaćivano od 10.000 do 28.000 kn po stečajnom postupku.</w:t>
      </w:r>
    </w:p>
  </w:footnote>
  <w:footnote w:id="19">
    <w:p w:rsidR="00B96481" w:rsidRPr="00655C19" w:rsidRDefault="00B96481" w:rsidP="001F0DF1">
      <w:pPr>
        <w:pStyle w:val="FootnoteText"/>
        <w:spacing w:line="360" w:lineRule="auto"/>
        <w:rPr>
          <w:color w:val="FF0000"/>
        </w:rPr>
      </w:pPr>
      <w:r w:rsidRPr="00655C19">
        <w:rPr>
          <w:rStyle w:val="FootnoteReference"/>
        </w:rPr>
        <w:footnoteRef/>
      </w:r>
      <w:r w:rsidRPr="00655C19">
        <w:t xml:space="preserve"> Npr. dokumentacija jednog velikog i lokalno vrlo značajnog dioničkog društva iz središnje Slavonije čuva se u privatnom arhivu.</w:t>
      </w:r>
    </w:p>
  </w:footnote>
  <w:footnote w:id="20">
    <w:p w:rsidR="004C27E0" w:rsidRDefault="004C27E0" w:rsidP="001F0DF1">
      <w:pPr>
        <w:pStyle w:val="FootnoteText"/>
        <w:spacing w:line="360" w:lineRule="auto"/>
      </w:pPr>
      <w:r>
        <w:rPr>
          <w:rStyle w:val="FootnoteReference"/>
        </w:rPr>
        <w:footnoteRef/>
      </w:r>
      <w:r>
        <w:t xml:space="preserve"> SZ ne propisuje rokove čuvanja dokumentacije, no postoji Zakon o arhivskom gradivu i arhivima (</w:t>
      </w:r>
      <w:r w:rsidRPr="000C4BC4">
        <w:t xml:space="preserve">Narodne novine </w:t>
      </w:r>
      <w:r>
        <w:t xml:space="preserve">br. </w:t>
      </w:r>
      <w:r w:rsidRPr="000C4BC4">
        <w:t>105/1997, 64/2000, 65/2009, 125/2011</w:t>
      </w:r>
      <w:r>
        <w:t xml:space="preserve">), na temelju kojega je donesen </w:t>
      </w:r>
      <w:r w:rsidRPr="000C4BC4">
        <w:t>Pravilnik o vrednovanju te postupku odabiranja i izlučivanja arhivskog gradiva</w:t>
      </w:r>
      <w:r>
        <w:t xml:space="preserve"> (</w:t>
      </w:r>
      <w:r w:rsidRPr="000C4BC4">
        <w:t xml:space="preserve">Narodne novine </w:t>
      </w:r>
      <w:r>
        <w:t xml:space="preserve">br. </w:t>
      </w:r>
      <w:r w:rsidRPr="000C4BC4">
        <w:t>90/2002</w:t>
      </w:r>
      <w:r>
        <w:t xml:space="preserve">). Temeljem navedenoga Pravilnika </w:t>
      </w:r>
      <w:r w:rsidRPr="000C4BC4">
        <w:t xml:space="preserve">Hrvatsko arhivsko vijeće, na 11. sjednici održanoj 28. svibnja 2012. donijelo je Opći popis arhivskog i </w:t>
      </w:r>
      <w:proofErr w:type="spellStart"/>
      <w:r w:rsidRPr="000C4BC4">
        <w:t>registraturnog</w:t>
      </w:r>
      <w:proofErr w:type="spellEnd"/>
      <w:r w:rsidRPr="000C4BC4">
        <w:t xml:space="preserve"> gradiva s rokovima čuvanja.</w:t>
      </w:r>
      <w:r>
        <w:t xml:space="preserve"> Ovaj poprilično opsežan dokument (200 stranica) popis je vrsta gradiva s rokovima čuvanja koji se odnosi na gradivo nastalo ili zaprimljeno obavljanjem administrativnih ili općih funkcija, i kao takav donosi opća pravila čuvanja dokumentacije koja se odnose i na stečajne upravitelje.</w:t>
      </w:r>
    </w:p>
  </w:footnote>
  <w:footnote w:id="21">
    <w:p w:rsidR="00B96481" w:rsidRPr="00655C19" w:rsidRDefault="00B96481" w:rsidP="001F0DF1">
      <w:pPr>
        <w:pStyle w:val="FootnoteText"/>
        <w:spacing w:line="360" w:lineRule="auto"/>
      </w:pPr>
      <w:r w:rsidRPr="00655C19">
        <w:rPr>
          <w:rStyle w:val="FootnoteReference"/>
        </w:rPr>
        <w:footnoteRef/>
      </w:r>
      <w:r w:rsidRPr="00655C19">
        <w:rPr>
          <w:rStyle w:val="FootnoteReference"/>
        </w:rPr>
        <w:t xml:space="preserve"> </w:t>
      </w:r>
      <w:r w:rsidRPr="00655C19">
        <w:t>Nisu odabrani nezaključeni postupci jer, osim što se zbog postupka koji je u tijeku ne može govoriti o njegovom ukupnom trajanju, to ne bi bilo svrsishodno u kontekstu ovog rada jer se kod otvorenih stečajeva ne može govoriti ni o razini namirenja vjerovnika niti o ukupnim isplatama stečajnim upraviteljima.</w:t>
      </w:r>
    </w:p>
  </w:footnote>
  <w:footnote w:id="22">
    <w:p w:rsidR="00B96481" w:rsidRDefault="00330801" w:rsidP="001F0DF1">
      <w:pPr>
        <w:pStyle w:val="FootnoteText"/>
        <w:spacing w:line="360" w:lineRule="auto"/>
      </w:pPr>
      <w:r>
        <w:rPr>
          <w:rStyle w:val="FootnoteReference"/>
        </w:rPr>
        <w:footnoteRef/>
      </w:r>
      <w:r>
        <w:t xml:space="preserve"> Primjerice, na Trgovačkom sudu u Osijeku nije neuobičajeno imati jedan stečajni predmet koji se sastoji od 12 i više registratora te je izrazito vremenski zahtjevno obrađivati ovakve slučajeve.</w:t>
      </w:r>
      <w:r w:rsidR="00AD1939">
        <w:t xml:space="preserve"> Drugo, na projektu je radila samo jedna osoba.</w:t>
      </w:r>
    </w:p>
  </w:footnote>
  <w:footnote w:id="23">
    <w:p w:rsidR="00CF55C5" w:rsidRDefault="00330801" w:rsidP="001F0DF1">
      <w:pPr>
        <w:pStyle w:val="FootnoteText"/>
        <w:spacing w:line="360" w:lineRule="auto"/>
        <w:jc w:val="both"/>
      </w:pPr>
      <w:r>
        <w:rPr>
          <w:rStyle w:val="FootnoteReference"/>
        </w:rPr>
        <w:footnoteRef/>
      </w:r>
      <w:r>
        <w:t xml:space="preserve"> Ova su izvješća javno dostupna, ali uz plaćanje naknade Financijskoj agenciji.</w:t>
      </w:r>
    </w:p>
  </w:footnote>
  <w:footnote w:id="24">
    <w:p w:rsidR="00CF55C5" w:rsidRDefault="00330801" w:rsidP="001F0DF1">
      <w:pPr>
        <w:pStyle w:val="FootnoteText"/>
        <w:spacing w:line="360" w:lineRule="auto"/>
        <w:jc w:val="both"/>
      </w:pPr>
      <w:r>
        <w:rPr>
          <w:rStyle w:val="FootnoteReference"/>
        </w:rPr>
        <w:footnoteRef/>
      </w:r>
      <w:r>
        <w:t xml:space="preserve"> </w:t>
      </w:r>
      <w:r w:rsidR="00A85F1C" w:rsidRPr="00A85F1C">
        <w:t>Knjigovodstvena vrijednost dužnika realno nije značajan indikator. Pitanje je na koji je način imovina vrednovana u poslovnim knjigama</w:t>
      </w:r>
      <w:r w:rsidR="00A85F1C">
        <w:t>, je li ona precijenjena ili pod</w:t>
      </w:r>
      <w:r w:rsidR="00A85F1C" w:rsidRPr="00A85F1C">
        <w:t>cijenjena te kakva je njezina struktura.</w:t>
      </w:r>
      <w:r w:rsidR="00343030">
        <w:t xml:space="preserve"> Ovdje </w:t>
      </w:r>
      <w:r w:rsidR="00F36302">
        <w:t xml:space="preserve">knjigovodstvena vrijednost </w:t>
      </w:r>
      <w:r w:rsidR="00343030">
        <w:t>služi kao okvirni pokazatelj veličine uzorka.</w:t>
      </w:r>
    </w:p>
  </w:footnote>
  <w:footnote w:id="25">
    <w:p w:rsidR="002F6C7D" w:rsidRDefault="002F6C7D" w:rsidP="001F0DF1">
      <w:pPr>
        <w:pStyle w:val="FootnoteText"/>
        <w:spacing w:line="360" w:lineRule="auto"/>
        <w:jc w:val="both"/>
      </w:pPr>
      <w:r>
        <w:rPr>
          <w:rStyle w:val="FootnoteReference"/>
        </w:rPr>
        <w:footnoteRef/>
      </w:r>
      <w:r>
        <w:t xml:space="preserve"> </w:t>
      </w:r>
      <w:r w:rsidRPr="002F6C7D">
        <w:t>Budući da je posao stečajnog upravitelja zapravo vrlo profitabilan jer se upravitelj prvi naplaćuje iz imovine dužnika, nije čudno što se brojni stečajni postupci odugovlače. U Velikoj Britaniji, primjerice, postoje stečajevi koji se iz navedenih razloga vode i preko trideset godina</w:t>
      </w:r>
      <w:r w:rsidR="00A46B47">
        <w:t xml:space="preserve"> </w:t>
      </w:r>
      <w:r w:rsidR="00A46B47" w:rsidRPr="002F6C7D">
        <w:t xml:space="preserve">(prema </w:t>
      </w:r>
      <w:proofErr w:type="spellStart"/>
      <w:r w:rsidR="00A46B47" w:rsidRPr="002F6C7D">
        <w:t>Cousins</w:t>
      </w:r>
      <w:proofErr w:type="spellEnd"/>
      <w:r w:rsidR="00A46B47" w:rsidRPr="002F6C7D">
        <w:t>, Mitchell et al., 2000:5)</w:t>
      </w:r>
      <w:r w:rsidRPr="002F6C7D">
        <w:t>.</w:t>
      </w:r>
    </w:p>
  </w:footnote>
  <w:footnote w:id="26">
    <w:p w:rsidR="00CF55C5" w:rsidRDefault="00A85F1C" w:rsidP="001F0DF1">
      <w:pPr>
        <w:pStyle w:val="FootnoteText"/>
        <w:spacing w:line="360" w:lineRule="auto"/>
        <w:jc w:val="both"/>
      </w:pPr>
      <w:r>
        <w:rPr>
          <w:rStyle w:val="FootnoteReference"/>
        </w:rPr>
        <w:footnoteRef/>
      </w:r>
      <w:r w:rsidR="00A46B47">
        <w:t xml:space="preserve"> </w:t>
      </w:r>
      <w:r>
        <w:t xml:space="preserve">Valja razumjeti da se u stečaju prvo namiruju troškovi postupka, a razlučni vjerovnici (oni koji imaju založno pravo, a najčešće su to hipoteke na nekretninama) imaju pravo odvojenog namirenja. Stoga, ukoliko se prvi red vjerovnika namirio makar i u minimalnom postotku, to znači </w:t>
      </w:r>
      <w:r w:rsidR="00AD74DB">
        <w:t>da</w:t>
      </w:r>
      <w:r>
        <w:t xml:space="preserve"> su potpuno namireni i troškovi postupka i razlučni vjerovnici, </w:t>
      </w:r>
      <w:r w:rsidR="00B96481" w:rsidRPr="00655C19">
        <w:t>jer tek ako što pretekne</w:t>
      </w:r>
      <w:r>
        <w:t xml:space="preserve"> nakon podmirenja ovih potraživanja mogu se isplaćivati ostali vjerovnici.</w:t>
      </w:r>
    </w:p>
  </w:footnote>
  <w:footnote w:id="27">
    <w:p w:rsidR="00CF55C5" w:rsidRDefault="00330801" w:rsidP="001F0DF1">
      <w:pPr>
        <w:pStyle w:val="FootnoteText"/>
        <w:spacing w:line="360" w:lineRule="auto"/>
        <w:jc w:val="both"/>
      </w:pPr>
      <w:r>
        <w:rPr>
          <w:rStyle w:val="FootnoteReference"/>
        </w:rPr>
        <w:footnoteRef/>
      </w:r>
      <w:r>
        <w:t xml:space="preserve"> Osim neažurnosti stečajnog upravitelja u ovom konkretnom postupku, postoje i neki objektivni razlozi za nemogućnost utvrđivanja stanja imovine. Primjerice, n</w:t>
      </w:r>
      <w:r w:rsidRPr="00236C2E">
        <w:t xml:space="preserve">a originalnim inventurnim listama </w:t>
      </w:r>
      <w:r>
        <w:t>kod određenih pokretnina koje ni</w:t>
      </w:r>
      <w:r w:rsidR="00C67B21">
        <w:t>su bile</w:t>
      </w:r>
      <w:r>
        <w:t xml:space="preserve"> u posjedu dužnika stoji </w:t>
      </w:r>
      <w:r w:rsidR="00C67B21">
        <w:t>natpis</w:t>
      </w:r>
      <w:r>
        <w:t xml:space="preserve">: </w:t>
      </w:r>
      <w:r w:rsidRPr="00236C2E">
        <w:t>"</w:t>
      </w:r>
      <w:r w:rsidRPr="00A42266">
        <w:rPr>
          <w:i/>
        </w:rPr>
        <w:t>Prethodni direktor odvezao u Rogoznicu</w:t>
      </w:r>
      <w:r w:rsidRPr="00236C2E">
        <w:t>"</w:t>
      </w:r>
      <w:r>
        <w:t>.</w:t>
      </w:r>
    </w:p>
  </w:footnote>
  <w:footnote w:id="28">
    <w:p w:rsidR="00CF55C5" w:rsidRDefault="00330801" w:rsidP="001F0DF1">
      <w:pPr>
        <w:pStyle w:val="FootnoteText"/>
        <w:spacing w:line="360" w:lineRule="auto"/>
        <w:jc w:val="both"/>
      </w:pPr>
      <w:r>
        <w:rPr>
          <w:rStyle w:val="FootnoteReference"/>
        </w:rPr>
        <w:footnoteRef/>
      </w:r>
      <w:r>
        <w:t xml:space="preserve"> Radničke prosvjede pratili su mediji te je u jednim dnevnim novinama objavljena izjava</w:t>
      </w:r>
      <w:r w:rsidRPr="007C2B5C">
        <w:t xml:space="preserve"> </w:t>
      </w:r>
      <w:r>
        <w:t xml:space="preserve">jednog </w:t>
      </w:r>
      <w:r w:rsidRPr="007C2B5C">
        <w:t>radnika: "</w:t>
      </w:r>
      <w:r w:rsidRPr="0029444A">
        <w:rPr>
          <w:i/>
        </w:rPr>
        <w:t>Prodaju sve što je preostalo kako bi sebe podmirili i na kraju će pojesti stečajnu masu, a mi smo postali socijalni slučajevi</w:t>
      </w:r>
      <w:r w:rsidRPr="007C2B5C">
        <w:t>"</w:t>
      </w:r>
      <w:r>
        <w:t>.</w:t>
      </w:r>
    </w:p>
  </w:footnote>
  <w:footnote w:id="29">
    <w:p w:rsidR="00CF55C5" w:rsidRDefault="00330801" w:rsidP="001F0DF1">
      <w:pPr>
        <w:pStyle w:val="FootnoteText"/>
        <w:spacing w:line="360" w:lineRule="auto"/>
        <w:jc w:val="both"/>
      </w:pPr>
      <w:r>
        <w:rPr>
          <w:rStyle w:val="FootnoteReference"/>
        </w:rPr>
        <w:footnoteRef/>
      </w:r>
      <w:r>
        <w:t xml:space="preserve"> </w:t>
      </w:r>
      <w:r w:rsidR="00C67B21">
        <w:t>Doduše, moglo bi se diskutirati o tome je li ekonomski efikasno, isplativo i svrsishodno dijeliti naknadno pronađenu imovinu u iznosu od npr. 10.000 kn na 1.000 vjerovnika. No, u stečajnom postupku iznimno je važno držati se principa satisfakcije vjerovnika, pa i djelomične, te bi se moglo urediti da se, primjerice, u situacijama naknadnog povećanja imovine iz bilo kojeg razloga, takva imovina uplati u fond Agencije za osiguranje radničkih potraživanja u slučaju stečaja poslodavca.</w:t>
      </w:r>
    </w:p>
  </w:footnote>
  <w:footnote w:id="30">
    <w:p w:rsidR="00330801" w:rsidRDefault="00330801" w:rsidP="001F0DF1">
      <w:pPr>
        <w:pStyle w:val="FootnoteText"/>
        <w:spacing w:line="360" w:lineRule="auto"/>
        <w:jc w:val="both"/>
      </w:pPr>
      <w:r>
        <w:rPr>
          <w:rStyle w:val="FootnoteReference"/>
        </w:rPr>
        <w:footnoteRef/>
      </w:r>
      <w:r>
        <w:t xml:space="preserve"> Moglo bi se postaviti pitanje je li ovaj dužnik s obzirom na razinu namirenja vjerovnika baš morao u stečaj i </w:t>
      </w:r>
      <w:r w:rsidR="00FD130A">
        <w:t>je</w:t>
      </w:r>
      <w:r>
        <w:t xml:space="preserve"> li ga se moglo spasiti. Ovdje se na temelju dostupne dokumentacije ne može izreći sud o tome.</w:t>
      </w:r>
    </w:p>
  </w:footnote>
  <w:footnote w:id="31">
    <w:p w:rsidR="00330801" w:rsidRDefault="00330801" w:rsidP="001F0DF1">
      <w:pPr>
        <w:pStyle w:val="FootnoteText"/>
        <w:spacing w:line="360" w:lineRule="auto"/>
        <w:jc w:val="both"/>
      </w:pPr>
      <w:r>
        <w:rPr>
          <w:rStyle w:val="FootnoteReference"/>
        </w:rPr>
        <w:footnoteRef/>
      </w:r>
      <w:r>
        <w:t xml:space="preserve"> Moguća je i situacija da se ova postupanja upravitelja događaju uz nehotični previd sudaca, odnosno uz nenamjerni propust, no to bi diskvalificiralo suce za obavljanje svojih dužnosti.</w:t>
      </w:r>
    </w:p>
  </w:footnote>
  <w:footnote w:id="32">
    <w:p w:rsidR="00D32ED5" w:rsidRDefault="00D32ED5" w:rsidP="001F0DF1">
      <w:pPr>
        <w:pStyle w:val="FootnoteText"/>
        <w:spacing w:line="360" w:lineRule="auto"/>
        <w:jc w:val="both"/>
      </w:pPr>
      <w:r>
        <w:rPr>
          <w:rStyle w:val="FootnoteReference"/>
        </w:rPr>
        <w:footnoteRef/>
      </w:r>
      <w:r>
        <w:rPr>
          <w:rStyle w:val="FootnoteReference"/>
        </w:rPr>
        <w:tab/>
      </w:r>
      <w:r>
        <w:t xml:space="preserve"> Primjer: Etički kodeks Udruženja stečajnih upravitelja Velike Britanije (UK IPA,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3C8"/>
    <w:multiLevelType w:val="hybridMultilevel"/>
    <w:tmpl w:val="5BB83BEE"/>
    <w:lvl w:ilvl="0" w:tplc="ACBE8352">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38E73E0A"/>
    <w:multiLevelType w:val="multilevel"/>
    <w:tmpl w:val="A2A068FA"/>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6F1EC9"/>
    <w:multiLevelType w:val="hybridMultilevel"/>
    <w:tmpl w:val="89E000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10B17E2"/>
    <w:multiLevelType w:val="hybridMultilevel"/>
    <w:tmpl w:val="9BBCF6D2"/>
    <w:lvl w:ilvl="0" w:tplc="041A0001">
      <w:start w:val="1"/>
      <w:numFmt w:val="bullet"/>
      <w:lvlText w:val=""/>
      <w:lvlJc w:val="left"/>
      <w:pPr>
        <w:ind w:left="1429" w:hanging="360"/>
      </w:pPr>
      <w:rPr>
        <w:rFonts w:ascii="Symbol" w:hAnsi="Symbol" w:hint="default"/>
      </w:rPr>
    </w:lvl>
    <w:lvl w:ilvl="1" w:tplc="041A0001">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nsid w:val="7B7D3A63"/>
    <w:multiLevelType w:val="hybridMultilevel"/>
    <w:tmpl w:val="35B2394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27"/>
    <w:rsid w:val="0006285A"/>
    <w:rsid w:val="00075639"/>
    <w:rsid w:val="000A0D02"/>
    <w:rsid w:val="000A7D69"/>
    <w:rsid w:val="000C4BC4"/>
    <w:rsid w:val="000D33D0"/>
    <w:rsid w:val="000E2FF7"/>
    <w:rsid w:val="0010277F"/>
    <w:rsid w:val="001165C7"/>
    <w:rsid w:val="00122D88"/>
    <w:rsid w:val="00127DE4"/>
    <w:rsid w:val="00143736"/>
    <w:rsid w:val="001446DC"/>
    <w:rsid w:val="00172F0F"/>
    <w:rsid w:val="001B3108"/>
    <w:rsid w:val="001F0DF1"/>
    <w:rsid w:val="00211401"/>
    <w:rsid w:val="0021594C"/>
    <w:rsid w:val="0023383D"/>
    <w:rsid w:val="00236225"/>
    <w:rsid w:val="00245C28"/>
    <w:rsid w:val="0025596B"/>
    <w:rsid w:val="00266405"/>
    <w:rsid w:val="002728D1"/>
    <w:rsid w:val="00274D13"/>
    <w:rsid w:val="002A0C5F"/>
    <w:rsid w:val="002C0196"/>
    <w:rsid w:val="002F38C8"/>
    <w:rsid w:val="002F6C7D"/>
    <w:rsid w:val="00314456"/>
    <w:rsid w:val="00330801"/>
    <w:rsid w:val="00343030"/>
    <w:rsid w:val="003509B8"/>
    <w:rsid w:val="003609C6"/>
    <w:rsid w:val="00370434"/>
    <w:rsid w:val="00373EDA"/>
    <w:rsid w:val="00374CEF"/>
    <w:rsid w:val="00382146"/>
    <w:rsid w:val="003A0568"/>
    <w:rsid w:val="003D183D"/>
    <w:rsid w:val="00404937"/>
    <w:rsid w:val="00405C03"/>
    <w:rsid w:val="004268E3"/>
    <w:rsid w:val="00446597"/>
    <w:rsid w:val="0045319F"/>
    <w:rsid w:val="00463A27"/>
    <w:rsid w:val="00467962"/>
    <w:rsid w:val="004B6C06"/>
    <w:rsid w:val="004C27E0"/>
    <w:rsid w:val="00546FE9"/>
    <w:rsid w:val="005512A1"/>
    <w:rsid w:val="00563BF8"/>
    <w:rsid w:val="0058001B"/>
    <w:rsid w:val="00580973"/>
    <w:rsid w:val="00596984"/>
    <w:rsid w:val="0059731C"/>
    <w:rsid w:val="005A7A8E"/>
    <w:rsid w:val="005B0388"/>
    <w:rsid w:val="005D7D98"/>
    <w:rsid w:val="00613272"/>
    <w:rsid w:val="00622299"/>
    <w:rsid w:val="006474ED"/>
    <w:rsid w:val="00655C19"/>
    <w:rsid w:val="00695569"/>
    <w:rsid w:val="006C0D54"/>
    <w:rsid w:val="006C4AF6"/>
    <w:rsid w:val="006D5CC7"/>
    <w:rsid w:val="00740D7A"/>
    <w:rsid w:val="007448D8"/>
    <w:rsid w:val="007F07C4"/>
    <w:rsid w:val="008029AD"/>
    <w:rsid w:val="00823441"/>
    <w:rsid w:val="00857693"/>
    <w:rsid w:val="00870D50"/>
    <w:rsid w:val="008F64A8"/>
    <w:rsid w:val="00901197"/>
    <w:rsid w:val="0095105F"/>
    <w:rsid w:val="00976DBA"/>
    <w:rsid w:val="00992F8B"/>
    <w:rsid w:val="009A5AA9"/>
    <w:rsid w:val="009B281F"/>
    <w:rsid w:val="009E6A14"/>
    <w:rsid w:val="009F2EDD"/>
    <w:rsid w:val="00A12172"/>
    <w:rsid w:val="00A14974"/>
    <w:rsid w:val="00A35454"/>
    <w:rsid w:val="00A46B47"/>
    <w:rsid w:val="00A85F1C"/>
    <w:rsid w:val="00AA492B"/>
    <w:rsid w:val="00AA65FC"/>
    <w:rsid w:val="00AB0852"/>
    <w:rsid w:val="00AD1939"/>
    <w:rsid w:val="00AD74DB"/>
    <w:rsid w:val="00AF1C3C"/>
    <w:rsid w:val="00B96481"/>
    <w:rsid w:val="00BC2558"/>
    <w:rsid w:val="00BC267C"/>
    <w:rsid w:val="00BE654B"/>
    <w:rsid w:val="00C056AB"/>
    <w:rsid w:val="00C5758A"/>
    <w:rsid w:val="00C67B21"/>
    <w:rsid w:val="00C7677E"/>
    <w:rsid w:val="00C95F5A"/>
    <w:rsid w:val="00CE0676"/>
    <w:rsid w:val="00CF3882"/>
    <w:rsid w:val="00CF55C5"/>
    <w:rsid w:val="00D32ED5"/>
    <w:rsid w:val="00D35A17"/>
    <w:rsid w:val="00D37A0C"/>
    <w:rsid w:val="00D557BE"/>
    <w:rsid w:val="00D80C40"/>
    <w:rsid w:val="00E17268"/>
    <w:rsid w:val="00E2348B"/>
    <w:rsid w:val="00E3279B"/>
    <w:rsid w:val="00E377E6"/>
    <w:rsid w:val="00E46316"/>
    <w:rsid w:val="00E56F8E"/>
    <w:rsid w:val="00E6524E"/>
    <w:rsid w:val="00E7363F"/>
    <w:rsid w:val="00EC5EDD"/>
    <w:rsid w:val="00ED2C51"/>
    <w:rsid w:val="00F00FB6"/>
    <w:rsid w:val="00F03BB4"/>
    <w:rsid w:val="00F05178"/>
    <w:rsid w:val="00F36302"/>
    <w:rsid w:val="00FD130A"/>
    <w:rsid w:val="00FD1DE8"/>
    <w:rsid w:val="00FD33D9"/>
    <w:rsid w:val="00FF22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8E"/>
    <w:pPr>
      <w:spacing w:after="200" w:line="276" w:lineRule="auto"/>
      <w:ind w:firstLine="709"/>
      <w:jc w:val="both"/>
    </w:pPr>
    <w:rPr>
      <w:sz w:val="22"/>
      <w:szCs w:val="22"/>
      <w:lang w:eastAsia="en-US"/>
    </w:rPr>
  </w:style>
  <w:style w:type="paragraph" w:styleId="Heading1">
    <w:name w:val="heading 1"/>
    <w:basedOn w:val="Normal"/>
    <w:next w:val="Normal"/>
    <w:link w:val="Heading1Char"/>
    <w:qFormat/>
    <w:rsid w:val="00463A27"/>
    <w:pPr>
      <w:keepNext/>
      <w:numPr>
        <w:numId w:val="1"/>
      </w:numPr>
      <w:spacing w:before="120" w:after="120" w:line="240" w:lineRule="auto"/>
      <w:ind w:left="340" w:hanging="340"/>
      <w:outlineLvl w:val="0"/>
    </w:pPr>
    <w:rPr>
      <w:rFonts w:ascii="Times New Roman" w:eastAsia="Times New Roman" w:hAnsi="Times New Roman"/>
      <w:b/>
      <w:bCs/>
      <w:kern w:val="32"/>
      <w:sz w:val="28"/>
      <w:szCs w:val="32"/>
      <w:lang w:eastAsia="hr-HR"/>
    </w:rPr>
  </w:style>
  <w:style w:type="paragraph" w:styleId="Heading2">
    <w:name w:val="heading 2"/>
    <w:basedOn w:val="Heading1"/>
    <w:next w:val="Normal"/>
    <w:link w:val="Heading2Char"/>
    <w:uiPriority w:val="9"/>
    <w:unhideWhenUsed/>
    <w:qFormat/>
    <w:rsid w:val="00405C03"/>
    <w:pPr>
      <w:keepLines/>
      <w:spacing w:before="200" w:after="0"/>
      <w:outlineLvl w:val="1"/>
    </w:pPr>
    <w:rPr>
      <w:rFonts w:eastAsiaTheme="majorEastAsia" w:cstheme="majorBidi"/>
      <w:b w:val="0"/>
      <w:bCs w:val="0"/>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A27"/>
    <w:rPr>
      <w:rFonts w:ascii="Times New Roman" w:eastAsia="Times New Roman" w:hAnsi="Times New Roman"/>
      <w:b/>
      <w:bCs/>
      <w:kern w:val="32"/>
      <w:sz w:val="28"/>
      <w:szCs w:val="32"/>
    </w:rPr>
  </w:style>
  <w:style w:type="paragraph" w:styleId="FootnoteText">
    <w:name w:val="footnote text"/>
    <w:basedOn w:val="Normal"/>
    <w:link w:val="FootnoteTextChar"/>
    <w:rsid w:val="005A7A8E"/>
    <w:pPr>
      <w:spacing w:after="0" w:line="240" w:lineRule="auto"/>
      <w:ind w:firstLine="0"/>
      <w:jc w:val="left"/>
    </w:pPr>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rsid w:val="005A7A8E"/>
    <w:rPr>
      <w:rFonts w:ascii="Times New Roman" w:eastAsia="Times New Roman" w:hAnsi="Times New Roman"/>
    </w:rPr>
  </w:style>
  <w:style w:type="character" w:styleId="FootnoteReference">
    <w:name w:val="footnote reference"/>
    <w:rsid w:val="00463A27"/>
    <w:rPr>
      <w:vertAlign w:val="superscript"/>
    </w:rPr>
  </w:style>
  <w:style w:type="paragraph" w:styleId="Header">
    <w:name w:val="header"/>
    <w:basedOn w:val="Normal"/>
    <w:link w:val="HeaderChar"/>
    <w:uiPriority w:val="99"/>
    <w:unhideWhenUsed/>
    <w:rsid w:val="00463A27"/>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HeaderChar">
    <w:name w:val="Header Char"/>
    <w:basedOn w:val="DefaultParagraphFont"/>
    <w:link w:val="Header"/>
    <w:uiPriority w:val="99"/>
    <w:rsid w:val="00463A27"/>
    <w:rPr>
      <w:rFonts w:ascii="Times New Roman" w:eastAsia="Times New Roman" w:hAnsi="Times New Roman"/>
      <w:sz w:val="24"/>
      <w:szCs w:val="24"/>
    </w:rPr>
  </w:style>
  <w:style w:type="paragraph" w:styleId="Footer">
    <w:name w:val="footer"/>
    <w:basedOn w:val="Normal"/>
    <w:link w:val="FooterChar"/>
    <w:uiPriority w:val="99"/>
    <w:unhideWhenUsed/>
    <w:rsid w:val="00463A27"/>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FooterChar">
    <w:name w:val="Footer Char"/>
    <w:basedOn w:val="DefaultParagraphFont"/>
    <w:link w:val="Footer"/>
    <w:uiPriority w:val="99"/>
    <w:rsid w:val="00463A27"/>
    <w:rPr>
      <w:rFonts w:ascii="Times New Roman" w:eastAsia="Times New Roman" w:hAnsi="Times New Roman"/>
      <w:sz w:val="24"/>
      <w:szCs w:val="24"/>
    </w:rPr>
  </w:style>
  <w:style w:type="paragraph" w:styleId="ListParagraph">
    <w:name w:val="List Paragraph"/>
    <w:basedOn w:val="Normal"/>
    <w:uiPriority w:val="34"/>
    <w:qFormat/>
    <w:rsid w:val="002A0C5F"/>
    <w:pPr>
      <w:ind w:left="720"/>
      <w:contextualSpacing/>
    </w:pPr>
  </w:style>
  <w:style w:type="character" w:customStyle="1" w:styleId="Heading2Char">
    <w:name w:val="Heading 2 Char"/>
    <w:basedOn w:val="DefaultParagraphFont"/>
    <w:link w:val="Heading2"/>
    <w:uiPriority w:val="9"/>
    <w:rsid w:val="00405C03"/>
    <w:rPr>
      <w:rFonts w:ascii="Times New Roman" w:eastAsiaTheme="majorEastAsia" w:hAnsi="Times New Roman" w:cstheme="majorBidi"/>
      <w:color w:val="000000" w:themeColor="text1"/>
      <w:kern w:val="32"/>
      <w:sz w:val="24"/>
      <w:szCs w:val="26"/>
    </w:rPr>
  </w:style>
  <w:style w:type="character" w:customStyle="1" w:styleId="Sidrofusnote">
    <w:name w:val="Sidro fusnote"/>
    <w:rsid w:val="00382146"/>
    <w:rPr>
      <w:vertAlign w:val="superscript"/>
    </w:rPr>
  </w:style>
  <w:style w:type="paragraph" w:styleId="BalloonText">
    <w:name w:val="Balloon Text"/>
    <w:basedOn w:val="Normal"/>
    <w:link w:val="BalloonTextChar"/>
    <w:uiPriority w:val="99"/>
    <w:semiHidden/>
    <w:unhideWhenUsed/>
    <w:rsid w:val="00272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D1"/>
    <w:rPr>
      <w:rFonts w:ascii="Tahoma" w:hAnsi="Tahoma" w:cs="Tahoma"/>
      <w:sz w:val="16"/>
      <w:szCs w:val="16"/>
      <w:lang w:eastAsia="en-US"/>
    </w:rPr>
  </w:style>
  <w:style w:type="character" w:styleId="CommentReference">
    <w:name w:val="annotation reference"/>
    <w:basedOn w:val="DefaultParagraphFont"/>
    <w:uiPriority w:val="99"/>
    <w:semiHidden/>
    <w:unhideWhenUsed/>
    <w:rsid w:val="002728D1"/>
    <w:rPr>
      <w:sz w:val="16"/>
      <w:szCs w:val="16"/>
    </w:rPr>
  </w:style>
  <w:style w:type="paragraph" w:styleId="CommentText">
    <w:name w:val="annotation text"/>
    <w:basedOn w:val="Normal"/>
    <w:link w:val="CommentTextChar"/>
    <w:uiPriority w:val="99"/>
    <w:semiHidden/>
    <w:unhideWhenUsed/>
    <w:rsid w:val="002728D1"/>
    <w:pPr>
      <w:spacing w:line="240" w:lineRule="auto"/>
    </w:pPr>
    <w:rPr>
      <w:sz w:val="20"/>
      <w:szCs w:val="20"/>
    </w:rPr>
  </w:style>
  <w:style w:type="character" w:customStyle="1" w:styleId="CommentTextChar">
    <w:name w:val="Comment Text Char"/>
    <w:basedOn w:val="DefaultParagraphFont"/>
    <w:link w:val="CommentText"/>
    <w:uiPriority w:val="99"/>
    <w:semiHidden/>
    <w:rsid w:val="002728D1"/>
    <w:rPr>
      <w:lang w:eastAsia="en-US"/>
    </w:rPr>
  </w:style>
  <w:style w:type="paragraph" w:styleId="CommentSubject">
    <w:name w:val="annotation subject"/>
    <w:basedOn w:val="CommentText"/>
    <w:next w:val="CommentText"/>
    <w:link w:val="CommentSubjectChar"/>
    <w:uiPriority w:val="99"/>
    <w:semiHidden/>
    <w:unhideWhenUsed/>
    <w:rsid w:val="002728D1"/>
    <w:rPr>
      <w:b/>
      <w:bCs/>
    </w:rPr>
  </w:style>
  <w:style w:type="character" w:customStyle="1" w:styleId="CommentSubjectChar">
    <w:name w:val="Comment Subject Char"/>
    <w:basedOn w:val="CommentTextChar"/>
    <w:link w:val="CommentSubject"/>
    <w:uiPriority w:val="99"/>
    <w:semiHidden/>
    <w:rsid w:val="002728D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8E"/>
    <w:pPr>
      <w:spacing w:after="200" w:line="276" w:lineRule="auto"/>
      <w:ind w:firstLine="709"/>
      <w:jc w:val="both"/>
    </w:pPr>
    <w:rPr>
      <w:sz w:val="22"/>
      <w:szCs w:val="22"/>
      <w:lang w:eastAsia="en-US"/>
    </w:rPr>
  </w:style>
  <w:style w:type="paragraph" w:styleId="Heading1">
    <w:name w:val="heading 1"/>
    <w:basedOn w:val="Normal"/>
    <w:next w:val="Normal"/>
    <w:link w:val="Heading1Char"/>
    <w:qFormat/>
    <w:rsid w:val="00463A27"/>
    <w:pPr>
      <w:keepNext/>
      <w:numPr>
        <w:numId w:val="1"/>
      </w:numPr>
      <w:spacing w:before="120" w:after="120" w:line="240" w:lineRule="auto"/>
      <w:ind w:left="340" w:hanging="340"/>
      <w:outlineLvl w:val="0"/>
    </w:pPr>
    <w:rPr>
      <w:rFonts w:ascii="Times New Roman" w:eastAsia="Times New Roman" w:hAnsi="Times New Roman"/>
      <w:b/>
      <w:bCs/>
      <w:kern w:val="32"/>
      <w:sz w:val="28"/>
      <w:szCs w:val="32"/>
      <w:lang w:eastAsia="hr-HR"/>
    </w:rPr>
  </w:style>
  <w:style w:type="paragraph" w:styleId="Heading2">
    <w:name w:val="heading 2"/>
    <w:basedOn w:val="Heading1"/>
    <w:next w:val="Normal"/>
    <w:link w:val="Heading2Char"/>
    <w:uiPriority w:val="9"/>
    <w:unhideWhenUsed/>
    <w:qFormat/>
    <w:rsid w:val="00405C03"/>
    <w:pPr>
      <w:keepLines/>
      <w:spacing w:before="200" w:after="0"/>
      <w:outlineLvl w:val="1"/>
    </w:pPr>
    <w:rPr>
      <w:rFonts w:eastAsiaTheme="majorEastAsia" w:cstheme="majorBidi"/>
      <w:b w:val="0"/>
      <w:bCs w:val="0"/>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A27"/>
    <w:rPr>
      <w:rFonts w:ascii="Times New Roman" w:eastAsia="Times New Roman" w:hAnsi="Times New Roman"/>
      <w:b/>
      <w:bCs/>
      <w:kern w:val="32"/>
      <w:sz w:val="28"/>
      <w:szCs w:val="32"/>
    </w:rPr>
  </w:style>
  <w:style w:type="paragraph" w:styleId="FootnoteText">
    <w:name w:val="footnote text"/>
    <w:basedOn w:val="Normal"/>
    <w:link w:val="FootnoteTextChar"/>
    <w:rsid w:val="005A7A8E"/>
    <w:pPr>
      <w:spacing w:after="0" w:line="240" w:lineRule="auto"/>
      <w:ind w:firstLine="0"/>
      <w:jc w:val="left"/>
    </w:pPr>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rsid w:val="005A7A8E"/>
    <w:rPr>
      <w:rFonts w:ascii="Times New Roman" w:eastAsia="Times New Roman" w:hAnsi="Times New Roman"/>
    </w:rPr>
  </w:style>
  <w:style w:type="character" w:styleId="FootnoteReference">
    <w:name w:val="footnote reference"/>
    <w:rsid w:val="00463A27"/>
    <w:rPr>
      <w:vertAlign w:val="superscript"/>
    </w:rPr>
  </w:style>
  <w:style w:type="paragraph" w:styleId="Header">
    <w:name w:val="header"/>
    <w:basedOn w:val="Normal"/>
    <w:link w:val="HeaderChar"/>
    <w:uiPriority w:val="99"/>
    <w:unhideWhenUsed/>
    <w:rsid w:val="00463A27"/>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HeaderChar">
    <w:name w:val="Header Char"/>
    <w:basedOn w:val="DefaultParagraphFont"/>
    <w:link w:val="Header"/>
    <w:uiPriority w:val="99"/>
    <w:rsid w:val="00463A27"/>
    <w:rPr>
      <w:rFonts w:ascii="Times New Roman" w:eastAsia="Times New Roman" w:hAnsi="Times New Roman"/>
      <w:sz w:val="24"/>
      <w:szCs w:val="24"/>
    </w:rPr>
  </w:style>
  <w:style w:type="paragraph" w:styleId="Footer">
    <w:name w:val="footer"/>
    <w:basedOn w:val="Normal"/>
    <w:link w:val="FooterChar"/>
    <w:uiPriority w:val="99"/>
    <w:unhideWhenUsed/>
    <w:rsid w:val="00463A27"/>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FooterChar">
    <w:name w:val="Footer Char"/>
    <w:basedOn w:val="DefaultParagraphFont"/>
    <w:link w:val="Footer"/>
    <w:uiPriority w:val="99"/>
    <w:rsid w:val="00463A27"/>
    <w:rPr>
      <w:rFonts w:ascii="Times New Roman" w:eastAsia="Times New Roman" w:hAnsi="Times New Roman"/>
      <w:sz w:val="24"/>
      <w:szCs w:val="24"/>
    </w:rPr>
  </w:style>
  <w:style w:type="paragraph" w:styleId="ListParagraph">
    <w:name w:val="List Paragraph"/>
    <w:basedOn w:val="Normal"/>
    <w:uiPriority w:val="34"/>
    <w:qFormat/>
    <w:rsid w:val="002A0C5F"/>
    <w:pPr>
      <w:ind w:left="720"/>
      <w:contextualSpacing/>
    </w:pPr>
  </w:style>
  <w:style w:type="character" w:customStyle="1" w:styleId="Heading2Char">
    <w:name w:val="Heading 2 Char"/>
    <w:basedOn w:val="DefaultParagraphFont"/>
    <w:link w:val="Heading2"/>
    <w:uiPriority w:val="9"/>
    <w:rsid w:val="00405C03"/>
    <w:rPr>
      <w:rFonts w:ascii="Times New Roman" w:eastAsiaTheme="majorEastAsia" w:hAnsi="Times New Roman" w:cstheme="majorBidi"/>
      <w:color w:val="000000" w:themeColor="text1"/>
      <w:kern w:val="32"/>
      <w:sz w:val="24"/>
      <w:szCs w:val="26"/>
    </w:rPr>
  </w:style>
  <w:style w:type="character" w:customStyle="1" w:styleId="Sidrofusnote">
    <w:name w:val="Sidro fusnote"/>
    <w:rsid w:val="00382146"/>
    <w:rPr>
      <w:vertAlign w:val="superscript"/>
    </w:rPr>
  </w:style>
  <w:style w:type="paragraph" w:styleId="BalloonText">
    <w:name w:val="Balloon Text"/>
    <w:basedOn w:val="Normal"/>
    <w:link w:val="BalloonTextChar"/>
    <w:uiPriority w:val="99"/>
    <w:semiHidden/>
    <w:unhideWhenUsed/>
    <w:rsid w:val="00272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D1"/>
    <w:rPr>
      <w:rFonts w:ascii="Tahoma" w:hAnsi="Tahoma" w:cs="Tahoma"/>
      <w:sz w:val="16"/>
      <w:szCs w:val="16"/>
      <w:lang w:eastAsia="en-US"/>
    </w:rPr>
  </w:style>
  <w:style w:type="character" w:styleId="CommentReference">
    <w:name w:val="annotation reference"/>
    <w:basedOn w:val="DefaultParagraphFont"/>
    <w:uiPriority w:val="99"/>
    <w:semiHidden/>
    <w:unhideWhenUsed/>
    <w:rsid w:val="002728D1"/>
    <w:rPr>
      <w:sz w:val="16"/>
      <w:szCs w:val="16"/>
    </w:rPr>
  </w:style>
  <w:style w:type="paragraph" w:styleId="CommentText">
    <w:name w:val="annotation text"/>
    <w:basedOn w:val="Normal"/>
    <w:link w:val="CommentTextChar"/>
    <w:uiPriority w:val="99"/>
    <w:semiHidden/>
    <w:unhideWhenUsed/>
    <w:rsid w:val="002728D1"/>
    <w:pPr>
      <w:spacing w:line="240" w:lineRule="auto"/>
    </w:pPr>
    <w:rPr>
      <w:sz w:val="20"/>
      <w:szCs w:val="20"/>
    </w:rPr>
  </w:style>
  <w:style w:type="character" w:customStyle="1" w:styleId="CommentTextChar">
    <w:name w:val="Comment Text Char"/>
    <w:basedOn w:val="DefaultParagraphFont"/>
    <w:link w:val="CommentText"/>
    <w:uiPriority w:val="99"/>
    <w:semiHidden/>
    <w:rsid w:val="002728D1"/>
    <w:rPr>
      <w:lang w:eastAsia="en-US"/>
    </w:rPr>
  </w:style>
  <w:style w:type="paragraph" w:styleId="CommentSubject">
    <w:name w:val="annotation subject"/>
    <w:basedOn w:val="CommentText"/>
    <w:next w:val="CommentText"/>
    <w:link w:val="CommentSubjectChar"/>
    <w:uiPriority w:val="99"/>
    <w:semiHidden/>
    <w:unhideWhenUsed/>
    <w:rsid w:val="002728D1"/>
    <w:rPr>
      <w:b/>
      <w:bCs/>
    </w:rPr>
  </w:style>
  <w:style w:type="character" w:customStyle="1" w:styleId="CommentSubjectChar">
    <w:name w:val="Comment Subject Char"/>
    <w:basedOn w:val="CommentTextChar"/>
    <w:link w:val="CommentSubject"/>
    <w:uiPriority w:val="99"/>
    <w:semiHidden/>
    <w:rsid w:val="002728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4586">
      <w:bodyDiv w:val="1"/>
      <w:marLeft w:val="0"/>
      <w:marRight w:val="0"/>
      <w:marTop w:val="0"/>
      <w:marBottom w:val="0"/>
      <w:divBdr>
        <w:top w:val="none" w:sz="0" w:space="0" w:color="auto"/>
        <w:left w:val="none" w:sz="0" w:space="0" w:color="auto"/>
        <w:bottom w:val="none" w:sz="0" w:space="0" w:color="auto"/>
        <w:right w:val="none" w:sz="0" w:space="0" w:color="auto"/>
      </w:divBdr>
      <w:divsChild>
        <w:div w:id="261381637">
          <w:marLeft w:val="0"/>
          <w:marRight w:val="0"/>
          <w:marTop w:val="0"/>
          <w:marBottom w:val="0"/>
          <w:divBdr>
            <w:top w:val="none" w:sz="0" w:space="0" w:color="auto"/>
            <w:left w:val="none" w:sz="0" w:space="0" w:color="auto"/>
            <w:bottom w:val="none" w:sz="0" w:space="0" w:color="auto"/>
            <w:right w:val="none" w:sz="0" w:space="0" w:color="auto"/>
          </w:divBdr>
        </w:div>
      </w:divsChild>
    </w:div>
    <w:div w:id="36228830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72">
          <w:marLeft w:val="0"/>
          <w:marRight w:val="0"/>
          <w:marTop w:val="0"/>
          <w:marBottom w:val="0"/>
          <w:divBdr>
            <w:top w:val="none" w:sz="0" w:space="0" w:color="auto"/>
            <w:left w:val="none" w:sz="0" w:space="0" w:color="auto"/>
            <w:bottom w:val="none" w:sz="0" w:space="0" w:color="auto"/>
            <w:right w:val="none" w:sz="0" w:space="0" w:color="auto"/>
          </w:divBdr>
        </w:div>
      </w:divsChild>
    </w:div>
    <w:div w:id="534119353">
      <w:bodyDiv w:val="1"/>
      <w:marLeft w:val="0"/>
      <w:marRight w:val="0"/>
      <w:marTop w:val="0"/>
      <w:marBottom w:val="0"/>
      <w:divBdr>
        <w:top w:val="none" w:sz="0" w:space="0" w:color="auto"/>
        <w:left w:val="none" w:sz="0" w:space="0" w:color="auto"/>
        <w:bottom w:val="none" w:sz="0" w:space="0" w:color="auto"/>
        <w:right w:val="none" w:sz="0" w:space="0" w:color="auto"/>
      </w:divBdr>
      <w:divsChild>
        <w:div w:id="1469590241">
          <w:marLeft w:val="0"/>
          <w:marRight w:val="0"/>
          <w:marTop w:val="0"/>
          <w:marBottom w:val="0"/>
          <w:divBdr>
            <w:top w:val="none" w:sz="0" w:space="0" w:color="auto"/>
            <w:left w:val="none" w:sz="0" w:space="0" w:color="auto"/>
            <w:bottom w:val="none" w:sz="0" w:space="0" w:color="auto"/>
            <w:right w:val="none" w:sz="0" w:space="0" w:color="auto"/>
          </w:divBdr>
        </w:div>
      </w:divsChild>
    </w:div>
    <w:div w:id="695927826">
      <w:bodyDiv w:val="1"/>
      <w:marLeft w:val="0"/>
      <w:marRight w:val="0"/>
      <w:marTop w:val="0"/>
      <w:marBottom w:val="0"/>
      <w:divBdr>
        <w:top w:val="none" w:sz="0" w:space="0" w:color="auto"/>
        <w:left w:val="none" w:sz="0" w:space="0" w:color="auto"/>
        <w:bottom w:val="none" w:sz="0" w:space="0" w:color="auto"/>
        <w:right w:val="none" w:sz="0" w:space="0" w:color="auto"/>
      </w:divBdr>
      <w:divsChild>
        <w:div w:id="212038633">
          <w:marLeft w:val="0"/>
          <w:marRight w:val="0"/>
          <w:marTop w:val="0"/>
          <w:marBottom w:val="0"/>
          <w:divBdr>
            <w:top w:val="none" w:sz="0" w:space="0" w:color="auto"/>
            <w:left w:val="none" w:sz="0" w:space="0" w:color="auto"/>
            <w:bottom w:val="none" w:sz="0" w:space="0" w:color="auto"/>
            <w:right w:val="none" w:sz="0" w:space="0" w:color="auto"/>
          </w:divBdr>
        </w:div>
        <w:div w:id="1867132412">
          <w:marLeft w:val="0"/>
          <w:marRight w:val="0"/>
          <w:marTop w:val="0"/>
          <w:marBottom w:val="0"/>
          <w:divBdr>
            <w:top w:val="none" w:sz="0" w:space="0" w:color="auto"/>
            <w:left w:val="none" w:sz="0" w:space="0" w:color="auto"/>
            <w:bottom w:val="none" w:sz="0" w:space="0" w:color="auto"/>
            <w:right w:val="none" w:sz="0" w:space="0" w:color="auto"/>
          </w:divBdr>
        </w:div>
        <w:div w:id="998195285">
          <w:marLeft w:val="0"/>
          <w:marRight w:val="0"/>
          <w:marTop w:val="0"/>
          <w:marBottom w:val="0"/>
          <w:divBdr>
            <w:top w:val="none" w:sz="0" w:space="0" w:color="auto"/>
            <w:left w:val="none" w:sz="0" w:space="0" w:color="auto"/>
            <w:bottom w:val="none" w:sz="0" w:space="0" w:color="auto"/>
            <w:right w:val="none" w:sz="0" w:space="0" w:color="auto"/>
          </w:divBdr>
        </w:div>
        <w:div w:id="236399851">
          <w:marLeft w:val="0"/>
          <w:marRight w:val="0"/>
          <w:marTop w:val="0"/>
          <w:marBottom w:val="0"/>
          <w:divBdr>
            <w:top w:val="none" w:sz="0" w:space="0" w:color="auto"/>
            <w:left w:val="none" w:sz="0" w:space="0" w:color="auto"/>
            <w:bottom w:val="none" w:sz="0" w:space="0" w:color="auto"/>
            <w:right w:val="none" w:sz="0" w:space="0" w:color="auto"/>
          </w:divBdr>
        </w:div>
        <w:div w:id="972754479">
          <w:marLeft w:val="0"/>
          <w:marRight w:val="0"/>
          <w:marTop w:val="0"/>
          <w:marBottom w:val="0"/>
          <w:divBdr>
            <w:top w:val="none" w:sz="0" w:space="0" w:color="auto"/>
            <w:left w:val="none" w:sz="0" w:space="0" w:color="auto"/>
            <w:bottom w:val="none" w:sz="0" w:space="0" w:color="auto"/>
            <w:right w:val="none" w:sz="0" w:space="0" w:color="auto"/>
          </w:divBdr>
        </w:div>
      </w:divsChild>
    </w:div>
    <w:div w:id="724259366">
      <w:bodyDiv w:val="1"/>
      <w:marLeft w:val="0"/>
      <w:marRight w:val="0"/>
      <w:marTop w:val="0"/>
      <w:marBottom w:val="0"/>
      <w:divBdr>
        <w:top w:val="none" w:sz="0" w:space="0" w:color="auto"/>
        <w:left w:val="none" w:sz="0" w:space="0" w:color="auto"/>
        <w:bottom w:val="none" w:sz="0" w:space="0" w:color="auto"/>
        <w:right w:val="none" w:sz="0" w:space="0" w:color="auto"/>
      </w:divBdr>
      <w:divsChild>
        <w:div w:id="1630089654">
          <w:marLeft w:val="0"/>
          <w:marRight w:val="0"/>
          <w:marTop w:val="0"/>
          <w:marBottom w:val="0"/>
          <w:divBdr>
            <w:top w:val="none" w:sz="0" w:space="0" w:color="auto"/>
            <w:left w:val="none" w:sz="0" w:space="0" w:color="auto"/>
            <w:bottom w:val="none" w:sz="0" w:space="0" w:color="auto"/>
            <w:right w:val="none" w:sz="0" w:space="0" w:color="auto"/>
          </w:divBdr>
        </w:div>
      </w:divsChild>
    </w:div>
    <w:div w:id="1867399296">
      <w:bodyDiv w:val="1"/>
      <w:marLeft w:val="0"/>
      <w:marRight w:val="0"/>
      <w:marTop w:val="0"/>
      <w:marBottom w:val="0"/>
      <w:divBdr>
        <w:top w:val="none" w:sz="0" w:space="0" w:color="auto"/>
        <w:left w:val="none" w:sz="0" w:space="0" w:color="auto"/>
        <w:bottom w:val="none" w:sz="0" w:space="0" w:color="auto"/>
        <w:right w:val="none" w:sz="0" w:space="0" w:color="auto"/>
      </w:divBdr>
      <w:divsChild>
        <w:div w:id="155604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1C575-B635-4A2D-B941-6402E5E2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8289</Words>
  <Characters>47251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2014-07-09T07:58:00Z</dcterms:created>
  <dcterms:modified xsi:type="dcterms:W3CDTF">2014-09-03T08:19:00Z</dcterms:modified>
</cp:coreProperties>
</file>