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FC" w:rsidRPr="00081DFF" w:rsidRDefault="005363E2" w:rsidP="00081DFF">
      <w:pPr>
        <w:jc w:val="center"/>
        <w:rPr>
          <w:rFonts w:ascii="Times New Roman" w:hAnsi="Times New Roman" w:cs="Times New Roman"/>
          <w:b/>
          <w:sz w:val="28"/>
        </w:rPr>
      </w:pPr>
      <w:r w:rsidRPr="00081DFF">
        <w:rPr>
          <w:rFonts w:ascii="Times New Roman" w:hAnsi="Times New Roman" w:cs="Times New Roman"/>
          <w:b/>
          <w:sz w:val="28"/>
        </w:rPr>
        <w:t>Utjecaj kalcizacije kiselog tla na zastupljenost rodova nematoda</w:t>
      </w:r>
    </w:p>
    <w:p w:rsidR="00743A5F" w:rsidRPr="00234DD9" w:rsidRDefault="00081DFF" w:rsidP="00081D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Brmež Mirjana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Benković-Lačić Teuta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="004818EA">
        <w:rPr>
          <w:rFonts w:ascii="Times New Roman" w:hAnsi="Times New Roman" w:cs="Times New Roman"/>
          <w:sz w:val="24"/>
        </w:rPr>
        <w:t>, Varga Ivana</w:t>
      </w:r>
      <w:r w:rsidR="004818EA">
        <w:rPr>
          <w:rFonts w:ascii="Times New Roman" w:hAnsi="Times New Roman" w:cs="Times New Roman"/>
          <w:sz w:val="24"/>
          <w:vertAlign w:val="superscript"/>
        </w:rPr>
        <w:t>1</w:t>
      </w:r>
      <w:r w:rsidR="004818EA">
        <w:rPr>
          <w:rFonts w:ascii="Times New Roman" w:hAnsi="Times New Roman" w:cs="Times New Roman"/>
          <w:sz w:val="24"/>
        </w:rPr>
        <w:t xml:space="preserve">, </w:t>
      </w:r>
      <w:r w:rsidR="00234DD9">
        <w:rPr>
          <w:rFonts w:ascii="Times New Roman" w:hAnsi="Times New Roman" w:cs="Times New Roman"/>
          <w:sz w:val="24"/>
        </w:rPr>
        <w:t xml:space="preserve">Lončarić </w:t>
      </w:r>
      <w:r w:rsidR="00234DD9" w:rsidRPr="00234DD9">
        <w:rPr>
          <w:rFonts w:ascii="Times New Roman" w:hAnsi="Times New Roman" w:cs="Times New Roman"/>
          <w:sz w:val="24"/>
        </w:rPr>
        <w:t>Zdenko</w:t>
      </w:r>
      <w:r w:rsidR="00234DD9" w:rsidRPr="00234DD9">
        <w:rPr>
          <w:rFonts w:ascii="Times New Roman" w:hAnsi="Times New Roman" w:cs="Times New Roman"/>
          <w:sz w:val="24"/>
          <w:vertAlign w:val="superscript"/>
        </w:rPr>
        <w:t>1</w:t>
      </w:r>
      <w:r w:rsidR="00234DD9">
        <w:rPr>
          <w:rFonts w:ascii="Times New Roman" w:hAnsi="Times New Roman" w:cs="Times New Roman"/>
          <w:sz w:val="24"/>
        </w:rPr>
        <w:t xml:space="preserve">, </w:t>
      </w:r>
      <w:r w:rsidR="004818EA" w:rsidRPr="00234DD9">
        <w:rPr>
          <w:rFonts w:ascii="Times New Roman" w:hAnsi="Times New Roman" w:cs="Times New Roman"/>
          <w:sz w:val="24"/>
        </w:rPr>
        <w:t xml:space="preserve">Ivezić </w:t>
      </w:r>
      <w:r w:rsidR="004818EA">
        <w:rPr>
          <w:rFonts w:ascii="Times New Roman" w:hAnsi="Times New Roman" w:cs="Times New Roman"/>
          <w:sz w:val="24"/>
        </w:rPr>
        <w:t>Marija</w:t>
      </w:r>
      <w:r w:rsidR="004818EA">
        <w:rPr>
          <w:rFonts w:ascii="Times New Roman" w:hAnsi="Times New Roman" w:cs="Times New Roman"/>
          <w:sz w:val="24"/>
          <w:vertAlign w:val="superscript"/>
        </w:rPr>
        <w:t>1</w:t>
      </w:r>
      <w:r w:rsidR="004818EA">
        <w:rPr>
          <w:rFonts w:ascii="Times New Roman" w:hAnsi="Times New Roman" w:cs="Times New Roman"/>
          <w:sz w:val="24"/>
        </w:rPr>
        <w:t>, Raspudić Emilija</w:t>
      </w:r>
      <w:r w:rsidR="004818EA">
        <w:rPr>
          <w:rFonts w:ascii="Times New Roman" w:hAnsi="Times New Roman" w:cs="Times New Roman"/>
          <w:sz w:val="24"/>
          <w:vertAlign w:val="superscript"/>
        </w:rPr>
        <w:t>1</w:t>
      </w:r>
      <w:r w:rsidR="004818EA">
        <w:rPr>
          <w:rFonts w:ascii="Times New Roman" w:hAnsi="Times New Roman" w:cs="Times New Roman"/>
          <w:sz w:val="24"/>
        </w:rPr>
        <w:t>, Majić Ivana</w:t>
      </w:r>
      <w:r w:rsidR="004818EA">
        <w:rPr>
          <w:rFonts w:ascii="Times New Roman" w:hAnsi="Times New Roman" w:cs="Times New Roman"/>
          <w:sz w:val="24"/>
          <w:vertAlign w:val="superscript"/>
        </w:rPr>
        <w:t>1</w:t>
      </w:r>
      <w:r w:rsidR="004818EA">
        <w:rPr>
          <w:rFonts w:ascii="Times New Roman" w:hAnsi="Times New Roman" w:cs="Times New Roman"/>
          <w:sz w:val="24"/>
        </w:rPr>
        <w:t>, Sarajlić Ankica</w:t>
      </w:r>
      <w:r w:rsidR="00234DD9">
        <w:rPr>
          <w:rFonts w:ascii="Times New Roman" w:hAnsi="Times New Roman" w:cs="Times New Roman"/>
          <w:sz w:val="24"/>
          <w:vertAlign w:val="superscript"/>
        </w:rPr>
        <w:t>1</w:t>
      </w:r>
    </w:p>
    <w:p w:rsidR="00081DFF" w:rsidRDefault="00081DFF" w:rsidP="00081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DFF" w:rsidRPr="00081DFF" w:rsidRDefault="00081DFF" w:rsidP="00081DFF">
      <w:pPr>
        <w:spacing w:after="0"/>
        <w:rPr>
          <w:rFonts w:ascii="Times New Roman" w:hAnsi="Times New Roman" w:cs="Times New Roman"/>
          <w:szCs w:val="24"/>
        </w:rPr>
      </w:pPr>
      <w:r w:rsidRPr="00081DF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081DFF">
        <w:rPr>
          <w:rFonts w:ascii="Times New Roman" w:hAnsi="Times New Roman" w:cs="Times New Roman"/>
          <w:i/>
          <w:szCs w:val="24"/>
        </w:rPr>
        <w:t xml:space="preserve">Sveučilište Josipa Jurja Strossmayera u Osijeku, Poljoprivredni fakultet u Osijeku, Kralja Petra Svačića 1d, Osijek, </w:t>
      </w:r>
      <w:r w:rsidR="00B02C70">
        <w:rPr>
          <w:rFonts w:ascii="Times New Roman" w:hAnsi="Times New Roman" w:cs="Times New Roman"/>
          <w:i/>
          <w:szCs w:val="24"/>
        </w:rPr>
        <w:t>Hrvatska (</w:t>
      </w:r>
      <w:r w:rsidRPr="00081DFF">
        <w:rPr>
          <w:rFonts w:ascii="Times New Roman" w:hAnsi="Times New Roman" w:cs="Times New Roman"/>
          <w:i/>
          <w:szCs w:val="24"/>
        </w:rPr>
        <w:t xml:space="preserve">e mail: </w:t>
      </w:r>
      <w:hyperlink r:id="rId5" w:history="1">
        <w:r w:rsidRPr="00081DFF">
          <w:rPr>
            <w:rStyle w:val="Hyperlink"/>
            <w:rFonts w:ascii="Times New Roman" w:hAnsi="Times New Roman" w:cs="Times New Roman"/>
            <w:i/>
            <w:szCs w:val="24"/>
          </w:rPr>
          <w:t>mirjana.brmez@pfos.hr</w:t>
        </w:r>
      </w:hyperlink>
      <w:r w:rsidR="00281712">
        <w:rPr>
          <w:rFonts w:ascii="Times New Roman" w:hAnsi="Times New Roman" w:cs="Times New Roman"/>
          <w:i/>
          <w:szCs w:val="24"/>
        </w:rPr>
        <w:t>)</w:t>
      </w:r>
    </w:p>
    <w:p w:rsidR="00081DFF" w:rsidRPr="00081DFF" w:rsidRDefault="00081DFF" w:rsidP="00081DFF">
      <w:pPr>
        <w:spacing w:after="0"/>
        <w:rPr>
          <w:rFonts w:ascii="Times New Roman" w:hAnsi="Times New Roman" w:cs="Times New Roman"/>
          <w:i/>
          <w:szCs w:val="24"/>
        </w:rPr>
      </w:pPr>
      <w:r w:rsidRPr="00081DFF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081DFF">
        <w:rPr>
          <w:rFonts w:ascii="Times New Roman" w:hAnsi="Times New Roman" w:cs="Times New Roman"/>
          <w:i/>
          <w:szCs w:val="24"/>
        </w:rPr>
        <w:t>Teuta Benković-Lačić, Veleučilište u Slavonskom Brodu, Poljoprivredni odjel, Dr. Mile Budaka 1, Slavonski Brod, Hrvatska</w:t>
      </w:r>
    </w:p>
    <w:p w:rsidR="00081DFF" w:rsidRDefault="00081DFF" w:rsidP="00081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C64" w:rsidRPr="00E86C64" w:rsidRDefault="00E86C64" w:rsidP="00E86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C64">
        <w:rPr>
          <w:rFonts w:ascii="Times New Roman" w:hAnsi="Times New Roman" w:cs="Times New Roman"/>
          <w:b/>
          <w:sz w:val="24"/>
          <w:szCs w:val="24"/>
        </w:rPr>
        <w:t xml:space="preserve">Sažetak </w:t>
      </w:r>
    </w:p>
    <w:p w:rsidR="00EF1D2E" w:rsidRPr="006B2E98" w:rsidRDefault="006B2E98" w:rsidP="002D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ovoga istraživanja bio je utvrditi utjecaj kalcizacije kiselog tla na zastupljenost rodova nematoda. Istraživanje je provedeno 2010. godine u Donjoj Vrbi, u pokusu s feferonima. Pokus je postavljen u dva tretmana:  bez kalcizacije (kontrola) i tretman s kalcizacijom (</w:t>
      </w:r>
      <w:r w:rsidRPr="006B2E98">
        <w:rPr>
          <w:rFonts w:ascii="Times New Roman" w:hAnsi="Times New Roman" w:cs="Times New Roman"/>
          <w:sz w:val="24"/>
          <w:szCs w:val="24"/>
        </w:rPr>
        <w:t>2,22 g kg</w:t>
      </w:r>
      <w:r w:rsidR="00D96E69" w:rsidRPr="00D96E6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B2E98">
        <w:rPr>
          <w:rFonts w:ascii="Times New Roman" w:hAnsi="Times New Roman" w:cs="Times New Roman"/>
          <w:sz w:val="24"/>
          <w:szCs w:val="24"/>
        </w:rPr>
        <w:t xml:space="preserve"> CaCO</w:t>
      </w:r>
      <w:r w:rsidRPr="006B2E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u četiri ponavljanja. Utvrđeno je 30 rodova nematoda, od čega 22 roda u tlu bez kalcizacije i 23 roda u kalciziranom tlu. Velika razlika u brojnosti nematoda uočena je kod roda </w:t>
      </w:r>
      <w:r w:rsidRPr="006B2E98">
        <w:rPr>
          <w:rFonts w:ascii="Times New Roman" w:hAnsi="Times New Roman" w:cs="Times New Roman"/>
          <w:i/>
          <w:sz w:val="24"/>
          <w:szCs w:val="24"/>
        </w:rPr>
        <w:t>Rhabditis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0040">
        <w:rPr>
          <w:rFonts w:ascii="Times New Roman" w:hAnsi="Times New Roman" w:cs="Times New Roman"/>
          <w:sz w:val="24"/>
          <w:szCs w:val="24"/>
        </w:rPr>
        <w:t xml:space="preserve"> čija je brojnost u </w:t>
      </w:r>
      <w:r>
        <w:rPr>
          <w:rFonts w:ascii="Times New Roman" w:hAnsi="Times New Roman" w:cs="Times New Roman"/>
          <w:sz w:val="24"/>
          <w:szCs w:val="24"/>
        </w:rPr>
        <w:t>kalciz</w:t>
      </w:r>
      <w:r w:rsidR="00EA09C3">
        <w:rPr>
          <w:rFonts w:ascii="Times New Roman" w:hAnsi="Times New Roman" w:cs="Times New Roman"/>
          <w:sz w:val="24"/>
          <w:szCs w:val="24"/>
        </w:rPr>
        <w:t>iranom tlu</w:t>
      </w:r>
      <w:r w:rsidR="00E30040">
        <w:rPr>
          <w:rFonts w:ascii="Times New Roman" w:hAnsi="Times New Roman" w:cs="Times New Roman"/>
          <w:sz w:val="24"/>
          <w:szCs w:val="24"/>
        </w:rPr>
        <w:t xml:space="preserve"> bila manja u odnosu na nekalcizirano tlo</w:t>
      </w:r>
      <w:r w:rsidR="00EA09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 kod roda </w:t>
      </w:r>
      <w:r w:rsidRPr="00EA09C3">
        <w:rPr>
          <w:rFonts w:ascii="Times New Roman" w:hAnsi="Times New Roman" w:cs="Times New Roman"/>
          <w:i/>
          <w:sz w:val="24"/>
          <w:szCs w:val="24"/>
        </w:rPr>
        <w:t>Acrobeloides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70">
        <w:rPr>
          <w:rFonts w:ascii="Times New Roman" w:hAnsi="Times New Roman" w:cs="Times New Roman"/>
          <w:sz w:val="24"/>
          <w:szCs w:val="24"/>
        </w:rPr>
        <w:t>čija</w:t>
      </w:r>
      <w:r w:rsidR="00E30040">
        <w:rPr>
          <w:rFonts w:ascii="Times New Roman" w:hAnsi="Times New Roman" w:cs="Times New Roman"/>
          <w:sz w:val="24"/>
          <w:szCs w:val="24"/>
        </w:rPr>
        <w:t xml:space="preserve"> se brojnost povećala</w:t>
      </w:r>
      <w:r>
        <w:rPr>
          <w:rFonts w:ascii="Times New Roman" w:hAnsi="Times New Roman" w:cs="Times New Roman"/>
          <w:sz w:val="24"/>
          <w:szCs w:val="24"/>
        </w:rPr>
        <w:t xml:space="preserve"> u kalciz</w:t>
      </w:r>
      <w:r w:rsidR="00EA09C3">
        <w:rPr>
          <w:rFonts w:ascii="Times New Roman" w:hAnsi="Times New Roman" w:cs="Times New Roman"/>
          <w:sz w:val="24"/>
          <w:szCs w:val="24"/>
        </w:rPr>
        <w:t xml:space="preserve">iranom tlu. </w:t>
      </w:r>
      <w:r w:rsidR="002D2C76">
        <w:rPr>
          <w:rFonts w:ascii="Times New Roman" w:hAnsi="Times New Roman" w:cs="Times New Roman"/>
          <w:sz w:val="24"/>
          <w:szCs w:val="24"/>
        </w:rPr>
        <w:t>Kalcizacija je pozitivno utjecala na biološku raznolikost rodova u tlu, a nematode su se pokazale kao dobar bioindikator procesa koji se odvijaju u tlu.</w:t>
      </w:r>
    </w:p>
    <w:p w:rsidR="00E86C64" w:rsidRDefault="00E86C64" w:rsidP="00E86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C64" w:rsidRPr="00E86C64" w:rsidRDefault="00E86C64" w:rsidP="00E8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C64">
        <w:rPr>
          <w:rFonts w:ascii="Times New Roman" w:hAnsi="Times New Roman" w:cs="Times New Roman"/>
          <w:b/>
          <w:sz w:val="24"/>
          <w:szCs w:val="24"/>
        </w:rPr>
        <w:t>Ključne riječi</w:t>
      </w:r>
      <w:r w:rsidRPr="00E86C64">
        <w:rPr>
          <w:rFonts w:ascii="Times New Roman" w:hAnsi="Times New Roman" w:cs="Times New Roman"/>
          <w:sz w:val="24"/>
          <w:szCs w:val="24"/>
        </w:rPr>
        <w:t xml:space="preserve">: </w:t>
      </w:r>
      <w:r w:rsidR="00B02C70">
        <w:rPr>
          <w:rFonts w:ascii="Times New Roman" w:hAnsi="Times New Roman" w:cs="Times New Roman"/>
          <w:sz w:val="24"/>
          <w:szCs w:val="24"/>
        </w:rPr>
        <w:t xml:space="preserve">bioindikatori,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02C70">
        <w:rPr>
          <w:rFonts w:ascii="Times New Roman" w:hAnsi="Times New Roman" w:cs="Times New Roman"/>
          <w:sz w:val="24"/>
          <w:szCs w:val="24"/>
        </w:rPr>
        <w:t>ematode</w:t>
      </w:r>
      <w:r>
        <w:rPr>
          <w:rFonts w:ascii="Times New Roman" w:hAnsi="Times New Roman" w:cs="Times New Roman"/>
          <w:sz w:val="24"/>
          <w:szCs w:val="24"/>
        </w:rPr>
        <w:t>, kalcizacija</w:t>
      </w:r>
      <w:r w:rsidR="00BA69DB">
        <w:rPr>
          <w:rFonts w:ascii="Times New Roman" w:hAnsi="Times New Roman" w:cs="Times New Roman"/>
          <w:sz w:val="24"/>
          <w:szCs w:val="24"/>
        </w:rPr>
        <w:t xml:space="preserve"> kiselog tla</w:t>
      </w:r>
    </w:p>
    <w:p w:rsidR="00E86C64" w:rsidRPr="00E86C64" w:rsidRDefault="00E86C64" w:rsidP="00E86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402" w:rsidRDefault="00E86C64" w:rsidP="00E86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C64">
        <w:rPr>
          <w:rFonts w:ascii="Times New Roman" w:hAnsi="Times New Roman" w:cs="Times New Roman"/>
          <w:b/>
          <w:sz w:val="24"/>
          <w:szCs w:val="24"/>
        </w:rPr>
        <w:t>Uvod</w:t>
      </w:r>
      <w:r w:rsidR="00872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28C" w:rsidRPr="0078428C" w:rsidRDefault="002F7AA8" w:rsidP="007842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Nematode n</w:t>
      </w:r>
      <w:r w:rsidRPr="007F14D2">
        <w:rPr>
          <w:rFonts w:ascii="Times New Roman" w:hAnsi="Times New Roman" w:cs="Times New Roman"/>
          <w:sz w:val="24"/>
          <w:szCs w:val="24"/>
        </w:rPr>
        <w:t>alazimo kao slobodnoživuće vrste ili vrste koje par</w:t>
      </w:r>
      <w:r w:rsidR="004A25CD">
        <w:rPr>
          <w:rFonts w:ascii="Times New Roman" w:hAnsi="Times New Roman" w:cs="Times New Roman"/>
          <w:sz w:val="24"/>
          <w:szCs w:val="24"/>
        </w:rPr>
        <w:t>a</w:t>
      </w:r>
      <w:r w:rsidRPr="007F14D2">
        <w:rPr>
          <w:rFonts w:ascii="Times New Roman" w:hAnsi="Times New Roman" w:cs="Times New Roman"/>
          <w:sz w:val="24"/>
          <w:szCs w:val="24"/>
        </w:rPr>
        <w:t xml:space="preserve">zitiraju biljke, ljude i životinje (Olsen 1974.). </w:t>
      </w:r>
      <w:r w:rsidRPr="005719AA">
        <w:rPr>
          <w:rFonts w:ascii="Times New Roman" w:hAnsi="Times New Roman" w:cs="Times New Roman"/>
          <w:sz w:val="24"/>
          <w:szCs w:val="24"/>
        </w:rPr>
        <w:t xml:space="preserve">Na planeti </w:t>
      </w:r>
      <w:r w:rsidR="001C3EE7">
        <w:rPr>
          <w:rFonts w:ascii="Times New Roman" w:hAnsi="Times New Roman" w:cs="Times New Roman"/>
          <w:sz w:val="24"/>
          <w:szCs w:val="24"/>
        </w:rPr>
        <w:t xml:space="preserve">Zemlji </w:t>
      </w:r>
      <w:r w:rsidRPr="005719AA">
        <w:rPr>
          <w:rFonts w:ascii="Times New Roman" w:hAnsi="Times New Roman" w:cs="Times New Roman"/>
          <w:sz w:val="24"/>
          <w:szCs w:val="24"/>
        </w:rPr>
        <w:t>je svaka četvrta od pet v</w:t>
      </w:r>
      <w:r>
        <w:rPr>
          <w:rFonts w:ascii="Times New Roman" w:hAnsi="Times New Roman" w:cs="Times New Roman"/>
          <w:sz w:val="24"/>
          <w:szCs w:val="24"/>
        </w:rPr>
        <w:t>išestaničnih životinja nematoda, a j</w:t>
      </w:r>
      <w:r w:rsidRPr="007F14D2">
        <w:rPr>
          <w:rFonts w:ascii="Times New Roman" w:hAnsi="Times New Roman" w:cs="Times New Roman"/>
          <w:sz w:val="24"/>
          <w:szCs w:val="24"/>
        </w:rPr>
        <w:t>edan m</w:t>
      </w:r>
      <w:r w:rsidRPr="007F14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14D2">
        <w:rPr>
          <w:rFonts w:ascii="Times New Roman" w:hAnsi="Times New Roman" w:cs="Times New Roman"/>
          <w:sz w:val="24"/>
          <w:szCs w:val="24"/>
        </w:rPr>
        <w:t xml:space="preserve"> tla može sadržavati oko milijun nematoda (Bongers i Ferris, 1999.).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AA">
        <w:rPr>
          <w:rFonts w:ascii="Times New Roman" w:hAnsi="Times New Roman" w:cs="Times New Roman"/>
          <w:sz w:val="24"/>
          <w:szCs w:val="24"/>
        </w:rPr>
        <w:t>Najzastupljenije nematod</w:t>
      </w:r>
      <w:r w:rsidR="001C3EE7">
        <w:rPr>
          <w:rFonts w:ascii="Times New Roman" w:hAnsi="Times New Roman" w:cs="Times New Roman"/>
          <w:sz w:val="24"/>
          <w:szCs w:val="24"/>
        </w:rPr>
        <w:t>e</w:t>
      </w:r>
      <w:r w:rsidRPr="005719AA">
        <w:rPr>
          <w:rFonts w:ascii="Times New Roman" w:hAnsi="Times New Roman" w:cs="Times New Roman"/>
          <w:sz w:val="24"/>
          <w:szCs w:val="24"/>
        </w:rPr>
        <w:t xml:space="preserve"> u tlu </w:t>
      </w:r>
      <w:r w:rsidR="001C3EE7">
        <w:rPr>
          <w:rFonts w:ascii="Times New Roman" w:hAnsi="Times New Roman" w:cs="Times New Roman"/>
          <w:sz w:val="24"/>
          <w:szCs w:val="24"/>
        </w:rPr>
        <w:t xml:space="preserve">pripoadaju porodicama </w:t>
      </w:r>
      <w:r w:rsidRPr="005719AA">
        <w:rPr>
          <w:rFonts w:ascii="Times New Roman" w:hAnsi="Times New Roman" w:cs="Times New Roman"/>
          <w:sz w:val="24"/>
          <w:szCs w:val="24"/>
        </w:rPr>
        <w:t>Dorylaimidae, Rhabditidae, Aphelenchidae i Tylenchidae (McSorley, 1997.).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28C" w:rsidRPr="00CD3CB6">
        <w:rPr>
          <w:rFonts w:ascii="Times New Roman" w:hAnsi="Times New Roman" w:cs="Times New Roman"/>
          <w:sz w:val="24"/>
          <w:szCs w:val="24"/>
        </w:rPr>
        <w:t>Neke vrste iz reda Tylenchida, posebno vrste iz porodica Heteroderida</w:t>
      </w:r>
      <w:r w:rsidR="007A0FCC">
        <w:rPr>
          <w:rFonts w:ascii="Times New Roman" w:hAnsi="Times New Roman" w:cs="Times New Roman"/>
          <w:sz w:val="24"/>
          <w:szCs w:val="24"/>
        </w:rPr>
        <w:t>e i Meloidogyn</w:t>
      </w:r>
      <w:r w:rsidR="0078428C" w:rsidRPr="00CD3CB6">
        <w:rPr>
          <w:rFonts w:ascii="Times New Roman" w:hAnsi="Times New Roman" w:cs="Times New Roman"/>
          <w:sz w:val="24"/>
          <w:szCs w:val="24"/>
        </w:rPr>
        <w:t>e uzrokuju velike štete u poljoprivrednoj proizvodnji</w:t>
      </w:r>
      <w:r w:rsidR="0078428C">
        <w:rPr>
          <w:rFonts w:ascii="Times New Roman" w:hAnsi="Times New Roman" w:cs="Times New Roman"/>
          <w:sz w:val="24"/>
          <w:szCs w:val="24"/>
        </w:rPr>
        <w:t xml:space="preserve"> </w:t>
      </w:r>
      <w:r w:rsidR="0078428C" w:rsidRPr="001C77C0">
        <w:rPr>
          <w:rFonts w:ascii="Times New Roman" w:hAnsi="Times New Roman" w:cs="Times New Roman"/>
          <w:sz w:val="24"/>
          <w:szCs w:val="24"/>
        </w:rPr>
        <w:t>(Siddiqi, 2000.).</w:t>
      </w:r>
      <w:r w:rsidR="0078428C">
        <w:rPr>
          <w:rFonts w:ascii="Times New Roman" w:hAnsi="Times New Roman" w:cs="Times New Roman"/>
          <w:sz w:val="24"/>
          <w:szCs w:val="24"/>
        </w:rPr>
        <w:t xml:space="preserve"> </w:t>
      </w:r>
      <w:r w:rsidR="0078428C" w:rsidRPr="00CD3CB6">
        <w:rPr>
          <w:rFonts w:ascii="Times New Roman" w:hAnsi="Times New Roman" w:cs="Times New Roman"/>
          <w:sz w:val="24"/>
          <w:szCs w:val="24"/>
        </w:rPr>
        <w:t>Osim izravnih šteta, fitoparazitne nematode (</w:t>
      </w:r>
      <w:r w:rsidR="000F1CE0">
        <w:rPr>
          <w:rFonts w:ascii="Times New Roman" w:hAnsi="Times New Roman" w:cs="Times New Roman"/>
          <w:sz w:val="24"/>
          <w:szCs w:val="24"/>
        </w:rPr>
        <w:t xml:space="preserve">rodovi </w:t>
      </w:r>
      <w:r w:rsidR="0078428C" w:rsidRPr="00CD3CB6">
        <w:rPr>
          <w:rFonts w:ascii="Times New Roman" w:hAnsi="Times New Roman" w:cs="Times New Roman"/>
          <w:i/>
          <w:sz w:val="24"/>
          <w:szCs w:val="24"/>
        </w:rPr>
        <w:t xml:space="preserve">Xiphinema, Longidorus, Paratrichodorus </w:t>
      </w:r>
      <w:r w:rsidR="0078428C" w:rsidRPr="00CD3CB6">
        <w:rPr>
          <w:rFonts w:ascii="Times New Roman" w:hAnsi="Times New Roman" w:cs="Times New Roman"/>
          <w:sz w:val="24"/>
          <w:szCs w:val="24"/>
        </w:rPr>
        <w:t xml:space="preserve">i </w:t>
      </w:r>
      <w:r w:rsidR="0078428C" w:rsidRPr="00CD3CB6">
        <w:rPr>
          <w:rFonts w:ascii="Times New Roman" w:hAnsi="Times New Roman" w:cs="Times New Roman"/>
          <w:i/>
          <w:sz w:val="24"/>
          <w:szCs w:val="24"/>
        </w:rPr>
        <w:t>Trichodorus</w:t>
      </w:r>
      <w:r w:rsidR="0078428C" w:rsidRPr="00CD3CB6">
        <w:rPr>
          <w:rFonts w:ascii="Times New Roman" w:hAnsi="Times New Roman" w:cs="Times New Roman"/>
          <w:sz w:val="24"/>
          <w:szCs w:val="24"/>
        </w:rPr>
        <w:t>) mogu biti i vektori mnogih virusa (Oštrec, 1998.).</w:t>
      </w:r>
      <w:r w:rsidR="0078428C" w:rsidRPr="00101194">
        <w:t xml:space="preserve"> </w:t>
      </w:r>
    </w:p>
    <w:p w:rsidR="0078428C" w:rsidRDefault="0078428C" w:rsidP="0078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Nematode su obzirom na način ishrane podjeljene u </w:t>
      </w:r>
      <w:r w:rsidRPr="00373A49">
        <w:rPr>
          <w:rFonts w:ascii="Times New Roman" w:hAnsi="Times New Roman" w:cs="Times New Roman"/>
          <w:sz w:val="24"/>
          <w:szCs w:val="24"/>
        </w:rPr>
        <w:t>15 različitih trofičkih grupa (Yeats i sur.</w:t>
      </w:r>
      <w:r w:rsidR="005E6F2C">
        <w:rPr>
          <w:rFonts w:ascii="Times New Roman" w:hAnsi="Times New Roman" w:cs="Times New Roman"/>
          <w:sz w:val="24"/>
          <w:szCs w:val="24"/>
        </w:rPr>
        <w:t>, 1993.). U poljoprivrednim tlima</w:t>
      </w:r>
      <w:r w:rsidRPr="00373A49">
        <w:rPr>
          <w:rFonts w:ascii="Times New Roman" w:hAnsi="Times New Roman" w:cs="Times New Roman"/>
          <w:sz w:val="24"/>
          <w:szCs w:val="24"/>
        </w:rPr>
        <w:t xml:space="preserve"> najčešće se nalaz</w:t>
      </w:r>
      <w:r>
        <w:rPr>
          <w:rFonts w:ascii="Times New Roman" w:hAnsi="Times New Roman" w:cs="Times New Roman"/>
          <w:sz w:val="24"/>
          <w:szCs w:val="24"/>
        </w:rPr>
        <w:t>e nematode iz 5 trofičkih grupa:</w:t>
      </w:r>
      <w:r w:rsidRPr="00373A49">
        <w:rPr>
          <w:rFonts w:ascii="Times New Roman" w:hAnsi="Times New Roman" w:cs="Times New Roman"/>
          <w:sz w:val="24"/>
          <w:szCs w:val="24"/>
        </w:rPr>
        <w:t xml:space="preserve"> herbivore</w:t>
      </w:r>
      <w:r w:rsidR="00CB022E">
        <w:rPr>
          <w:rFonts w:ascii="Times New Roman" w:hAnsi="Times New Roman" w:cs="Times New Roman"/>
          <w:sz w:val="24"/>
          <w:szCs w:val="24"/>
        </w:rPr>
        <w:t xml:space="preserve">, </w:t>
      </w:r>
      <w:r w:rsidRPr="00373A49">
        <w:rPr>
          <w:rFonts w:ascii="Times New Roman" w:hAnsi="Times New Roman" w:cs="Times New Roman"/>
          <w:sz w:val="24"/>
          <w:szCs w:val="24"/>
        </w:rPr>
        <w:t>bakterivore, fungivore, predatori i omnivore (Nehe</w:t>
      </w:r>
      <w:r>
        <w:rPr>
          <w:rFonts w:ascii="Times New Roman" w:hAnsi="Times New Roman" w:cs="Times New Roman"/>
          <w:sz w:val="24"/>
          <w:szCs w:val="24"/>
        </w:rPr>
        <w:t>r i Barbercheck, 1999.), dok n</w:t>
      </w:r>
      <w:r w:rsidRPr="00373A49">
        <w:rPr>
          <w:rFonts w:ascii="Times New Roman" w:hAnsi="Times New Roman" w:cs="Times New Roman"/>
          <w:sz w:val="24"/>
          <w:szCs w:val="24"/>
        </w:rPr>
        <w:t>ajveću brojnost u tlu imaju fitoparazitne nematode i bakterivore (</w:t>
      </w:r>
      <w:r>
        <w:rPr>
          <w:rFonts w:ascii="Times New Roman" w:hAnsi="Times New Roman" w:cs="Times New Roman"/>
          <w:sz w:val="24"/>
          <w:szCs w:val="24"/>
        </w:rPr>
        <w:t>Brmež i sur., 2004.</w:t>
      </w:r>
      <w:r w:rsidRPr="00373A49">
        <w:rPr>
          <w:rFonts w:ascii="Times New Roman" w:hAnsi="Times New Roman" w:cs="Times New Roman"/>
          <w:sz w:val="24"/>
          <w:szCs w:val="24"/>
        </w:rPr>
        <w:t>).</w:t>
      </w:r>
    </w:p>
    <w:p w:rsidR="001C3EE7" w:rsidRDefault="002F7AA8" w:rsidP="002F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01194">
        <w:rPr>
          <w:rFonts w:ascii="Times New Roman" w:hAnsi="Times New Roman" w:cs="Times New Roman"/>
          <w:sz w:val="24"/>
          <w:szCs w:val="24"/>
        </w:rPr>
        <w:t>ematod</w:t>
      </w:r>
      <w:r w:rsidR="005E6F2C">
        <w:rPr>
          <w:rFonts w:ascii="Times New Roman" w:hAnsi="Times New Roman" w:cs="Times New Roman"/>
          <w:sz w:val="24"/>
          <w:szCs w:val="24"/>
        </w:rPr>
        <w:t xml:space="preserve">e u tlu </w:t>
      </w:r>
      <w:r w:rsidR="001C3EE7">
        <w:rPr>
          <w:rFonts w:ascii="Times New Roman" w:hAnsi="Times New Roman" w:cs="Times New Roman"/>
          <w:sz w:val="24"/>
          <w:szCs w:val="24"/>
        </w:rPr>
        <w:t xml:space="preserve">uvrajaju se u </w:t>
      </w:r>
      <w:r w:rsidR="005E6F2C">
        <w:rPr>
          <w:rFonts w:ascii="Times New Roman" w:hAnsi="Times New Roman" w:cs="Times New Roman"/>
          <w:sz w:val="24"/>
          <w:szCs w:val="24"/>
        </w:rPr>
        <w:t xml:space="preserve">organizme koji </w:t>
      </w:r>
      <w:r w:rsidR="004A25CD">
        <w:rPr>
          <w:rFonts w:ascii="Times New Roman" w:hAnsi="Times New Roman" w:cs="Times New Roman"/>
          <w:sz w:val="24"/>
          <w:szCs w:val="24"/>
        </w:rPr>
        <w:t xml:space="preserve">među </w:t>
      </w:r>
      <w:r w:rsidR="005E6F2C">
        <w:rPr>
          <w:rFonts w:ascii="Times New Roman" w:hAnsi="Times New Roman" w:cs="Times New Roman"/>
          <w:sz w:val="24"/>
          <w:szCs w:val="24"/>
        </w:rPr>
        <w:t>prvi</w:t>
      </w:r>
      <w:r w:rsidR="004A25CD">
        <w:rPr>
          <w:rFonts w:ascii="Times New Roman" w:hAnsi="Times New Roman" w:cs="Times New Roman"/>
          <w:sz w:val="24"/>
          <w:szCs w:val="24"/>
        </w:rPr>
        <w:t>ma</w:t>
      </w:r>
      <w:r w:rsidRPr="00101194">
        <w:rPr>
          <w:rFonts w:ascii="Times New Roman" w:hAnsi="Times New Roman" w:cs="Times New Roman"/>
          <w:sz w:val="24"/>
          <w:szCs w:val="24"/>
        </w:rPr>
        <w:t xml:space="preserve"> reagiraju na različite</w:t>
      </w:r>
      <w:r w:rsidR="002927C4">
        <w:rPr>
          <w:rFonts w:ascii="Times New Roman" w:hAnsi="Times New Roman" w:cs="Times New Roman"/>
          <w:sz w:val="24"/>
          <w:szCs w:val="24"/>
        </w:rPr>
        <w:t xml:space="preserve"> promjene u tlu. </w:t>
      </w:r>
      <w:r w:rsidR="005E6F2C">
        <w:rPr>
          <w:rFonts w:ascii="Times New Roman" w:hAnsi="Times New Roman" w:cs="Times New Roman"/>
          <w:sz w:val="24"/>
          <w:szCs w:val="24"/>
        </w:rPr>
        <w:t>Zajednica</w:t>
      </w:r>
      <w:r w:rsidRPr="00101194">
        <w:rPr>
          <w:rFonts w:ascii="Times New Roman" w:hAnsi="Times New Roman" w:cs="Times New Roman"/>
          <w:sz w:val="24"/>
          <w:szCs w:val="24"/>
        </w:rPr>
        <w:t xml:space="preserve"> nematoda u tlu pokazatelj je razine onečišćenja tla </w:t>
      </w:r>
      <w:r>
        <w:rPr>
          <w:rFonts w:ascii="Times New Roman" w:hAnsi="Times New Roman" w:cs="Times New Roman"/>
          <w:sz w:val="24"/>
          <w:szCs w:val="24"/>
        </w:rPr>
        <w:t xml:space="preserve">primjerice </w:t>
      </w:r>
      <w:r w:rsidRPr="00101194">
        <w:rPr>
          <w:rFonts w:ascii="Times New Roman" w:hAnsi="Times New Roman" w:cs="Times New Roman"/>
          <w:sz w:val="24"/>
          <w:szCs w:val="24"/>
        </w:rPr>
        <w:t>pesticidima, mineralnim gnoji</w:t>
      </w:r>
      <w:r>
        <w:rPr>
          <w:rFonts w:ascii="Times New Roman" w:hAnsi="Times New Roman" w:cs="Times New Roman"/>
          <w:sz w:val="24"/>
          <w:szCs w:val="24"/>
        </w:rPr>
        <w:t>vima i sl.</w:t>
      </w:r>
      <w:r w:rsidRPr="00101194">
        <w:rPr>
          <w:rFonts w:ascii="Times New Roman" w:hAnsi="Times New Roman" w:cs="Times New Roman"/>
          <w:sz w:val="24"/>
          <w:szCs w:val="24"/>
        </w:rPr>
        <w:t>, količine organske tvari u tlu i cjelokupne biogenosti i zdravlja tla</w:t>
      </w:r>
      <w:r w:rsidR="0091591B">
        <w:rPr>
          <w:rFonts w:ascii="Times New Roman" w:hAnsi="Times New Roman" w:cs="Times New Roman"/>
          <w:sz w:val="24"/>
          <w:szCs w:val="24"/>
        </w:rPr>
        <w:t>.</w:t>
      </w:r>
      <w:r w:rsidRPr="00101194">
        <w:rPr>
          <w:rFonts w:ascii="Times New Roman" w:hAnsi="Times New Roman" w:cs="Times New Roman"/>
          <w:sz w:val="24"/>
          <w:szCs w:val="24"/>
        </w:rPr>
        <w:t xml:space="preserve"> </w:t>
      </w:r>
      <w:r w:rsidR="0091591B">
        <w:rPr>
          <w:rFonts w:ascii="Times New Roman" w:hAnsi="Times New Roman" w:cs="Times New Roman"/>
          <w:sz w:val="24"/>
          <w:szCs w:val="24"/>
        </w:rPr>
        <w:t xml:space="preserve">Jedna od prednosti korištenja nematoda kao bioindikatora </w:t>
      </w:r>
      <w:r w:rsidR="00EF1D2E">
        <w:rPr>
          <w:rFonts w:ascii="Times New Roman" w:hAnsi="Times New Roman" w:cs="Times New Roman"/>
          <w:sz w:val="24"/>
          <w:szCs w:val="24"/>
        </w:rPr>
        <w:t>a</w:t>
      </w:r>
      <w:r w:rsidR="0091591B">
        <w:rPr>
          <w:rFonts w:ascii="Times New Roman" w:hAnsi="Times New Roman" w:cs="Times New Roman"/>
          <w:sz w:val="24"/>
          <w:szCs w:val="24"/>
        </w:rPr>
        <w:t>groekosustava je l</w:t>
      </w:r>
      <w:r w:rsidR="0091591B" w:rsidRPr="0091591B">
        <w:rPr>
          <w:rFonts w:ascii="Times New Roman" w:hAnsi="Times New Roman" w:cs="Times New Roman"/>
          <w:sz w:val="24"/>
          <w:szCs w:val="24"/>
        </w:rPr>
        <w:t>ako uzorkovanj</w:t>
      </w:r>
      <w:r w:rsidR="0091591B">
        <w:rPr>
          <w:rFonts w:ascii="Times New Roman" w:hAnsi="Times New Roman" w:cs="Times New Roman"/>
          <w:sz w:val="24"/>
          <w:szCs w:val="24"/>
        </w:rPr>
        <w:t>e</w:t>
      </w:r>
      <w:r w:rsidR="0091591B" w:rsidRPr="0091591B">
        <w:rPr>
          <w:rFonts w:ascii="Times New Roman" w:hAnsi="Times New Roman" w:cs="Times New Roman"/>
          <w:sz w:val="24"/>
          <w:szCs w:val="24"/>
        </w:rPr>
        <w:t xml:space="preserve"> i identificiranj</w:t>
      </w:r>
      <w:r w:rsidR="0091591B">
        <w:rPr>
          <w:rFonts w:ascii="Times New Roman" w:hAnsi="Times New Roman" w:cs="Times New Roman"/>
          <w:sz w:val="24"/>
          <w:szCs w:val="24"/>
        </w:rPr>
        <w:t>e</w:t>
      </w:r>
      <w:r w:rsidR="0091591B" w:rsidRPr="0091591B">
        <w:rPr>
          <w:rFonts w:ascii="Times New Roman" w:hAnsi="Times New Roman" w:cs="Times New Roman"/>
          <w:sz w:val="24"/>
          <w:szCs w:val="24"/>
        </w:rPr>
        <w:t xml:space="preserve"> (prema mofrologiji)</w:t>
      </w:r>
      <w:r w:rsidR="0091591B">
        <w:rPr>
          <w:rFonts w:ascii="Times New Roman" w:hAnsi="Times New Roman" w:cs="Times New Roman"/>
          <w:sz w:val="24"/>
          <w:szCs w:val="24"/>
        </w:rPr>
        <w:t xml:space="preserve"> i </w:t>
      </w:r>
      <w:r w:rsidR="0091591B" w:rsidRPr="0091591B">
        <w:rPr>
          <w:rFonts w:ascii="Times New Roman" w:hAnsi="Times New Roman" w:cs="Times New Roman"/>
          <w:sz w:val="24"/>
          <w:szCs w:val="24"/>
        </w:rPr>
        <w:t>pripadnost nematode c – p grupi</w:t>
      </w:r>
      <w:r w:rsidR="00915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Zbog toga se nematode </w:t>
      </w:r>
      <w:r w:rsidRPr="00101194">
        <w:rPr>
          <w:rFonts w:ascii="Times New Roman" w:hAnsi="Times New Roman" w:cs="Times New Roman"/>
          <w:sz w:val="24"/>
          <w:szCs w:val="24"/>
        </w:rPr>
        <w:t>koriste kao bioindikatori onečišćenja staništa (Neher, 2001.).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01194">
        <w:rPr>
          <w:rFonts w:ascii="Times New Roman" w:hAnsi="Times New Roman" w:cs="Times New Roman"/>
          <w:sz w:val="24"/>
          <w:szCs w:val="24"/>
        </w:rPr>
        <w:t xml:space="preserve">nalizirom strukture zajednica nematoda može se procjeniti utjecaj uznemirenja na uvjete u tlu (Bongers i Bongers, 1998.). </w:t>
      </w:r>
    </w:p>
    <w:p w:rsidR="002F7AA8" w:rsidRPr="0033794B" w:rsidRDefault="00F37B43" w:rsidP="002F7AA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7B43">
        <w:rPr>
          <w:rFonts w:ascii="Times New Roman" w:hAnsi="Times New Roman" w:cs="Times New Roman"/>
          <w:sz w:val="24"/>
          <w:szCs w:val="24"/>
        </w:rPr>
        <w:t xml:space="preserve">Mnoga istraživanja su provedena u cilju ispitivanja mogućnosti korištenja analize strukture zajednice nematoda kao bioindikatora i u monitoringu stanja </w:t>
      </w:r>
      <w:r>
        <w:rPr>
          <w:rFonts w:ascii="Times New Roman" w:hAnsi="Times New Roman" w:cs="Times New Roman"/>
          <w:sz w:val="24"/>
          <w:szCs w:val="24"/>
        </w:rPr>
        <w:t>agro</w:t>
      </w:r>
      <w:r w:rsidRPr="00F37B43">
        <w:rPr>
          <w:rFonts w:ascii="Times New Roman" w:hAnsi="Times New Roman" w:cs="Times New Roman"/>
          <w:sz w:val="24"/>
          <w:szCs w:val="24"/>
        </w:rPr>
        <w:t>ekosustava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7B43">
        <w:rPr>
          <w:rFonts w:ascii="Times New Roman" w:hAnsi="Times New Roman" w:cs="Times New Roman"/>
          <w:sz w:val="24"/>
          <w:szCs w:val="24"/>
        </w:rPr>
        <w:t>Ekschmitt i Korthals, 2006.;</w:t>
      </w:r>
      <w:r w:rsidRPr="00F37B43">
        <w:rPr>
          <w:rFonts w:ascii="Times New Roman" w:eastAsia="Times New Roman" w:hAnsi="Times New Roman" w:cs="Times New Roman"/>
          <w:szCs w:val="24"/>
        </w:rPr>
        <w:t xml:space="preserve"> </w:t>
      </w:r>
      <w:r w:rsidRPr="00F37B43">
        <w:rPr>
          <w:rFonts w:ascii="Times New Roman" w:hAnsi="Times New Roman" w:cs="Times New Roman"/>
          <w:sz w:val="24"/>
          <w:szCs w:val="24"/>
        </w:rPr>
        <w:t>Shukurov i sur., 2006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7B43">
        <w:t xml:space="preserve"> </w:t>
      </w:r>
      <w:r w:rsidRPr="00F37B43">
        <w:rPr>
          <w:rFonts w:ascii="Times New Roman" w:hAnsi="Times New Roman" w:cs="Times New Roman"/>
          <w:sz w:val="24"/>
          <w:szCs w:val="24"/>
        </w:rPr>
        <w:t>Brmež i sur., 2007.;</w:t>
      </w:r>
      <w:r w:rsidRPr="00F37B43">
        <w:rPr>
          <w:rFonts w:ascii="Times New Roman" w:eastAsia="Times New Roman" w:hAnsi="Times New Roman" w:cs="Times New Roman"/>
          <w:iCs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Gruzdeva i sur., </w:t>
      </w:r>
      <w:r w:rsidRPr="00F37B43">
        <w:rPr>
          <w:rFonts w:ascii="Times New Roman" w:hAnsi="Times New Roman" w:cs="Times New Roman"/>
          <w:iCs/>
          <w:sz w:val="24"/>
          <w:szCs w:val="24"/>
        </w:rPr>
        <w:t>2007.)</w:t>
      </w:r>
      <w:r w:rsidR="0091591B">
        <w:rPr>
          <w:rFonts w:ascii="Times New Roman" w:hAnsi="Times New Roman" w:cs="Times New Roman"/>
          <w:iCs/>
          <w:sz w:val="24"/>
          <w:szCs w:val="24"/>
        </w:rPr>
        <w:t>.</w:t>
      </w:r>
      <w:r w:rsidR="0033794B">
        <w:rPr>
          <w:rFonts w:ascii="Times New Roman" w:hAnsi="Times New Roman" w:cs="Times New Roman"/>
          <w:iCs/>
          <w:sz w:val="24"/>
          <w:szCs w:val="24"/>
        </w:rPr>
        <w:t xml:space="preserve"> U tlima kisele reakcije je </w:t>
      </w:r>
      <w:r w:rsidR="0033794B">
        <w:rPr>
          <w:rFonts w:ascii="Times New Roman" w:hAnsi="Times New Roman" w:cs="Times New Roman"/>
          <w:sz w:val="24"/>
          <w:szCs w:val="24"/>
        </w:rPr>
        <w:t>veća zastupljenost</w:t>
      </w:r>
      <w:r w:rsidR="002F7AA8">
        <w:rPr>
          <w:rFonts w:ascii="Times New Roman" w:hAnsi="Times New Roman" w:cs="Times New Roman"/>
          <w:sz w:val="24"/>
          <w:szCs w:val="24"/>
        </w:rPr>
        <w:t xml:space="preserve"> fungivora, </w:t>
      </w:r>
      <w:r w:rsidR="0033794B">
        <w:rPr>
          <w:rFonts w:ascii="Times New Roman" w:hAnsi="Times New Roman" w:cs="Times New Roman"/>
          <w:sz w:val="24"/>
          <w:szCs w:val="24"/>
        </w:rPr>
        <w:t xml:space="preserve">dok u </w:t>
      </w:r>
      <w:r w:rsidR="002F7AA8">
        <w:rPr>
          <w:rFonts w:ascii="Times New Roman" w:hAnsi="Times New Roman" w:cs="Times New Roman"/>
          <w:sz w:val="24"/>
          <w:szCs w:val="24"/>
        </w:rPr>
        <w:t>neutraln</w:t>
      </w:r>
      <w:r w:rsidR="0033794B">
        <w:rPr>
          <w:rFonts w:ascii="Times New Roman" w:hAnsi="Times New Roman" w:cs="Times New Roman"/>
          <w:sz w:val="24"/>
          <w:szCs w:val="24"/>
        </w:rPr>
        <w:t>im tlima ima više</w:t>
      </w:r>
      <w:r w:rsidR="002F7AA8">
        <w:rPr>
          <w:rFonts w:ascii="Times New Roman" w:hAnsi="Times New Roman" w:cs="Times New Roman"/>
          <w:sz w:val="24"/>
          <w:szCs w:val="24"/>
        </w:rPr>
        <w:t xml:space="preserve"> omnivora i </w:t>
      </w:r>
      <w:r w:rsidR="002F7AA8">
        <w:rPr>
          <w:rFonts w:ascii="Times New Roman" w:hAnsi="Times New Roman" w:cs="Times New Roman"/>
          <w:sz w:val="24"/>
          <w:szCs w:val="24"/>
        </w:rPr>
        <w:lastRenderedPageBreak/>
        <w:t>predatora</w:t>
      </w:r>
      <w:r w:rsidR="0033794B">
        <w:rPr>
          <w:rFonts w:ascii="Times New Roman" w:hAnsi="Times New Roman" w:cs="Times New Roman"/>
          <w:sz w:val="24"/>
          <w:szCs w:val="24"/>
        </w:rPr>
        <w:t>, koje su pokazatelji stabilnog sustava i njihova</w:t>
      </w:r>
      <w:r w:rsidR="002F7AA8">
        <w:rPr>
          <w:rFonts w:ascii="Times New Roman" w:hAnsi="Times New Roman" w:cs="Times New Roman"/>
          <w:sz w:val="24"/>
          <w:szCs w:val="24"/>
        </w:rPr>
        <w:t xml:space="preserve"> zastupljenost </w:t>
      </w:r>
      <w:r w:rsidR="0033794B">
        <w:rPr>
          <w:rFonts w:ascii="Times New Roman" w:hAnsi="Times New Roman" w:cs="Times New Roman"/>
          <w:sz w:val="24"/>
          <w:szCs w:val="24"/>
        </w:rPr>
        <w:t xml:space="preserve">je općenito </w:t>
      </w:r>
      <w:r w:rsidR="002F7AA8">
        <w:rPr>
          <w:rFonts w:ascii="Times New Roman" w:hAnsi="Times New Roman" w:cs="Times New Roman"/>
          <w:sz w:val="24"/>
          <w:szCs w:val="24"/>
        </w:rPr>
        <w:t xml:space="preserve">najniža u poljoprivrednim tlima. </w:t>
      </w:r>
    </w:p>
    <w:p w:rsidR="00872402" w:rsidRDefault="00CD06A0" w:rsidP="00CD0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Kalcizacija (</w:t>
      </w:r>
      <w:r w:rsidRPr="00CD06A0">
        <w:rPr>
          <w:rFonts w:ascii="Times New Roman" w:hAnsi="Times New Roman" w:cs="Times New Roman"/>
          <w:sz w:val="24"/>
          <w:szCs w:val="24"/>
        </w:rPr>
        <w:t>dodavanjem vapnenih materijala</w:t>
      </w:r>
      <w:r>
        <w:rPr>
          <w:rFonts w:ascii="Times New Roman" w:hAnsi="Times New Roman" w:cs="Times New Roman"/>
          <w:sz w:val="24"/>
          <w:szCs w:val="24"/>
        </w:rPr>
        <w:t>) je glavna agrotehnička m</w:t>
      </w:r>
      <w:r w:rsidRPr="00CD06A0">
        <w:rPr>
          <w:rFonts w:ascii="Times New Roman" w:hAnsi="Times New Roman" w:cs="Times New Roman"/>
          <w:sz w:val="24"/>
          <w:szCs w:val="24"/>
        </w:rPr>
        <w:t xml:space="preserve">jera za smanjenje kiselosti tla, čime se </w:t>
      </w:r>
      <w:r>
        <w:rPr>
          <w:rFonts w:ascii="Times New Roman" w:hAnsi="Times New Roman" w:cs="Times New Roman"/>
          <w:sz w:val="24"/>
          <w:szCs w:val="24"/>
        </w:rPr>
        <w:t>povećava</w:t>
      </w:r>
      <w:r w:rsidRPr="00CD06A0">
        <w:rPr>
          <w:rFonts w:ascii="Times New Roman" w:hAnsi="Times New Roman" w:cs="Times New Roman"/>
          <w:sz w:val="24"/>
          <w:szCs w:val="24"/>
        </w:rPr>
        <w:t xml:space="preserve"> usvajanja hranjiva iz tla</w:t>
      </w:r>
      <w:r w:rsidR="00D81358">
        <w:rPr>
          <w:rFonts w:ascii="Times New Roman" w:hAnsi="Times New Roman" w:cs="Times New Roman"/>
          <w:sz w:val="24"/>
          <w:szCs w:val="24"/>
        </w:rPr>
        <w:t xml:space="preserve"> (Upjohn i sur., 2005.)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06A0">
        <w:rPr>
          <w:rFonts w:ascii="Times New Roman" w:hAnsi="Times New Roman" w:cs="Times New Roman"/>
          <w:sz w:val="24"/>
          <w:szCs w:val="24"/>
        </w:rPr>
        <w:t>Kalcizacij</w:t>
      </w:r>
      <w:r w:rsidR="0033794B">
        <w:rPr>
          <w:rFonts w:ascii="Times New Roman" w:hAnsi="Times New Roman" w:cs="Times New Roman"/>
          <w:sz w:val="24"/>
          <w:szCs w:val="24"/>
        </w:rPr>
        <w:t>om se povećava disanje</w:t>
      </w:r>
      <w:r w:rsidR="00F36BB0">
        <w:rPr>
          <w:rFonts w:ascii="Times New Roman" w:hAnsi="Times New Roman" w:cs="Times New Roman"/>
          <w:sz w:val="24"/>
          <w:szCs w:val="24"/>
        </w:rPr>
        <w:t xml:space="preserve"> </w:t>
      </w:r>
      <w:r w:rsidR="0033794B">
        <w:rPr>
          <w:rFonts w:ascii="Times New Roman" w:hAnsi="Times New Roman" w:cs="Times New Roman"/>
          <w:sz w:val="24"/>
          <w:szCs w:val="24"/>
        </w:rPr>
        <w:t xml:space="preserve">i povećava mikrobiološka aktivnost tla </w:t>
      </w:r>
      <w:r w:rsidR="00F36BB0">
        <w:rPr>
          <w:rFonts w:ascii="Times New Roman" w:hAnsi="Times New Roman" w:cs="Times New Roman"/>
          <w:sz w:val="24"/>
          <w:szCs w:val="24"/>
        </w:rPr>
        <w:t>što</w:t>
      </w:r>
      <w:r w:rsidRPr="00CD06A0">
        <w:rPr>
          <w:rFonts w:ascii="Times New Roman" w:hAnsi="Times New Roman" w:cs="Times New Roman"/>
          <w:sz w:val="24"/>
          <w:szCs w:val="24"/>
        </w:rPr>
        <w:t xml:space="preserve"> omogućava br</w:t>
      </w:r>
      <w:r w:rsidR="0033794B">
        <w:rPr>
          <w:rFonts w:ascii="Times New Roman" w:hAnsi="Times New Roman" w:cs="Times New Roman"/>
          <w:sz w:val="24"/>
          <w:szCs w:val="24"/>
        </w:rPr>
        <w:t>žu razgradnju biljnih ostataka i povećanje organske tvari u tlu, a osim toga povećava se</w:t>
      </w:r>
      <w:r w:rsidRPr="00CD06A0">
        <w:rPr>
          <w:rFonts w:ascii="Times New Roman" w:hAnsi="Times New Roman" w:cs="Times New Roman"/>
          <w:sz w:val="24"/>
          <w:szCs w:val="24"/>
        </w:rPr>
        <w:t xml:space="preserve"> upijanj</w:t>
      </w:r>
      <w:r w:rsidR="0033794B">
        <w:rPr>
          <w:rFonts w:ascii="Times New Roman" w:hAnsi="Times New Roman" w:cs="Times New Roman"/>
          <w:sz w:val="24"/>
          <w:szCs w:val="24"/>
        </w:rPr>
        <w:t>e</w:t>
      </w:r>
      <w:r w:rsidRPr="00CD06A0">
        <w:rPr>
          <w:rFonts w:ascii="Times New Roman" w:hAnsi="Times New Roman" w:cs="Times New Roman"/>
          <w:sz w:val="24"/>
          <w:szCs w:val="24"/>
        </w:rPr>
        <w:t xml:space="preserve"> i zadržavanj</w:t>
      </w:r>
      <w:r w:rsidR="0033794B">
        <w:rPr>
          <w:rFonts w:ascii="Times New Roman" w:hAnsi="Times New Roman" w:cs="Times New Roman"/>
          <w:sz w:val="24"/>
          <w:szCs w:val="24"/>
        </w:rPr>
        <w:t>e</w:t>
      </w:r>
      <w:r w:rsidRPr="00CD06A0">
        <w:rPr>
          <w:rFonts w:ascii="Times New Roman" w:hAnsi="Times New Roman" w:cs="Times New Roman"/>
          <w:sz w:val="24"/>
          <w:szCs w:val="24"/>
        </w:rPr>
        <w:t xml:space="preserve"> vode u tlu</w:t>
      </w:r>
      <w:r w:rsidR="0033794B">
        <w:rPr>
          <w:rFonts w:ascii="Times New Roman" w:hAnsi="Times New Roman" w:cs="Times New Roman"/>
          <w:sz w:val="24"/>
          <w:szCs w:val="24"/>
        </w:rPr>
        <w:t xml:space="preserve"> (Stenberg</w:t>
      </w:r>
      <w:r w:rsidR="00016A18">
        <w:rPr>
          <w:rFonts w:ascii="Times New Roman" w:hAnsi="Times New Roman" w:cs="Times New Roman"/>
          <w:sz w:val="24"/>
          <w:szCs w:val="24"/>
        </w:rPr>
        <w:t xml:space="preserve"> i  sur.</w:t>
      </w:r>
      <w:r w:rsidR="0033794B">
        <w:rPr>
          <w:rFonts w:ascii="Times New Roman" w:hAnsi="Times New Roman" w:cs="Times New Roman"/>
          <w:sz w:val="24"/>
          <w:szCs w:val="24"/>
        </w:rPr>
        <w:t>, 2000.</w:t>
      </w:r>
      <w:r w:rsidR="00016A18">
        <w:rPr>
          <w:rFonts w:ascii="Times New Roman" w:hAnsi="Times New Roman" w:cs="Times New Roman"/>
          <w:sz w:val="24"/>
          <w:szCs w:val="24"/>
        </w:rPr>
        <w:t>; Moore i sur., 2013.</w:t>
      </w:r>
      <w:r w:rsidR="0033794B">
        <w:rPr>
          <w:rFonts w:ascii="Times New Roman" w:hAnsi="Times New Roman" w:cs="Times New Roman"/>
          <w:sz w:val="24"/>
          <w:szCs w:val="24"/>
        </w:rPr>
        <w:t>)</w:t>
      </w:r>
      <w:r w:rsidRPr="00CD06A0">
        <w:rPr>
          <w:rFonts w:ascii="Times New Roman" w:hAnsi="Times New Roman" w:cs="Times New Roman"/>
          <w:sz w:val="24"/>
          <w:szCs w:val="24"/>
        </w:rPr>
        <w:t>.</w:t>
      </w:r>
    </w:p>
    <w:p w:rsidR="00872402" w:rsidRPr="00872402" w:rsidRDefault="00872402" w:rsidP="00E8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402" w:rsidRDefault="00872402" w:rsidP="00E86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Materijal i metode </w:t>
      </w:r>
    </w:p>
    <w:p w:rsidR="00BA51B4" w:rsidRDefault="00872402" w:rsidP="00BA51B4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402">
        <w:rPr>
          <w:rFonts w:ascii="Times New Roman" w:hAnsi="Times New Roman" w:cs="Times New Roman"/>
          <w:sz w:val="24"/>
          <w:szCs w:val="24"/>
        </w:rPr>
        <w:t>Pokus je postavljen 27. travnja</w:t>
      </w:r>
      <w:r>
        <w:rPr>
          <w:rFonts w:ascii="Times New Roman" w:hAnsi="Times New Roman" w:cs="Times New Roman"/>
          <w:sz w:val="24"/>
          <w:szCs w:val="24"/>
        </w:rPr>
        <w:t xml:space="preserve"> 2010. godine n</w:t>
      </w:r>
      <w:r w:rsidR="002209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lokalitetu Donja Vrba </w:t>
      </w:r>
      <w:r w:rsidR="001C3EE7">
        <w:rPr>
          <w:rFonts w:ascii="Times New Roman" w:hAnsi="Times New Roman" w:cs="Times New Roman"/>
          <w:sz w:val="24"/>
          <w:szCs w:val="24"/>
        </w:rPr>
        <w:t>(Brodsko-posavska županija).</w:t>
      </w:r>
      <w:r w:rsidRPr="00872402">
        <w:rPr>
          <w:rFonts w:ascii="Times New Roman" w:hAnsi="Times New Roman" w:cs="Times New Roman"/>
          <w:sz w:val="24"/>
          <w:szCs w:val="24"/>
        </w:rPr>
        <w:t xml:space="preserve"> Kemijske karakteristike tla </w:t>
      </w:r>
      <w:r w:rsidR="00BA51B4">
        <w:rPr>
          <w:rFonts w:ascii="Times New Roman" w:hAnsi="Times New Roman" w:cs="Times New Roman"/>
          <w:sz w:val="24"/>
          <w:szCs w:val="24"/>
        </w:rPr>
        <w:t xml:space="preserve">s obližnje oranice </w:t>
      </w:r>
      <w:r w:rsidRPr="00872402">
        <w:rPr>
          <w:rFonts w:ascii="Times New Roman" w:hAnsi="Times New Roman" w:cs="Times New Roman"/>
          <w:sz w:val="24"/>
          <w:szCs w:val="24"/>
        </w:rPr>
        <w:t>određene su prije postavljanja pokusa</w:t>
      </w:r>
      <w:r w:rsidR="00BA51B4">
        <w:rPr>
          <w:rFonts w:ascii="Times New Roman" w:hAnsi="Times New Roman" w:cs="Times New Roman"/>
          <w:sz w:val="24"/>
          <w:szCs w:val="24"/>
        </w:rPr>
        <w:t xml:space="preserve"> (Tablica 1.)</w:t>
      </w:r>
      <w:r w:rsidRPr="00872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1B4" w:rsidRPr="00BA51B4" w:rsidRDefault="00BA51B4" w:rsidP="00BA51B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4"/>
          <w:szCs w:val="56"/>
          <w:lang w:eastAsia="hr-HR"/>
        </w:rPr>
      </w:pPr>
      <w:r w:rsidRPr="00BA51B4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4"/>
          <w:szCs w:val="56"/>
          <w:lang w:eastAsia="hr-HR"/>
        </w:rPr>
        <w:t>Tablica 1</w:t>
      </w:r>
      <w:r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24"/>
          <w:szCs w:val="56"/>
          <w:lang w:eastAsia="hr-HR"/>
        </w:rPr>
        <w:t xml:space="preserve">. Kemijske karakteristike tla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31"/>
        <w:gridCol w:w="1685"/>
        <w:gridCol w:w="2087"/>
        <w:gridCol w:w="2000"/>
        <w:gridCol w:w="1685"/>
      </w:tblGrid>
      <w:tr w:rsidR="00BA51B4" w:rsidRPr="00BA51B4" w:rsidTr="00091763">
        <w:trPr>
          <w:trHeight w:val="273"/>
        </w:trPr>
        <w:tc>
          <w:tcPr>
            <w:tcW w:w="2293" w:type="dxa"/>
            <w:gridSpan w:val="2"/>
            <w:hideMark/>
          </w:tcPr>
          <w:p w:rsidR="00BA51B4" w:rsidRPr="00BA51B4" w:rsidRDefault="00BA51B4" w:rsidP="00BA51B4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>pH u</w:t>
            </w:r>
          </w:p>
        </w:tc>
        <w:tc>
          <w:tcPr>
            <w:tcW w:w="1361" w:type="dxa"/>
            <w:vMerge w:val="restart"/>
            <w:hideMark/>
          </w:tcPr>
          <w:p w:rsidR="00BA51B4" w:rsidRPr="00BA51B4" w:rsidRDefault="00BA51B4" w:rsidP="00BA51B4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40"/>
                <w:lang w:eastAsia="hr-HR"/>
              </w:rPr>
              <w:t>Humus</w:t>
            </w:r>
          </w:p>
          <w:p w:rsidR="00BA51B4" w:rsidRPr="00BA51B4" w:rsidRDefault="00BA51B4" w:rsidP="00BA51B4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>%</w:t>
            </w:r>
          </w:p>
        </w:tc>
        <w:tc>
          <w:tcPr>
            <w:tcW w:w="2403" w:type="dxa"/>
            <w:gridSpan w:val="2"/>
            <w:hideMark/>
          </w:tcPr>
          <w:p w:rsidR="00BA51B4" w:rsidRPr="00BA51B4" w:rsidRDefault="00BA51B4" w:rsidP="00BA51B4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>mg/</w:t>
            </w: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 xml:space="preserve"> </w:t>
            </w: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 xml:space="preserve"> tla (AL metoda)</w:t>
            </w:r>
          </w:p>
        </w:tc>
      </w:tr>
      <w:tr w:rsidR="00BA51B4" w:rsidRPr="00BA51B4" w:rsidTr="00091763">
        <w:trPr>
          <w:trHeight w:val="70"/>
        </w:trPr>
        <w:tc>
          <w:tcPr>
            <w:tcW w:w="1194" w:type="dxa"/>
            <w:hideMark/>
          </w:tcPr>
          <w:p w:rsidR="00BA51B4" w:rsidRPr="00BA51B4" w:rsidRDefault="00BA51B4" w:rsidP="00BA51B4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>KCl</w:t>
            </w:r>
          </w:p>
        </w:tc>
        <w:tc>
          <w:tcPr>
            <w:tcW w:w="1099" w:type="dxa"/>
            <w:hideMark/>
          </w:tcPr>
          <w:p w:rsidR="00BA51B4" w:rsidRPr="00BA51B4" w:rsidRDefault="00BA51B4" w:rsidP="00BA51B4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>H</w:t>
            </w: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vertAlign w:val="subscript"/>
                <w:lang w:eastAsia="hr-HR"/>
              </w:rPr>
              <w:t>2</w:t>
            </w: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>O</w:t>
            </w:r>
          </w:p>
        </w:tc>
        <w:tc>
          <w:tcPr>
            <w:tcW w:w="0" w:type="auto"/>
            <w:vMerge/>
            <w:hideMark/>
          </w:tcPr>
          <w:p w:rsidR="00BA51B4" w:rsidRPr="00BA51B4" w:rsidRDefault="00BA51B4" w:rsidP="00BA51B4">
            <w:pPr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</w:p>
        </w:tc>
        <w:tc>
          <w:tcPr>
            <w:tcW w:w="1304" w:type="dxa"/>
            <w:hideMark/>
          </w:tcPr>
          <w:p w:rsidR="00BA51B4" w:rsidRPr="00BA51B4" w:rsidRDefault="00BA51B4" w:rsidP="00BA51B4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>P</w:t>
            </w: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vertAlign w:val="subscript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>O</w:t>
            </w: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vertAlign w:val="subscript"/>
                <w:lang w:eastAsia="hr-HR"/>
              </w:rPr>
              <w:t>5</w:t>
            </w:r>
          </w:p>
        </w:tc>
        <w:tc>
          <w:tcPr>
            <w:tcW w:w="1099" w:type="dxa"/>
            <w:hideMark/>
          </w:tcPr>
          <w:p w:rsidR="00BA51B4" w:rsidRPr="00BA51B4" w:rsidRDefault="00BA51B4" w:rsidP="00BA51B4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>K</w:t>
            </w: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vertAlign w:val="subscript"/>
                <w:lang w:eastAsia="hr-HR"/>
              </w:rPr>
              <w:t>2</w:t>
            </w:r>
            <w:r w:rsidRPr="00BA51B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56"/>
                <w:lang w:eastAsia="hr-HR"/>
              </w:rPr>
              <w:t>O</w:t>
            </w:r>
          </w:p>
        </w:tc>
      </w:tr>
      <w:tr w:rsidR="00BA51B4" w:rsidRPr="00BA51B4" w:rsidTr="00091763">
        <w:trPr>
          <w:trHeight w:val="321"/>
        </w:trPr>
        <w:tc>
          <w:tcPr>
            <w:tcW w:w="1194" w:type="dxa"/>
          </w:tcPr>
          <w:p w:rsidR="00BA51B4" w:rsidRPr="00BA51B4" w:rsidRDefault="00BA51B4" w:rsidP="00BA51B4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BA51B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099" w:type="dxa"/>
          </w:tcPr>
          <w:p w:rsidR="00BA51B4" w:rsidRPr="00BA51B4" w:rsidRDefault="00BA51B4" w:rsidP="00BA51B4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BA51B4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361" w:type="dxa"/>
            <w:hideMark/>
          </w:tcPr>
          <w:p w:rsidR="00BA51B4" w:rsidRPr="00BA51B4" w:rsidRDefault="00BA51B4" w:rsidP="00BA51B4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304" w:type="dxa"/>
          </w:tcPr>
          <w:p w:rsidR="00BA51B4" w:rsidRPr="00BA51B4" w:rsidRDefault="00BA51B4" w:rsidP="00BA51B4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BA51B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99" w:type="dxa"/>
          </w:tcPr>
          <w:p w:rsidR="00BA51B4" w:rsidRPr="00BA51B4" w:rsidRDefault="00B915EA" w:rsidP="00BA51B4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hr-HR"/>
              </w:rPr>
            </w:pPr>
            <w:r w:rsidRPr="00BA51B4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</w:tr>
    </w:tbl>
    <w:p w:rsidR="00BA51B4" w:rsidRDefault="00BA51B4" w:rsidP="00BA5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402" w:rsidRPr="00872402" w:rsidRDefault="00872402" w:rsidP="00927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402">
        <w:rPr>
          <w:rFonts w:ascii="Times New Roman" w:hAnsi="Times New Roman" w:cs="Times New Roman"/>
          <w:sz w:val="24"/>
          <w:szCs w:val="24"/>
        </w:rPr>
        <w:t>Plastične posude volumena 3,5 dm</w:t>
      </w:r>
      <w:r w:rsidRPr="008724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2402">
        <w:rPr>
          <w:rFonts w:ascii="Times New Roman" w:hAnsi="Times New Roman" w:cs="Times New Roman"/>
          <w:sz w:val="24"/>
          <w:szCs w:val="24"/>
        </w:rPr>
        <w:t xml:space="preserve"> napunjene su s 5 kg tla. Provedena su</w:t>
      </w:r>
      <w:r w:rsidR="00B915EA">
        <w:rPr>
          <w:rFonts w:ascii="Times New Roman" w:hAnsi="Times New Roman" w:cs="Times New Roman"/>
          <w:sz w:val="24"/>
          <w:szCs w:val="24"/>
        </w:rPr>
        <w:t xml:space="preserve"> 2</w:t>
      </w:r>
      <w:r w:rsidRPr="00872402">
        <w:rPr>
          <w:rFonts w:ascii="Times New Roman" w:hAnsi="Times New Roman" w:cs="Times New Roman"/>
          <w:sz w:val="24"/>
          <w:szCs w:val="24"/>
        </w:rPr>
        <w:t xml:space="preserve"> različita tretmana </w:t>
      </w:r>
      <w:r w:rsidR="00B915EA">
        <w:rPr>
          <w:rFonts w:ascii="Times New Roman" w:hAnsi="Times New Roman" w:cs="Times New Roman"/>
          <w:sz w:val="24"/>
          <w:szCs w:val="24"/>
        </w:rPr>
        <w:t xml:space="preserve">kalcizacije: 0 (kontrola) i </w:t>
      </w:r>
      <w:r w:rsidR="00551D9A">
        <w:rPr>
          <w:rFonts w:ascii="Times New Roman" w:hAnsi="Times New Roman" w:cs="Times New Roman"/>
          <w:sz w:val="24"/>
          <w:szCs w:val="24"/>
        </w:rPr>
        <w:t xml:space="preserve">2,22 g </w:t>
      </w:r>
      <w:r w:rsidR="00B915EA" w:rsidRPr="00B915EA">
        <w:rPr>
          <w:rFonts w:ascii="Times New Roman" w:hAnsi="Times New Roman" w:cs="Times New Roman"/>
          <w:sz w:val="24"/>
          <w:szCs w:val="24"/>
        </w:rPr>
        <w:t>kg</w:t>
      </w:r>
      <w:r w:rsidR="00B915EA" w:rsidRPr="00B915E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915EA" w:rsidRPr="00B915EA">
        <w:rPr>
          <w:rFonts w:ascii="Times New Roman" w:hAnsi="Times New Roman" w:cs="Times New Roman"/>
          <w:sz w:val="24"/>
          <w:szCs w:val="24"/>
        </w:rPr>
        <w:t xml:space="preserve"> CaCO</w:t>
      </w:r>
      <w:r w:rsidR="00B915EA" w:rsidRPr="00B915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72402">
        <w:rPr>
          <w:rFonts w:ascii="Times New Roman" w:hAnsi="Times New Roman" w:cs="Times New Roman"/>
          <w:sz w:val="24"/>
          <w:szCs w:val="24"/>
        </w:rPr>
        <w:t>. Pokus je postavljen u 4 ponavljanja prema randomiziranom b</w:t>
      </w:r>
      <w:r w:rsidR="00B915EA">
        <w:rPr>
          <w:rFonts w:ascii="Times New Roman" w:hAnsi="Times New Roman" w:cs="Times New Roman"/>
          <w:sz w:val="24"/>
          <w:szCs w:val="24"/>
        </w:rPr>
        <w:t>lo</w:t>
      </w:r>
      <w:r w:rsidRPr="00872402">
        <w:rPr>
          <w:rFonts w:ascii="Times New Roman" w:hAnsi="Times New Roman" w:cs="Times New Roman"/>
          <w:sz w:val="24"/>
          <w:szCs w:val="24"/>
        </w:rPr>
        <w:t xml:space="preserve">k sustavu (svaka posuda = jedno ponavljanje, a ukupno je postavljeno </w:t>
      </w:r>
      <w:r w:rsidR="00B915EA">
        <w:rPr>
          <w:rFonts w:ascii="Times New Roman" w:hAnsi="Times New Roman" w:cs="Times New Roman"/>
          <w:sz w:val="24"/>
          <w:szCs w:val="24"/>
        </w:rPr>
        <w:t>8</w:t>
      </w:r>
      <w:r w:rsidRPr="00872402">
        <w:rPr>
          <w:rFonts w:ascii="Times New Roman" w:hAnsi="Times New Roman" w:cs="Times New Roman"/>
          <w:sz w:val="24"/>
          <w:szCs w:val="24"/>
        </w:rPr>
        <w:t xml:space="preserve"> posuda). U posude je posađe</w:t>
      </w:r>
      <w:r w:rsidR="00C122F4">
        <w:rPr>
          <w:rFonts w:ascii="Times New Roman" w:hAnsi="Times New Roman" w:cs="Times New Roman"/>
          <w:sz w:val="24"/>
          <w:szCs w:val="24"/>
        </w:rPr>
        <w:t>na paprika – feferon (</w:t>
      </w:r>
      <w:r w:rsidR="00C122F4" w:rsidRPr="00C122F4">
        <w:rPr>
          <w:rFonts w:ascii="Times New Roman" w:hAnsi="Times New Roman" w:cs="Times New Roman"/>
          <w:i/>
          <w:sz w:val="24"/>
          <w:szCs w:val="24"/>
        </w:rPr>
        <w:t>Cap</w:t>
      </w:r>
      <w:r w:rsidR="001C3EE7">
        <w:rPr>
          <w:rFonts w:ascii="Times New Roman" w:hAnsi="Times New Roman" w:cs="Times New Roman"/>
          <w:i/>
          <w:sz w:val="24"/>
          <w:szCs w:val="24"/>
        </w:rPr>
        <w:t>s</w:t>
      </w:r>
      <w:r w:rsidR="00C122F4" w:rsidRPr="00C122F4">
        <w:rPr>
          <w:rFonts w:ascii="Times New Roman" w:hAnsi="Times New Roman" w:cs="Times New Roman"/>
          <w:i/>
          <w:sz w:val="24"/>
          <w:szCs w:val="24"/>
        </w:rPr>
        <w:t>icum annum</w:t>
      </w:r>
      <w:r w:rsidR="001C3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EE7" w:rsidRPr="001C3EE7">
        <w:rPr>
          <w:rFonts w:ascii="Times New Roman" w:hAnsi="Times New Roman" w:cs="Times New Roman"/>
          <w:sz w:val="24"/>
          <w:szCs w:val="24"/>
        </w:rPr>
        <w:t>L.</w:t>
      </w:r>
      <w:r w:rsidR="00C122F4">
        <w:rPr>
          <w:rFonts w:ascii="Times New Roman" w:hAnsi="Times New Roman" w:cs="Times New Roman"/>
          <w:sz w:val="24"/>
          <w:szCs w:val="24"/>
        </w:rPr>
        <w:t xml:space="preserve">) </w:t>
      </w:r>
      <w:r w:rsidRPr="00872402">
        <w:rPr>
          <w:rFonts w:ascii="Times New Roman" w:hAnsi="Times New Roman" w:cs="Times New Roman"/>
          <w:sz w:val="24"/>
          <w:szCs w:val="24"/>
        </w:rPr>
        <w:t xml:space="preserve">te je uzgoj proveden u kontroliranim plasteničkim uvjetima. </w:t>
      </w:r>
    </w:p>
    <w:p w:rsidR="00872402" w:rsidRPr="00872402" w:rsidRDefault="00B915EA" w:rsidP="00927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72402" w:rsidRPr="00872402">
        <w:rPr>
          <w:rFonts w:ascii="Times New Roman" w:hAnsi="Times New Roman" w:cs="Times New Roman"/>
          <w:sz w:val="24"/>
          <w:szCs w:val="24"/>
        </w:rPr>
        <w:t>jesec dana nakon postavljanja pokusa</w:t>
      </w:r>
      <w:r w:rsidR="00927200">
        <w:rPr>
          <w:rFonts w:ascii="Times New Roman" w:hAnsi="Times New Roman" w:cs="Times New Roman"/>
          <w:sz w:val="24"/>
          <w:szCs w:val="24"/>
        </w:rPr>
        <w:t>, u svibnju 2010.</w:t>
      </w:r>
      <w:r w:rsidR="00872402" w:rsidRPr="00872402">
        <w:rPr>
          <w:rFonts w:ascii="Times New Roman" w:hAnsi="Times New Roman" w:cs="Times New Roman"/>
          <w:sz w:val="24"/>
          <w:szCs w:val="24"/>
        </w:rPr>
        <w:t xml:space="preserve"> </w:t>
      </w:r>
      <w:r w:rsidR="00150EBF">
        <w:rPr>
          <w:rFonts w:ascii="Times New Roman" w:hAnsi="Times New Roman" w:cs="Times New Roman"/>
          <w:sz w:val="24"/>
          <w:szCs w:val="24"/>
        </w:rPr>
        <w:t xml:space="preserve">godine, </w:t>
      </w:r>
      <w:r w:rsidR="00927200">
        <w:rPr>
          <w:rFonts w:ascii="Times New Roman" w:hAnsi="Times New Roman" w:cs="Times New Roman"/>
          <w:sz w:val="24"/>
          <w:szCs w:val="24"/>
        </w:rPr>
        <w:t>i</w:t>
      </w:r>
      <w:r w:rsidR="00872402" w:rsidRPr="00872402">
        <w:rPr>
          <w:rFonts w:ascii="Times New Roman" w:hAnsi="Times New Roman" w:cs="Times New Roman"/>
          <w:sz w:val="24"/>
          <w:szCs w:val="24"/>
        </w:rPr>
        <w:t xml:space="preserve">z svake posude pomoću sonde za uzimanje uzoraka (promjera 2 cm) prikupljeni su uzorci do dubine posude (13 cm). Masa jednog uzorka bila je 100 g, a ukupno je prikupljeno i analizirano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872402" w:rsidRPr="00872402">
        <w:rPr>
          <w:rFonts w:ascii="Times New Roman" w:hAnsi="Times New Roman" w:cs="Times New Roman"/>
          <w:sz w:val="24"/>
          <w:szCs w:val="24"/>
        </w:rPr>
        <w:t xml:space="preserve">uzoraka tla. </w:t>
      </w:r>
    </w:p>
    <w:p w:rsidR="00872402" w:rsidRPr="00872402" w:rsidRDefault="00872402" w:rsidP="00927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402">
        <w:rPr>
          <w:rFonts w:ascii="Times New Roman" w:hAnsi="Times New Roman" w:cs="Times New Roman"/>
          <w:sz w:val="24"/>
          <w:szCs w:val="24"/>
        </w:rPr>
        <w:t xml:space="preserve">Nematode su </w:t>
      </w:r>
      <w:r w:rsidR="00A57EDA">
        <w:rPr>
          <w:rFonts w:ascii="Times New Roman" w:hAnsi="Times New Roman" w:cs="Times New Roman"/>
          <w:sz w:val="24"/>
          <w:szCs w:val="24"/>
        </w:rPr>
        <w:t xml:space="preserve">iz </w:t>
      </w:r>
      <w:r w:rsidRPr="00872402">
        <w:rPr>
          <w:rFonts w:ascii="Times New Roman" w:hAnsi="Times New Roman" w:cs="Times New Roman"/>
          <w:sz w:val="24"/>
          <w:szCs w:val="24"/>
        </w:rPr>
        <w:t>uzor</w:t>
      </w:r>
      <w:r w:rsidR="00A57EDA">
        <w:rPr>
          <w:rFonts w:ascii="Times New Roman" w:hAnsi="Times New Roman" w:cs="Times New Roman"/>
          <w:sz w:val="24"/>
          <w:szCs w:val="24"/>
        </w:rPr>
        <w:t>aka</w:t>
      </w:r>
      <w:r w:rsidR="00150EBF">
        <w:rPr>
          <w:rFonts w:ascii="Times New Roman" w:hAnsi="Times New Roman" w:cs="Times New Roman"/>
          <w:sz w:val="24"/>
          <w:szCs w:val="24"/>
        </w:rPr>
        <w:t xml:space="preserve"> tla izdvojene metodom</w:t>
      </w:r>
      <w:r w:rsidRPr="00872402">
        <w:rPr>
          <w:rFonts w:ascii="Times New Roman" w:hAnsi="Times New Roman" w:cs="Times New Roman"/>
          <w:sz w:val="24"/>
          <w:szCs w:val="24"/>
        </w:rPr>
        <w:t xml:space="preserve"> boca (Seinhorst, 1956.). Nakon izdvajanja nematoda iz tla, brojnost nematoda utvrđena je pregledom uzoraka pod lupom</w:t>
      </w:r>
      <w:r w:rsidR="00BA69DB">
        <w:rPr>
          <w:rFonts w:ascii="Times New Roman" w:hAnsi="Times New Roman" w:cs="Times New Roman"/>
          <w:sz w:val="24"/>
          <w:szCs w:val="24"/>
        </w:rPr>
        <w:t xml:space="preserve"> (Olympus SZX 16), </w:t>
      </w:r>
      <w:r w:rsidRPr="00872402">
        <w:rPr>
          <w:rFonts w:ascii="Times New Roman" w:hAnsi="Times New Roman" w:cs="Times New Roman"/>
          <w:sz w:val="24"/>
          <w:szCs w:val="24"/>
        </w:rPr>
        <w:t>a zatim pregledom pod mikroskopom</w:t>
      </w:r>
      <w:r w:rsidR="00927200">
        <w:rPr>
          <w:rFonts w:ascii="Times New Roman" w:hAnsi="Times New Roman" w:cs="Times New Roman"/>
          <w:sz w:val="24"/>
          <w:szCs w:val="24"/>
        </w:rPr>
        <w:t xml:space="preserve"> (</w:t>
      </w:r>
      <w:r w:rsidR="00927200" w:rsidRPr="00927200">
        <w:rPr>
          <w:rFonts w:ascii="Times New Roman" w:hAnsi="Times New Roman" w:cs="Times New Roman"/>
          <w:sz w:val="24"/>
          <w:szCs w:val="24"/>
        </w:rPr>
        <w:t>Olympus BX50</w:t>
      </w:r>
      <w:r w:rsidR="00927200">
        <w:rPr>
          <w:rFonts w:ascii="Times New Roman" w:hAnsi="Times New Roman" w:cs="Times New Roman"/>
          <w:sz w:val="24"/>
          <w:szCs w:val="24"/>
        </w:rPr>
        <w:t>).</w:t>
      </w:r>
      <w:r w:rsidRPr="00872402">
        <w:rPr>
          <w:rFonts w:ascii="Times New Roman" w:hAnsi="Times New Roman" w:cs="Times New Roman"/>
          <w:sz w:val="24"/>
          <w:szCs w:val="24"/>
        </w:rPr>
        <w:t xml:space="preserve"> Determinacija nematoda do roda određena je pomoću  ključeva za determinaciju: Andrassy (1984., 1988., 1993.), Bongers (1994.), Hunt, (1993.), Mai i Lyon (1975.)</w:t>
      </w:r>
      <w:r w:rsidR="00CB022E">
        <w:rPr>
          <w:rFonts w:ascii="Times New Roman" w:hAnsi="Times New Roman" w:cs="Times New Roman"/>
          <w:sz w:val="24"/>
          <w:szCs w:val="24"/>
        </w:rPr>
        <w:t>.</w:t>
      </w:r>
      <w:r w:rsidRPr="00872402">
        <w:rPr>
          <w:rFonts w:ascii="Times New Roman" w:hAnsi="Times New Roman" w:cs="Times New Roman"/>
          <w:sz w:val="24"/>
          <w:szCs w:val="24"/>
        </w:rPr>
        <w:t xml:space="preserve"> Promjen</w:t>
      </w:r>
      <w:r w:rsidR="00653A9E">
        <w:rPr>
          <w:rFonts w:ascii="Times New Roman" w:hAnsi="Times New Roman" w:cs="Times New Roman"/>
          <w:sz w:val="24"/>
          <w:szCs w:val="24"/>
        </w:rPr>
        <w:t>e</w:t>
      </w:r>
      <w:r w:rsidRPr="00872402">
        <w:rPr>
          <w:rFonts w:ascii="Times New Roman" w:hAnsi="Times New Roman" w:cs="Times New Roman"/>
          <w:sz w:val="24"/>
          <w:szCs w:val="24"/>
        </w:rPr>
        <w:t xml:space="preserve"> zajednica </w:t>
      </w:r>
      <w:r w:rsidR="00927200">
        <w:rPr>
          <w:rFonts w:ascii="Times New Roman" w:hAnsi="Times New Roman" w:cs="Times New Roman"/>
          <w:sz w:val="24"/>
          <w:szCs w:val="24"/>
        </w:rPr>
        <w:t xml:space="preserve">rodova </w:t>
      </w:r>
      <w:r w:rsidRPr="00872402">
        <w:rPr>
          <w:rFonts w:ascii="Times New Roman" w:hAnsi="Times New Roman" w:cs="Times New Roman"/>
          <w:sz w:val="24"/>
          <w:szCs w:val="24"/>
        </w:rPr>
        <w:t xml:space="preserve">nematoda </w:t>
      </w:r>
      <w:r w:rsidR="00927200">
        <w:rPr>
          <w:rFonts w:ascii="Times New Roman" w:hAnsi="Times New Roman" w:cs="Times New Roman"/>
          <w:sz w:val="24"/>
          <w:szCs w:val="24"/>
        </w:rPr>
        <w:t xml:space="preserve">ovisno o kalcizaciji prikazana </w:t>
      </w:r>
      <w:r w:rsidR="00653A9E">
        <w:rPr>
          <w:rFonts w:ascii="Times New Roman" w:hAnsi="Times New Roman" w:cs="Times New Roman"/>
          <w:sz w:val="24"/>
          <w:szCs w:val="24"/>
        </w:rPr>
        <w:t>su kroz</w:t>
      </w:r>
      <w:r w:rsidR="00927200">
        <w:rPr>
          <w:rFonts w:ascii="Times New Roman" w:hAnsi="Times New Roman" w:cs="Times New Roman"/>
          <w:sz w:val="24"/>
          <w:szCs w:val="24"/>
        </w:rPr>
        <w:t xml:space="preserve"> postotni ud</w:t>
      </w:r>
      <w:r w:rsidR="00653A9E">
        <w:rPr>
          <w:rFonts w:ascii="Times New Roman" w:hAnsi="Times New Roman" w:cs="Times New Roman"/>
          <w:sz w:val="24"/>
          <w:szCs w:val="24"/>
        </w:rPr>
        <w:t>i</w:t>
      </w:r>
      <w:r w:rsidR="004A25CD">
        <w:rPr>
          <w:rFonts w:ascii="Times New Roman" w:hAnsi="Times New Roman" w:cs="Times New Roman"/>
          <w:sz w:val="24"/>
          <w:szCs w:val="24"/>
        </w:rPr>
        <w:t>o</w:t>
      </w:r>
      <w:r w:rsidR="00927200">
        <w:rPr>
          <w:rFonts w:ascii="Times New Roman" w:hAnsi="Times New Roman" w:cs="Times New Roman"/>
          <w:sz w:val="24"/>
          <w:szCs w:val="24"/>
        </w:rPr>
        <w:t xml:space="preserve"> pojedinih rodova u odnosu n</w:t>
      </w:r>
      <w:r w:rsidR="00150EBF">
        <w:rPr>
          <w:rFonts w:ascii="Times New Roman" w:hAnsi="Times New Roman" w:cs="Times New Roman"/>
          <w:sz w:val="24"/>
          <w:szCs w:val="24"/>
        </w:rPr>
        <w:t>a ukupan broj nematoda u uzorku.</w:t>
      </w:r>
      <w:r w:rsidR="00927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402" w:rsidRDefault="00872402" w:rsidP="00927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C64" w:rsidRPr="00E86C64" w:rsidRDefault="00872402" w:rsidP="00E86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 raspr</w:t>
      </w:r>
      <w:r w:rsidR="004A25C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va</w:t>
      </w:r>
    </w:p>
    <w:p w:rsidR="00162114" w:rsidRDefault="00162114" w:rsidP="00E4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156C8">
        <w:rPr>
          <w:rFonts w:ascii="Times New Roman" w:hAnsi="Times New Roman" w:cs="Times New Roman"/>
          <w:sz w:val="24"/>
          <w:szCs w:val="24"/>
        </w:rPr>
        <w:t xml:space="preserve">ovom istraživanju utvrđen je različit utjecaj kalcizacije na brojnost rodova. </w:t>
      </w:r>
      <w:r>
        <w:rPr>
          <w:rFonts w:ascii="Times New Roman" w:hAnsi="Times New Roman" w:cs="Times New Roman"/>
          <w:sz w:val="24"/>
          <w:szCs w:val="24"/>
        </w:rPr>
        <w:t xml:space="preserve">Prema tablici </w:t>
      </w:r>
      <w:r w:rsidR="007156C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vidljivo je da se postotni udio </w:t>
      </w:r>
      <w:r w:rsidR="00A30EE1">
        <w:rPr>
          <w:rFonts w:ascii="Times New Roman" w:hAnsi="Times New Roman" w:cs="Times New Roman"/>
          <w:sz w:val="24"/>
          <w:szCs w:val="24"/>
        </w:rPr>
        <w:t xml:space="preserve">pojedinih rodova </w:t>
      </w:r>
      <w:r>
        <w:rPr>
          <w:rFonts w:ascii="Times New Roman" w:hAnsi="Times New Roman" w:cs="Times New Roman"/>
          <w:sz w:val="24"/>
          <w:szCs w:val="24"/>
        </w:rPr>
        <w:t xml:space="preserve">mijenja ovisno o kalcizaciji. Udio pojedinih rodova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kao što su: </w:t>
      </w:r>
      <w:proofErr w:type="spellStart"/>
      <w:r w:rsidRPr="00162114">
        <w:rPr>
          <w:rFonts w:ascii="Times New Roman" w:hAnsi="Times New Roman" w:cs="Times New Roman"/>
          <w:i/>
          <w:sz w:val="24"/>
          <w:szCs w:val="24"/>
          <w:lang w:val="en-US"/>
        </w:rPr>
        <w:t>Acrobeloides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162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DB" w:rsidRPr="00BA69DB">
        <w:rPr>
          <w:rFonts w:ascii="Times New Roman" w:hAnsi="Times New Roman" w:cs="Times New Roman"/>
          <w:i/>
          <w:sz w:val="24"/>
          <w:szCs w:val="24"/>
        </w:rPr>
        <w:t>Aphelenchus</w:t>
      </w:r>
      <w:proofErr w:type="spellEnd"/>
      <w:r w:rsidR="00BA69DB" w:rsidRPr="00BA69DB">
        <w:rPr>
          <w:rFonts w:ascii="Times New Roman" w:hAnsi="Times New Roman" w:cs="Times New Roman"/>
          <w:sz w:val="24"/>
          <w:szCs w:val="24"/>
        </w:rPr>
        <w:t>,</w:t>
      </w:r>
      <w:r w:rsidR="00BA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DB" w:rsidRPr="00BA69DB">
        <w:rPr>
          <w:rFonts w:ascii="Times New Roman" w:hAnsi="Times New Roman" w:cs="Times New Roman"/>
          <w:i/>
          <w:sz w:val="24"/>
          <w:szCs w:val="24"/>
        </w:rPr>
        <w:t>Laimydorus</w:t>
      </w:r>
      <w:proofErr w:type="spellEnd"/>
      <w:r w:rsidR="00BA69DB" w:rsidRPr="00BA69D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A69DB" w:rsidRPr="00BA69DB">
        <w:rPr>
          <w:rFonts w:ascii="Times New Roman" w:hAnsi="Times New Roman" w:cs="Times New Roman"/>
          <w:i/>
          <w:sz w:val="24"/>
          <w:szCs w:val="24"/>
        </w:rPr>
        <w:t>Mesodorylaimus</w:t>
      </w:r>
      <w:proofErr w:type="spellEnd"/>
      <w:r w:rsidR="00BA69DB">
        <w:rPr>
          <w:rFonts w:ascii="Times New Roman" w:hAnsi="Times New Roman" w:cs="Times New Roman"/>
          <w:sz w:val="24"/>
          <w:szCs w:val="24"/>
        </w:rPr>
        <w:t>,</w:t>
      </w:r>
      <w:r w:rsidR="00BA69DB" w:rsidRPr="00BA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9DB" w:rsidRPr="00BA69DB">
        <w:rPr>
          <w:rFonts w:ascii="Times New Roman" w:hAnsi="Times New Roman" w:cs="Times New Roman"/>
          <w:i/>
          <w:sz w:val="24"/>
          <w:szCs w:val="24"/>
        </w:rPr>
        <w:t>Paratylenchus</w:t>
      </w:r>
      <w:proofErr w:type="spellEnd"/>
      <w:r w:rsidR="00BA69DB" w:rsidRPr="00771DD5">
        <w:rPr>
          <w:rFonts w:ascii="Times New Roman" w:hAnsi="Times New Roman" w:cs="Times New Roman"/>
          <w:i/>
          <w:sz w:val="24"/>
          <w:szCs w:val="24"/>
        </w:rPr>
        <w:t>,</w:t>
      </w:r>
      <w:r w:rsidR="00BA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14">
        <w:rPr>
          <w:rFonts w:ascii="Times New Roman" w:hAnsi="Times New Roman" w:cs="Times New Roman"/>
          <w:i/>
          <w:sz w:val="24"/>
          <w:szCs w:val="24"/>
          <w:lang w:val="en-US"/>
        </w:rPr>
        <w:t>Pratylenchus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162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D5">
        <w:rPr>
          <w:rFonts w:ascii="Times New Roman" w:hAnsi="Times New Roman" w:cs="Times New Roman"/>
          <w:i/>
          <w:sz w:val="24"/>
          <w:szCs w:val="24"/>
          <w:lang w:val="en-US"/>
        </w:rPr>
        <w:t>Psilenchus</w:t>
      </w:r>
      <w:proofErr w:type="spellEnd"/>
      <w:r w:rsidR="00771D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povećao u odnosu na nekalcizirane posude. </w:t>
      </w:r>
      <w:r w:rsidR="00653A9E">
        <w:rPr>
          <w:rFonts w:ascii="Times New Roman" w:hAnsi="Times New Roman" w:cs="Times New Roman"/>
          <w:sz w:val="24"/>
          <w:szCs w:val="24"/>
        </w:rPr>
        <w:t>S</w:t>
      </w:r>
      <w:r w:rsidR="00596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 strane</w:t>
      </w:r>
      <w:r w:rsidR="00653A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rodova</w:t>
      </w:r>
      <w:r w:rsidR="00771DD5" w:rsidRPr="00771DD5">
        <w:t xml:space="preserve"> </w:t>
      </w:r>
      <w:proofErr w:type="spellStart"/>
      <w:r w:rsidR="00771DD5" w:rsidRPr="00771DD5">
        <w:rPr>
          <w:rFonts w:ascii="Times New Roman" w:hAnsi="Times New Roman" w:cs="Times New Roman"/>
          <w:i/>
          <w:sz w:val="24"/>
          <w:szCs w:val="24"/>
        </w:rPr>
        <w:t>Dipterophora</w:t>
      </w:r>
      <w:proofErr w:type="spellEnd"/>
      <w:r w:rsidR="00771DD5" w:rsidRPr="00771D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71DD5" w:rsidRPr="00771DD5">
        <w:rPr>
          <w:rFonts w:ascii="Times New Roman" w:hAnsi="Times New Roman" w:cs="Times New Roman"/>
          <w:i/>
          <w:sz w:val="24"/>
          <w:szCs w:val="24"/>
        </w:rPr>
        <w:t>Ditylenchus</w:t>
      </w:r>
      <w:proofErr w:type="spellEnd"/>
      <w:r w:rsidR="00771DD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862" w:rsidRPr="00E43862">
        <w:rPr>
          <w:rFonts w:ascii="Times New Roman" w:hAnsi="Times New Roman" w:cs="Times New Roman"/>
          <w:i/>
          <w:sz w:val="24"/>
          <w:szCs w:val="24"/>
          <w:lang w:val="en-US"/>
        </w:rPr>
        <w:t>Eucephalobus</w:t>
      </w:r>
      <w:proofErr w:type="spellEnd"/>
      <w:r w:rsidR="00E43862" w:rsidRPr="00E4386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E43862" w:rsidRPr="00E438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1DD5" w:rsidRPr="00771DD5">
        <w:rPr>
          <w:rFonts w:ascii="Times New Roman" w:hAnsi="Times New Roman" w:cs="Times New Roman"/>
          <w:i/>
          <w:sz w:val="24"/>
          <w:szCs w:val="24"/>
        </w:rPr>
        <w:t>Eudorylaimus</w:t>
      </w:r>
      <w:proofErr w:type="spellEnd"/>
      <w:r w:rsidR="00771D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71DD5" w:rsidRPr="00771DD5">
        <w:rPr>
          <w:rFonts w:ascii="Times New Roman" w:hAnsi="Times New Roman" w:cs="Times New Roman"/>
          <w:i/>
          <w:sz w:val="24"/>
          <w:szCs w:val="24"/>
        </w:rPr>
        <w:t>Filenchus</w:t>
      </w:r>
      <w:proofErr w:type="spellEnd"/>
      <w:r w:rsidR="00771DD5">
        <w:rPr>
          <w:rFonts w:ascii="Times New Roman" w:hAnsi="Times New Roman" w:cs="Times New Roman"/>
          <w:i/>
          <w:sz w:val="24"/>
          <w:szCs w:val="24"/>
        </w:rPr>
        <w:t>,</w:t>
      </w:r>
      <w:r w:rsidR="00771DD5" w:rsidRPr="00771D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3862" w:rsidRPr="00E43862">
        <w:rPr>
          <w:rFonts w:ascii="Times New Roman" w:hAnsi="Times New Roman" w:cs="Times New Roman"/>
          <w:i/>
          <w:sz w:val="24"/>
          <w:szCs w:val="24"/>
        </w:rPr>
        <w:t>Panagrellus</w:t>
      </w:r>
      <w:proofErr w:type="spellEnd"/>
      <w:r w:rsidR="00E43862" w:rsidRPr="00E438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43862" w:rsidRPr="00E43862">
        <w:rPr>
          <w:rFonts w:ascii="Times New Roman" w:hAnsi="Times New Roman" w:cs="Times New Roman"/>
          <w:i/>
          <w:sz w:val="24"/>
          <w:szCs w:val="24"/>
        </w:rPr>
        <w:t>Panagrolaimus</w:t>
      </w:r>
      <w:proofErr w:type="spellEnd"/>
      <w:r w:rsidR="00E43862" w:rsidRPr="00E43862">
        <w:rPr>
          <w:rFonts w:ascii="Times New Roman" w:hAnsi="Times New Roman" w:cs="Times New Roman"/>
          <w:i/>
          <w:sz w:val="24"/>
          <w:szCs w:val="24"/>
        </w:rPr>
        <w:t>,</w:t>
      </w:r>
      <w:r w:rsidR="00771DD5" w:rsidRPr="00771DD5">
        <w:t xml:space="preserve"> </w:t>
      </w:r>
      <w:proofErr w:type="spellStart"/>
      <w:r w:rsidR="00771DD5" w:rsidRPr="00771DD5">
        <w:rPr>
          <w:rFonts w:ascii="Times New Roman" w:hAnsi="Times New Roman" w:cs="Times New Roman"/>
          <w:i/>
          <w:sz w:val="24"/>
          <w:szCs w:val="24"/>
        </w:rPr>
        <w:t>Prodorylaimus</w:t>
      </w:r>
      <w:proofErr w:type="spellEnd"/>
      <w:r w:rsidR="00771DD5">
        <w:rPr>
          <w:rFonts w:ascii="Times New Roman" w:hAnsi="Times New Roman" w:cs="Times New Roman"/>
          <w:i/>
          <w:sz w:val="24"/>
          <w:szCs w:val="24"/>
        </w:rPr>
        <w:t>,</w:t>
      </w:r>
      <w:r w:rsidR="00E43862" w:rsidRPr="00E438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3862" w:rsidRPr="00E43862">
        <w:rPr>
          <w:rFonts w:ascii="Times New Roman" w:eastAsia="Times New Roman" w:hAnsi="Times New Roman"/>
          <w:i/>
          <w:sz w:val="24"/>
          <w:szCs w:val="24"/>
          <w:lang w:val="en-US" w:eastAsia="hr-HR"/>
        </w:rPr>
        <w:t>Rhabditis</w:t>
      </w:r>
      <w:proofErr w:type="spellEnd"/>
      <w:r w:rsidR="00771DD5">
        <w:rPr>
          <w:rFonts w:ascii="Times New Roman" w:eastAsia="Times New Roman" w:hAnsi="Times New Roman"/>
          <w:i/>
          <w:sz w:val="24"/>
          <w:szCs w:val="24"/>
          <w:lang w:val="en-US" w:eastAsia="hr-HR"/>
        </w:rPr>
        <w:t xml:space="preserve"> </w:t>
      </w:r>
      <w:r w:rsidR="00771DD5" w:rsidRPr="00771DD5"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r w:rsidR="00E43862" w:rsidRPr="00771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862" w:rsidRPr="00E43862">
        <w:rPr>
          <w:rFonts w:ascii="Times New Roman" w:hAnsi="Times New Roman" w:cs="Times New Roman"/>
          <w:i/>
          <w:sz w:val="24"/>
          <w:szCs w:val="24"/>
          <w:lang w:val="en-US"/>
        </w:rPr>
        <w:t>Tylenchorhynchus</w:t>
      </w:r>
      <w:proofErr w:type="spellEnd"/>
      <w:r w:rsidR="00E43862" w:rsidRPr="00E438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utjecajem kalcizacije</w:t>
      </w:r>
      <w:r w:rsidR="00653A9E">
        <w:rPr>
          <w:rFonts w:ascii="Times New Roman" w:hAnsi="Times New Roman" w:cs="Times New Roman"/>
          <w:sz w:val="24"/>
          <w:szCs w:val="24"/>
        </w:rPr>
        <w:t xml:space="preserve"> se smanjio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4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22" w:rsidRPr="00A43122" w:rsidRDefault="00CD2748" w:rsidP="00A43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48">
        <w:rPr>
          <w:rFonts w:ascii="Times New Roman" w:hAnsi="Times New Roman" w:cs="Times New Roman"/>
          <w:sz w:val="24"/>
          <w:szCs w:val="24"/>
        </w:rPr>
        <w:t xml:space="preserve">Bakterivore porodice Rhabditidae naseljavaju staništa koja su onečišćena te prema tome mogu biti pokazatelji onečišćenja </w:t>
      </w:r>
      <w:r w:rsidR="0059664B">
        <w:rPr>
          <w:rFonts w:ascii="Times New Roman" w:hAnsi="Times New Roman" w:cs="Times New Roman"/>
          <w:sz w:val="24"/>
          <w:szCs w:val="24"/>
        </w:rPr>
        <w:t xml:space="preserve">istih </w:t>
      </w:r>
      <w:r w:rsidRPr="00CD2748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(</w:t>
      </w:r>
      <w:r w:rsidRPr="00CD2748">
        <w:rPr>
          <w:rFonts w:ascii="Times New Roman" w:hAnsi="Times New Roman" w:cs="Times New Roman"/>
          <w:sz w:val="24"/>
          <w:szCs w:val="24"/>
        </w:rPr>
        <w:t>Bongers i Ferris, 1999</w:t>
      </w:r>
      <w:r>
        <w:rPr>
          <w:rFonts w:ascii="Times New Roman" w:hAnsi="Times New Roman" w:cs="Times New Roman"/>
          <w:sz w:val="24"/>
          <w:szCs w:val="24"/>
        </w:rPr>
        <w:t>.).</w:t>
      </w:r>
      <w:r w:rsidR="00A4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01D" w:rsidRDefault="0005401D" w:rsidP="00081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A5F" w:rsidRPr="006B2EBC" w:rsidRDefault="00081DFF" w:rsidP="006B2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Tablica </w:t>
      </w:r>
      <w:r w:rsidR="0005401D">
        <w:rPr>
          <w:rFonts w:ascii="Times New Roman" w:hAnsi="Times New Roman" w:cs="Times New Roman"/>
          <w:b/>
          <w:sz w:val="24"/>
          <w:szCs w:val="24"/>
        </w:rPr>
        <w:t>2</w:t>
      </w:r>
      <w:r w:rsidRPr="000540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5CD" w:rsidRPr="00081DFF">
        <w:rPr>
          <w:rFonts w:ascii="Times New Roman" w:hAnsi="Times New Roman" w:cs="Times New Roman"/>
          <w:sz w:val="24"/>
          <w:szCs w:val="24"/>
        </w:rPr>
        <w:t xml:space="preserve">Brojnost rodova nematoda </w:t>
      </w:r>
      <w:r w:rsidR="00B1504C" w:rsidRPr="00081DFF">
        <w:rPr>
          <w:rFonts w:ascii="Times New Roman" w:hAnsi="Times New Roman" w:cs="Times New Roman"/>
          <w:sz w:val="24"/>
          <w:szCs w:val="24"/>
        </w:rPr>
        <w:t xml:space="preserve">(% od ukupnog broja nematoda) </w:t>
      </w:r>
      <w:r w:rsidR="002E15CD" w:rsidRPr="00081DFF">
        <w:rPr>
          <w:rFonts w:ascii="Times New Roman" w:hAnsi="Times New Roman" w:cs="Times New Roman"/>
          <w:sz w:val="24"/>
          <w:szCs w:val="24"/>
        </w:rPr>
        <w:t xml:space="preserve">ovisno o kalcizaciji </w:t>
      </w:r>
      <w:r w:rsidR="00CA3EFE">
        <w:rPr>
          <w:rFonts w:ascii="Times New Roman" w:hAnsi="Times New Roman" w:cs="Times New Roman"/>
          <w:sz w:val="24"/>
          <w:szCs w:val="24"/>
        </w:rPr>
        <w:t>(prosjek 4 ponavljanja)</w:t>
      </w:r>
    </w:p>
    <w:tbl>
      <w:tblPr>
        <w:tblStyle w:val="TableGrid"/>
        <w:tblW w:w="4084" w:type="pct"/>
        <w:jc w:val="center"/>
        <w:tblLook w:val="04A0" w:firstRow="1" w:lastRow="0" w:firstColumn="1" w:lastColumn="0" w:noHBand="0" w:noVBand="1"/>
      </w:tblPr>
      <w:tblGrid>
        <w:gridCol w:w="2125"/>
        <w:gridCol w:w="959"/>
        <w:gridCol w:w="1417"/>
        <w:gridCol w:w="709"/>
        <w:gridCol w:w="2376"/>
      </w:tblGrid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bottom w:val="nil"/>
              <w:right w:val="nil"/>
            </w:tcBorders>
          </w:tcPr>
          <w:p w:rsidR="00150EBF" w:rsidRDefault="00150EBF" w:rsidP="0005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BF" w:rsidRPr="00081DFF" w:rsidRDefault="00150EBF" w:rsidP="00A0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09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Bez kalcizacije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 w:rsidP="0009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Kalcizacija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EBF" w:rsidRPr="00081DFF" w:rsidRDefault="00150EBF" w:rsidP="00A0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nematoda</w:t>
            </w:r>
          </w:p>
        </w:tc>
        <w:tc>
          <w:tcPr>
            <w:tcW w:w="45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50EBF" w:rsidRPr="00081DFF" w:rsidRDefault="004818EA" w:rsidP="0048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50EBF" w:rsidRPr="00081DFF">
              <w:rPr>
                <w:rFonts w:ascii="Times New Roman" w:hAnsi="Times New Roman" w:cs="Times New Roman"/>
                <w:sz w:val="24"/>
                <w:szCs w:val="24"/>
              </w:rPr>
              <w:t>Brojnost (%)</w:t>
            </w:r>
          </w:p>
        </w:tc>
      </w:tr>
      <w:tr w:rsidR="00150EBF" w:rsidRPr="00081DFF" w:rsidTr="00150EBF">
        <w:trPr>
          <w:gridAfter w:val="2"/>
          <w:wAfter w:w="3085" w:type="dxa"/>
          <w:jc w:val="center"/>
        </w:trPr>
        <w:tc>
          <w:tcPr>
            <w:tcW w:w="2125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Acrobeloides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Acrolobus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Alaimus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Aphelenchoides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D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Aphelenchus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D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Clarkus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Diploscapter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Dipterophora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D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Ditylenchus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0EBF" w:rsidRPr="00081DFF" w:rsidRDefault="00150EBF" w:rsidP="00D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Enchodelus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Eucephalobus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Eudorylaimus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Filenchus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 w:rsidP="000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proofErr w:type="spellStart"/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Heterocephalobus</w:t>
            </w:r>
            <w:proofErr w:type="spellEnd"/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proofErr w:type="spellStart"/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Laimydorus</w:t>
            </w:r>
            <w:proofErr w:type="spellEnd"/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proofErr w:type="spellStart"/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Malenchus</w:t>
            </w:r>
            <w:proofErr w:type="spellEnd"/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Meloidogyne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Mesodorylaimus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Metateratocephalus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9D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 w:rsidP="009D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50EBF" w:rsidRPr="003164DC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3164DC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3164D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Mylonchulus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3164DC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3164DC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D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Panagrellus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Panagrolaimus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Paratylenchus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Plectus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Pratylenchus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Prodorylaimus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Psilenchus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Rhabditis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Tylenchorhynchus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50EBF" w:rsidRPr="00081DFF" w:rsidTr="00150EBF">
        <w:trPr>
          <w:jc w:val="center"/>
        </w:trPr>
        <w:tc>
          <w:tcPr>
            <w:tcW w:w="30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0EBF" w:rsidRPr="00081DFF" w:rsidRDefault="00150EBF" w:rsidP="005E6F2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</w:pPr>
            <w:r w:rsidRPr="00081DF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hr-HR"/>
              </w:rPr>
              <w:t>Tylenchus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0EBF" w:rsidRPr="00081DFF" w:rsidRDefault="00150EBF" w:rsidP="0079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34,37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150EBF" w:rsidRPr="00081DFF" w:rsidRDefault="001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</w:tr>
    </w:tbl>
    <w:p w:rsidR="00150EBF" w:rsidRDefault="00150EBF" w:rsidP="00F3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FBE" w:rsidRDefault="00091763" w:rsidP="00DE1FBE">
      <w:pPr>
        <w:jc w:val="both"/>
      </w:pPr>
      <w:r w:rsidRPr="00A43122">
        <w:rPr>
          <w:rFonts w:ascii="Times New Roman" w:hAnsi="Times New Roman" w:cs="Times New Roman"/>
          <w:sz w:val="24"/>
          <w:szCs w:val="24"/>
        </w:rPr>
        <w:t xml:space="preserve">Fiscus i Neher (2002.) prema rezultatima istraživanja navode da su nematode rodova </w:t>
      </w:r>
      <w:r w:rsidRPr="00A43122">
        <w:rPr>
          <w:rFonts w:ascii="Times New Roman" w:hAnsi="Times New Roman" w:cs="Times New Roman"/>
          <w:i/>
          <w:sz w:val="24"/>
          <w:szCs w:val="24"/>
        </w:rPr>
        <w:t xml:space="preserve">Aphelenchoides, Eucephalobus, Eudorylaimus, Heterocephalobus </w:t>
      </w:r>
      <w:r w:rsidRPr="00A51DA6">
        <w:rPr>
          <w:rFonts w:ascii="Times New Roman" w:hAnsi="Times New Roman" w:cs="Times New Roman"/>
          <w:sz w:val="24"/>
          <w:szCs w:val="24"/>
        </w:rPr>
        <w:t>i</w:t>
      </w:r>
      <w:r w:rsidRPr="00A43122">
        <w:rPr>
          <w:rFonts w:ascii="Times New Roman" w:hAnsi="Times New Roman" w:cs="Times New Roman"/>
          <w:i/>
          <w:sz w:val="24"/>
          <w:szCs w:val="24"/>
        </w:rPr>
        <w:t xml:space="preserve"> Wilsonema</w:t>
      </w:r>
      <w:r w:rsidRPr="00A43122">
        <w:rPr>
          <w:rFonts w:ascii="Times New Roman" w:hAnsi="Times New Roman" w:cs="Times New Roman"/>
          <w:sz w:val="24"/>
          <w:szCs w:val="24"/>
        </w:rPr>
        <w:t xml:space="preserve"> osjetljive na uznemirenje</w:t>
      </w:r>
      <w:r w:rsidRPr="00A43122">
        <w:rPr>
          <w:rFonts w:ascii="Times New Roman" w:hAnsi="Times New Roman" w:cs="Times New Roman"/>
          <w:iCs/>
          <w:sz w:val="24"/>
          <w:szCs w:val="24"/>
        </w:rPr>
        <w:t xml:space="preserve"> prilikom gnojidbe i</w:t>
      </w:r>
      <w:r w:rsidRPr="00A43122">
        <w:rPr>
          <w:rFonts w:ascii="Times New Roman" w:hAnsi="Times New Roman" w:cs="Times New Roman"/>
          <w:sz w:val="24"/>
          <w:szCs w:val="24"/>
        </w:rPr>
        <w:t xml:space="preserve"> obrade tla, dok su nematode rodova </w:t>
      </w:r>
      <w:r w:rsidRPr="00A43122">
        <w:rPr>
          <w:rFonts w:ascii="Times New Roman" w:hAnsi="Times New Roman" w:cs="Times New Roman"/>
          <w:i/>
          <w:sz w:val="24"/>
          <w:szCs w:val="24"/>
        </w:rPr>
        <w:t>Achromadora, Anatochus, Clarkus, Epidorylaimus, Plectus, Mylonchulus</w:t>
      </w:r>
      <w:r w:rsidRPr="00A43122">
        <w:rPr>
          <w:rFonts w:ascii="Times New Roman" w:hAnsi="Times New Roman" w:cs="Times New Roman"/>
          <w:sz w:val="24"/>
          <w:szCs w:val="24"/>
        </w:rPr>
        <w:t xml:space="preserve"> i </w:t>
      </w:r>
      <w:r w:rsidRPr="00A43122">
        <w:rPr>
          <w:rFonts w:ascii="Times New Roman" w:hAnsi="Times New Roman" w:cs="Times New Roman"/>
          <w:i/>
          <w:sz w:val="24"/>
          <w:szCs w:val="24"/>
        </w:rPr>
        <w:t>Tylencholaimellus</w:t>
      </w:r>
      <w:r w:rsidRPr="00A43122">
        <w:rPr>
          <w:rFonts w:ascii="Times New Roman" w:hAnsi="Times New Roman" w:cs="Times New Roman"/>
          <w:sz w:val="24"/>
          <w:szCs w:val="24"/>
        </w:rPr>
        <w:t xml:space="preserve"> otpornije na uznemirenja tla kultivacijom i gnojidbom.</w:t>
      </w:r>
      <w:r w:rsidR="00AD07E9">
        <w:rPr>
          <w:rFonts w:ascii="Times New Roman" w:hAnsi="Times New Roman" w:cs="Times New Roman"/>
          <w:sz w:val="24"/>
          <w:szCs w:val="24"/>
        </w:rPr>
        <w:t xml:space="preserve"> </w:t>
      </w:r>
      <w:r w:rsidR="001C233E">
        <w:rPr>
          <w:rFonts w:ascii="Times New Roman" w:hAnsi="Times New Roman" w:cs="Times New Roman"/>
          <w:sz w:val="24"/>
          <w:szCs w:val="24"/>
        </w:rPr>
        <w:t xml:space="preserve">U provedenom istraživanju najznačajnije razlike u  prisutnosti rodova u tretmanima kalciziranog i nekalciziranog tla ostvarene su kod rodova </w:t>
      </w:r>
      <w:r w:rsidR="001C233E" w:rsidRPr="001C233E">
        <w:rPr>
          <w:rFonts w:ascii="Times New Roman" w:hAnsi="Times New Roman" w:cs="Times New Roman"/>
          <w:i/>
          <w:sz w:val="24"/>
          <w:szCs w:val="24"/>
        </w:rPr>
        <w:t>Rhabditis</w:t>
      </w:r>
      <w:r w:rsidR="001C233E">
        <w:rPr>
          <w:rFonts w:ascii="Times New Roman" w:hAnsi="Times New Roman" w:cs="Times New Roman"/>
          <w:sz w:val="24"/>
          <w:szCs w:val="24"/>
        </w:rPr>
        <w:t xml:space="preserve"> i </w:t>
      </w:r>
      <w:r w:rsidR="001C233E" w:rsidRPr="001C233E">
        <w:rPr>
          <w:rFonts w:ascii="Times New Roman" w:hAnsi="Times New Roman" w:cs="Times New Roman"/>
          <w:i/>
          <w:sz w:val="24"/>
          <w:szCs w:val="24"/>
        </w:rPr>
        <w:t>Acrobeloides</w:t>
      </w:r>
      <w:r w:rsidR="001C233E">
        <w:rPr>
          <w:rFonts w:ascii="Times New Roman" w:hAnsi="Times New Roman" w:cs="Times New Roman"/>
          <w:sz w:val="24"/>
          <w:szCs w:val="24"/>
        </w:rPr>
        <w:t xml:space="preserve">. </w:t>
      </w:r>
      <w:r w:rsidR="00AD07E9">
        <w:rPr>
          <w:rFonts w:ascii="Times New Roman" w:hAnsi="Times New Roman" w:cs="Times New Roman"/>
          <w:sz w:val="24"/>
          <w:szCs w:val="24"/>
        </w:rPr>
        <w:t xml:space="preserve">Rod </w:t>
      </w:r>
      <w:r w:rsidR="00AD07E9" w:rsidRPr="00AD07E9">
        <w:rPr>
          <w:rFonts w:ascii="Times New Roman" w:hAnsi="Times New Roman" w:cs="Times New Roman"/>
          <w:i/>
          <w:sz w:val="24"/>
          <w:szCs w:val="24"/>
        </w:rPr>
        <w:t>Rhabditis</w:t>
      </w:r>
      <w:r w:rsidR="00AD07E9">
        <w:rPr>
          <w:rFonts w:ascii="Times New Roman" w:hAnsi="Times New Roman" w:cs="Times New Roman"/>
          <w:sz w:val="24"/>
          <w:szCs w:val="24"/>
        </w:rPr>
        <w:t xml:space="preserve"> smanjio je brojnost u tlu nakon kalcizacije, a poznato je kako on povećava brojnost neposredno nakon nekih uznemirenja (Brmež, 2004.), jer prvi reagira na promjene u tlu i to povećanjem brojnosti, međutim, njegova brojnost ponov</w:t>
      </w:r>
      <w:r w:rsidR="00A51DA6">
        <w:rPr>
          <w:rFonts w:ascii="Times New Roman" w:hAnsi="Times New Roman" w:cs="Times New Roman"/>
          <w:sz w:val="24"/>
          <w:szCs w:val="24"/>
        </w:rPr>
        <w:t>n</w:t>
      </w:r>
      <w:r w:rsidR="00AD07E9">
        <w:rPr>
          <w:rFonts w:ascii="Times New Roman" w:hAnsi="Times New Roman" w:cs="Times New Roman"/>
          <w:sz w:val="24"/>
          <w:szCs w:val="24"/>
        </w:rPr>
        <w:t xml:space="preserve">o opada nakon dva tjedna. U ovom istraživanju uzorkovanje je </w:t>
      </w:r>
      <w:r w:rsidR="00A51DA6">
        <w:rPr>
          <w:rFonts w:ascii="Times New Roman" w:hAnsi="Times New Roman" w:cs="Times New Roman"/>
          <w:sz w:val="24"/>
          <w:szCs w:val="24"/>
        </w:rPr>
        <w:t xml:space="preserve">provedeno </w:t>
      </w:r>
      <w:r w:rsidR="00AD07E9">
        <w:rPr>
          <w:rFonts w:ascii="Times New Roman" w:hAnsi="Times New Roman" w:cs="Times New Roman"/>
          <w:sz w:val="24"/>
          <w:szCs w:val="24"/>
        </w:rPr>
        <w:t xml:space="preserve">mjesec dana nakon </w:t>
      </w:r>
      <w:r w:rsidR="00AD07E9">
        <w:rPr>
          <w:rFonts w:ascii="Times New Roman" w:hAnsi="Times New Roman" w:cs="Times New Roman"/>
          <w:sz w:val="24"/>
          <w:szCs w:val="24"/>
        </w:rPr>
        <w:lastRenderedPageBreak/>
        <w:t xml:space="preserve">kalcizacije te je </w:t>
      </w:r>
      <w:r w:rsidR="00A51DA6">
        <w:rPr>
          <w:rFonts w:ascii="Times New Roman" w:hAnsi="Times New Roman" w:cs="Times New Roman"/>
          <w:sz w:val="24"/>
          <w:szCs w:val="24"/>
        </w:rPr>
        <w:t xml:space="preserve">utvrđeno kako je </w:t>
      </w:r>
      <w:r w:rsidR="00DE1FBE">
        <w:rPr>
          <w:rFonts w:ascii="Times New Roman" w:hAnsi="Times New Roman" w:cs="Times New Roman"/>
          <w:sz w:val="24"/>
          <w:szCs w:val="24"/>
        </w:rPr>
        <w:t xml:space="preserve">došlo </w:t>
      </w:r>
      <w:r w:rsidR="00AD07E9">
        <w:rPr>
          <w:rFonts w:ascii="Times New Roman" w:hAnsi="Times New Roman" w:cs="Times New Roman"/>
          <w:sz w:val="24"/>
          <w:szCs w:val="24"/>
        </w:rPr>
        <w:t xml:space="preserve">do opadanja brojnosti </w:t>
      </w:r>
      <w:r w:rsidR="00DE1FBE">
        <w:rPr>
          <w:rFonts w:ascii="Times New Roman" w:hAnsi="Times New Roman" w:cs="Times New Roman"/>
          <w:sz w:val="24"/>
          <w:szCs w:val="24"/>
        </w:rPr>
        <w:t xml:space="preserve">nematoda iz </w:t>
      </w:r>
      <w:r w:rsidR="00AD07E9">
        <w:rPr>
          <w:rFonts w:ascii="Times New Roman" w:hAnsi="Times New Roman" w:cs="Times New Roman"/>
          <w:sz w:val="24"/>
          <w:szCs w:val="24"/>
        </w:rPr>
        <w:t xml:space="preserve">roda </w:t>
      </w:r>
      <w:r w:rsidR="00AD07E9" w:rsidRPr="00AD07E9">
        <w:rPr>
          <w:rFonts w:ascii="Times New Roman" w:hAnsi="Times New Roman" w:cs="Times New Roman"/>
          <w:i/>
          <w:sz w:val="24"/>
          <w:szCs w:val="24"/>
        </w:rPr>
        <w:t>Rhabditis</w:t>
      </w:r>
      <w:r w:rsidR="00AD07E9">
        <w:rPr>
          <w:rFonts w:ascii="Times New Roman" w:hAnsi="Times New Roman" w:cs="Times New Roman"/>
          <w:sz w:val="24"/>
          <w:szCs w:val="24"/>
        </w:rPr>
        <w:t xml:space="preserve">. Njegova povećana brojnost u prvom uzorku izazvana je mehaničkim uznemirenjem tla pri pripremi </w:t>
      </w:r>
      <w:r w:rsidR="001C233E">
        <w:rPr>
          <w:rFonts w:ascii="Times New Roman" w:hAnsi="Times New Roman" w:cs="Times New Roman"/>
          <w:sz w:val="24"/>
          <w:szCs w:val="24"/>
        </w:rPr>
        <w:t xml:space="preserve">tla </w:t>
      </w:r>
      <w:r w:rsidR="00AD07E9">
        <w:rPr>
          <w:rFonts w:ascii="Times New Roman" w:hAnsi="Times New Roman" w:cs="Times New Roman"/>
          <w:sz w:val="24"/>
          <w:szCs w:val="24"/>
        </w:rPr>
        <w:t>i sadnji feferona.</w:t>
      </w:r>
      <w:r w:rsidR="007A590A">
        <w:rPr>
          <w:rFonts w:ascii="Times New Roman" w:hAnsi="Times New Roman" w:cs="Times New Roman"/>
          <w:sz w:val="24"/>
          <w:szCs w:val="24"/>
        </w:rPr>
        <w:t xml:space="preserve"> Značajno je napomenuti i rod </w:t>
      </w:r>
      <w:r w:rsidR="007A590A" w:rsidRPr="00CB022E">
        <w:rPr>
          <w:rFonts w:ascii="Times New Roman" w:hAnsi="Times New Roman" w:cs="Times New Roman"/>
          <w:i/>
          <w:sz w:val="24"/>
          <w:szCs w:val="24"/>
        </w:rPr>
        <w:t>Acrobelodies</w:t>
      </w:r>
      <w:r w:rsidR="007A590A">
        <w:rPr>
          <w:rFonts w:ascii="Times New Roman" w:hAnsi="Times New Roman" w:cs="Times New Roman"/>
          <w:sz w:val="24"/>
          <w:szCs w:val="24"/>
        </w:rPr>
        <w:t xml:space="preserve"> čija brojnost se povećala nakon kalcizacije, a poznato je kako se upravo taj rod javlja mjesec dana nakon uznemirenja t</w:t>
      </w:r>
      <w:r w:rsidR="00DE1FBE">
        <w:rPr>
          <w:rFonts w:ascii="Times New Roman" w:hAnsi="Times New Roman" w:cs="Times New Roman"/>
          <w:sz w:val="24"/>
          <w:szCs w:val="24"/>
        </w:rPr>
        <w:t>la, kada u tlu postaju dominantn</w:t>
      </w:r>
      <w:r w:rsidR="007A590A">
        <w:rPr>
          <w:rFonts w:ascii="Times New Roman" w:hAnsi="Times New Roman" w:cs="Times New Roman"/>
          <w:sz w:val="24"/>
          <w:szCs w:val="24"/>
        </w:rPr>
        <w:t xml:space="preserve">iji rodovi koji imaju duži životni ciklus u odnosu na rod </w:t>
      </w:r>
      <w:r w:rsidR="007A590A" w:rsidRPr="007A590A">
        <w:rPr>
          <w:rFonts w:ascii="Times New Roman" w:hAnsi="Times New Roman" w:cs="Times New Roman"/>
          <w:i/>
          <w:sz w:val="24"/>
          <w:szCs w:val="24"/>
        </w:rPr>
        <w:t>Rhabditis</w:t>
      </w:r>
      <w:r w:rsidR="007A590A">
        <w:rPr>
          <w:rFonts w:ascii="Times New Roman" w:hAnsi="Times New Roman" w:cs="Times New Roman"/>
          <w:sz w:val="24"/>
          <w:szCs w:val="24"/>
        </w:rPr>
        <w:t xml:space="preserve"> (Brmež, 1999.).</w:t>
      </w:r>
      <w:r w:rsidR="00DE1FBE" w:rsidRPr="00DE1FBE">
        <w:t xml:space="preserve"> </w:t>
      </w:r>
    </w:p>
    <w:p w:rsidR="00872402" w:rsidRPr="00872402" w:rsidRDefault="00872402" w:rsidP="00054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402">
        <w:rPr>
          <w:rFonts w:ascii="Times New Roman" w:hAnsi="Times New Roman" w:cs="Times New Roman"/>
          <w:b/>
          <w:sz w:val="24"/>
          <w:szCs w:val="24"/>
        </w:rPr>
        <w:t>Zaključ</w:t>
      </w:r>
      <w:r w:rsidR="00A51DA6">
        <w:rPr>
          <w:rFonts w:ascii="Times New Roman" w:hAnsi="Times New Roman" w:cs="Times New Roman"/>
          <w:b/>
          <w:sz w:val="24"/>
          <w:szCs w:val="24"/>
        </w:rPr>
        <w:t>ci</w:t>
      </w:r>
    </w:p>
    <w:p w:rsidR="00872402" w:rsidRPr="00A748D6" w:rsidRDefault="00CB022E" w:rsidP="006A3BCE">
      <w:pPr>
        <w:jc w:val="both"/>
        <w:rPr>
          <w:rFonts w:ascii="Times New Roman" w:hAnsi="Times New Roman" w:cs="Times New Roman"/>
          <w:sz w:val="24"/>
          <w:szCs w:val="24"/>
        </w:rPr>
      </w:pPr>
      <w:r w:rsidRPr="00CB022E">
        <w:rPr>
          <w:rFonts w:ascii="Times New Roman" w:hAnsi="Times New Roman" w:cs="Times New Roman"/>
          <w:sz w:val="24"/>
          <w:szCs w:val="24"/>
        </w:rPr>
        <w:t>Provedeno istraž</w:t>
      </w:r>
      <w:r>
        <w:rPr>
          <w:rFonts w:ascii="Times New Roman" w:hAnsi="Times New Roman" w:cs="Times New Roman"/>
          <w:sz w:val="24"/>
          <w:szCs w:val="24"/>
        </w:rPr>
        <w:t>ivanje o u</w:t>
      </w:r>
      <w:r w:rsidRPr="00CB022E">
        <w:rPr>
          <w:rFonts w:ascii="Times New Roman" w:hAnsi="Times New Roman" w:cs="Times New Roman"/>
          <w:sz w:val="24"/>
          <w:szCs w:val="24"/>
        </w:rPr>
        <w:t>tjecaj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022E">
        <w:rPr>
          <w:rFonts w:ascii="Times New Roman" w:hAnsi="Times New Roman" w:cs="Times New Roman"/>
          <w:sz w:val="24"/>
          <w:szCs w:val="24"/>
        </w:rPr>
        <w:t xml:space="preserve"> kalcizacije kiselog tla na zastupljenost rodova nematoda</w:t>
      </w:r>
      <w:r w:rsidR="00DE1FBE">
        <w:rPr>
          <w:rFonts w:ascii="Times New Roman" w:hAnsi="Times New Roman" w:cs="Times New Roman"/>
          <w:sz w:val="24"/>
          <w:szCs w:val="24"/>
        </w:rPr>
        <w:t xml:space="preserve"> potvrdilo je činjenicu kako su nematode dobri bioin</w:t>
      </w:r>
      <w:r w:rsidR="006A3BCE">
        <w:rPr>
          <w:rFonts w:ascii="Times New Roman" w:hAnsi="Times New Roman" w:cs="Times New Roman"/>
          <w:sz w:val="24"/>
          <w:szCs w:val="24"/>
        </w:rPr>
        <w:t xml:space="preserve">dikatori stanja agroekosustava. U istraživanju je utvrđeno ukupno 30 rodova nematoda, u tlu bez kalcizacije </w:t>
      </w:r>
      <w:r w:rsidR="00A51DA6">
        <w:rPr>
          <w:rFonts w:ascii="Times New Roman" w:hAnsi="Times New Roman" w:cs="Times New Roman"/>
          <w:sz w:val="24"/>
          <w:szCs w:val="24"/>
        </w:rPr>
        <w:t xml:space="preserve">utvrđena su </w:t>
      </w:r>
      <w:r w:rsidR="006A3BCE">
        <w:rPr>
          <w:rFonts w:ascii="Times New Roman" w:hAnsi="Times New Roman" w:cs="Times New Roman"/>
          <w:sz w:val="24"/>
          <w:szCs w:val="24"/>
        </w:rPr>
        <w:t xml:space="preserve">22 roda </w:t>
      </w:r>
      <w:r w:rsidR="006A3BCE" w:rsidRPr="00287917">
        <w:rPr>
          <w:rFonts w:ascii="Times New Roman" w:hAnsi="Times New Roman" w:cs="Times New Roman"/>
          <w:sz w:val="24"/>
          <w:szCs w:val="24"/>
        </w:rPr>
        <w:t xml:space="preserve">nematoda, a u tlu u kojem je obavljena kalcizacije 23 .  </w:t>
      </w:r>
      <w:r w:rsidR="00287917" w:rsidRPr="00A748D6">
        <w:rPr>
          <w:rFonts w:ascii="Times New Roman" w:hAnsi="Times New Roman" w:cs="Times New Roman"/>
        </w:rPr>
        <w:t>B</w:t>
      </w:r>
      <w:r w:rsidR="00287917" w:rsidRPr="00A748D6">
        <w:rPr>
          <w:rFonts w:ascii="Times New Roman" w:hAnsi="Times New Roman" w:cs="Times New Roman"/>
          <w:sz w:val="24"/>
          <w:szCs w:val="24"/>
        </w:rPr>
        <w:t xml:space="preserve">rojnost nematoda roda </w:t>
      </w:r>
      <w:r w:rsidR="00287917" w:rsidRPr="00A748D6">
        <w:rPr>
          <w:rFonts w:ascii="Times New Roman" w:hAnsi="Times New Roman" w:cs="Times New Roman"/>
          <w:i/>
          <w:sz w:val="24"/>
          <w:szCs w:val="24"/>
        </w:rPr>
        <w:t>Rhabditis</w:t>
      </w:r>
      <w:r w:rsidR="00287917" w:rsidRPr="00A748D6">
        <w:rPr>
          <w:rFonts w:ascii="Times New Roman" w:hAnsi="Times New Roman" w:cs="Times New Roman"/>
          <w:sz w:val="24"/>
          <w:szCs w:val="24"/>
        </w:rPr>
        <w:t xml:space="preserve"> </w:t>
      </w:r>
      <w:r w:rsidR="00A748D6">
        <w:rPr>
          <w:rFonts w:ascii="Times New Roman" w:hAnsi="Times New Roman" w:cs="Times New Roman"/>
          <w:sz w:val="24"/>
          <w:szCs w:val="24"/>
        </w:rPr>
        <w:t>se smanjila, a brojnost roda</w:t>
      </w:r>
      <w:r w:rsidR="00287917" w:rsidRPr="00A748D6">
        <w:rPr>
          <w:rFonts w:ascii="Times New Roman" w:hAnsi="Times New Roman" w:cs="Times New Roman"/>
          <w:sz w:val="24"/>
          <w:szCs w:val="24"/>
        </w:rPr>
        <w:t xml:space="preserve"> </w:t>
      </w:r>
      <w:r w:rsidR="00287917" w:rsidRPr="00A748D6">
        <w:rPr>
          <w:rFonts w:ascii="Times New Roman" w:hAnsi="Times New Roman" w:cs="Times New Roman"/>
          <w:i/>
          <w:sz w:val="24"/>
          <w:szCs w:val="24"/>
        </w:rPr>
        <w:t>Acrobeloides</w:t>
      </w:r>
      <w:r w:rsidR="00287917" w:rsidRPr="00A748D6">
        <w:rPr>
          <w:rFonts w:ascii="Times New Roman" w:hAnsi="Times New Roman" w:cs="Times New Roman"/>
          <w:sz w:val="24"/>
          <w:szCs w:val="24"/>
        </w:rPr>
        <w:t xml:space="preserve"> </w:t>
      </w:r>
      <w:r w:rsidR="00A748D6" w:rsidRPr="00A748D6">
        <w:rPr>
          <w:rFonts w:ascii="Times New Roman" w:hAnsi="Times New Roman" w:cs="Times New Roman"/>
          <w:sz w:val="24"/>
          <w:szCs w:val="24"/>
        </w:rPr>
        <w:t xml:space="preserve">se </w:t>
      </w:r>
      <w:r w:rsidR="00287917" w:rsidRPr="00A748D6">
        <w:rPr>
          <w:rFonts w:ascii="Times New Roman" w:hAnsi="Times New Roman" w:cs="Times New Roman"/>
          <w:sz w:val="24"/>
          <w:szCs w:val="24"/>
        </w:rPr>
        <w:t>povećala u kalciziranom tlu.</w:t>
      </w:r>
      <w:r w:rsidR="00EC7755" w:rsidRPr="00EC7755">
        <w:t xml:space="preserve"> </w:t>
      </w:r>
      <w:r w:rsidR="00EC7755" w:rsidRPr="00EC7755">
        <w:rPr>
          <w:rFonts w:ascii="Times New Roman" w:hAnsi="Times New Roman" w:cs="Times New Roman"/>
          <w:sz w:val="24"/>
          <w:szCs w:val="24"/>
        </w:rPr>
        <w:t>Kalcizacija je pozitivno utjecala na kemijska svojstva tla, a time i na biološku raznolikost nematoda u tlu, te je još jednom potvrđena činjenica kako su nematode dobri bioindikatori ''zdravlja tla'' i  da  tlo nije samo supstrat za rast, već živi, dinamičan i održivi ekosustav.</w:t>
      </w:r>
    </w:p>
    <w:p w:rsidR="00872402" w:rsidRPr="00872402" w:rsidRDefault="00872402" w:rsidP="00054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402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927200" w:rsidRPr="00927200" w:rsidRDefault="00927200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200">
        <w:rPr>
          <w:rFonts w:ascii="Times New Roman" w:hAnsi="Times New Roman" w:cs="Times New Roman"/>
          <w:sz w:val="24"/>
          <w:szCs w:val="24"/>
        </w:rPr>
        <w:t xml:space="preserve">Andrassy, J. (1984): Klasse nematoda. Gustav Fisher Verlag. Stuttgart. </w:t>
      </w:r>
      <w:r w:rsidR="00A51DA6">
        <w:rPr>
          <w:rFonts w:ascii="Times New Roman" w:hAnsi="Times New Roman" w:cs="Times New Roman"/>
          <w:sz w:val="24"/>
          <w:szCs w:val="24"/>
        </w:rPr>
        <w:t xml:space="preserve">str. </w:t>
      </w:r>
      <w:r w:rsidRPr="00927200">
        <w:rPr>
          <w:rFonts w:ascii="Times New Roman" w:hAnsi="Times New Roman" w:cs="Times New Roman"/>
          <w:sz w:val="24"/>
          <w:szCs w:val="24"/>
        </w:rPr>
        <w:t xml:space="preserve">509. </w:t>
      </w:r>
    </w:p>
    <w:p w:rsidR="00927200" w:rsidRPr="00927200" w:rsidRDefault="00927200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200">
        <w:rPr>
          <w:rFonts w:ascii="Times New Roman" w:hAnsi="Times New Roman" w:cs="Times New Roman"/>
          <w:sz w:val="24"/>
          <w:szCs w:val="24"/>
        </w:rPr>
        <w:t xml:space="preserve">Andrassy, J. (1988): The superfamily Dorylamoidea (Nematoda) – a review of Family Dorylaimidae. Opus. Zoologica Budapest 23:3-63. </w:t>
      </w:r>
    </w:p>
    <w:p w:rsidR="00872402" w:rsidRDefault="00927200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200">
        <w:rPr>
          <w:rFonts w:ascii="Times New Roman" w:hAnsi="Times New Roman" w:cs="Times New Roman"/>
          <w:sz w:val="24"/>
          <w:szCs w:val="24"/>
        </w:rPr>
        <w:t>Andrassy, J. (1993): A taxonomic survey of family Mononchidae (Nematoda). Acta Zoologica Hungaricae 39:13-60.</w:t>
      </w:r>
    </w:p>
    <w:p w:rsidR="00863121" w:rsidRDefault="00863121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3121">
        <w:rPr>
          <w:rFonts w:ascii="Times New Roman" w:hAnsi="Times New Roman" w:cs="Times New Roman"/>
          <w:sz w:val="24"/>
          <w:szCs w:val="24"/>
        </w:rPr>
        <w:t>Bongers, T. (1994): De Nematoden van Nederland. KNNV-bibliothee</w:t>
      </w:r>
      <w:r w:rsidR="00A51DA6">
        <w:rPr>
          <w:rFonts w:ascii="Times New Roman" w:hAnsi="Times New Roman" w:cs="Times New Roman"/>
          <w:sz w:val="24"/>
          <w:szCs w:val="24"/>
        </w:rPr>
        <w:t>kuitgave 46. Pirola, Schoorl. str</w:t>
      </w:r>
      <w:r w:rsidRPr="00863121">
        <w:rPr>
          <w:rFonts w:ascii="Times New Roman" w:hAnsi="Times New Roman" w:cs="Times New Roman"/>
          <w:sz w:val="24"/>
          <w:szCs w:val="24"/>
        </w:rPr>
        <w:t>.</w:t>
      </w:r>
      <w:r w:rsidR="00A86EEC">
        <w:rPr>
          <w:rFonts w:ascii="Times New Roman" w:hAnsi="Times New Roman" w:cs="Times New Roman"/>
          <w:sz w:val="24"/>
          <w:szCs w:val="24"/>
        </w:rPr>
        <w:t xml:space="preserve"> </w:t>
      </w:r>
      <w:r w:rsidRPr="00863121">
        <w:rPr>
          <w:rFonts w:ascii="Times New Roman" w:hAnsi="Times New Roman" w:cs="Times New Roman"/>
          <w:sz w:val="24"/>
          <w:szCs w:val="24"/>
        </w:rPr>
        <w:t>408.</w:t>
      </w:r>
      <w:r w:rsidRPr="00863121">
        <w:t xml:space="preserve"> </w:t>
      </w:r>
      <w:r w:rsidRPr="00863121">
        <w:rPr>
          <w:rFonts w:ascii="Times New Roman" w:hAnsi="Times New Roman" w:cs="Times New Roman"/>
          <w:sz w:val="24"/>
          <w:szCs w:val="24"/>
        </w:rPr>
        <w:t>23.</w:t>
      </w:r>
      <w:r w:rsidRPr="00863121">
        <w:rPr>
          <w:rFonts w:ascii="Times New Roman" w:hAnsi="Times New Roman" w:cs="Times New Roman"/>
          <w:sz w:val="24"/>
          <w:szCs w:val="24"/>
        </w:rPr>
        <w:tab/>
      </w:r>
    </w:p>
    <w:p w:rsidR="00101194" w:rsidRDefault="00A51DA6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Bongers, T., </w:t>
      </w:r>
      <w:r w:rsidR="00101194" w:rsidRPr="00101194">
        <w:rPr>
          <w:rFonts w:ascii="Times New Roman" w:hAnsi="Times New Roman" w:cs="Times New Roman"/>
          <w:sz w:val="24"/>
          <w:szCs w:val="24"/>
        </w:rPr>
        <w:t>Bongers, M. (1998): Functional diversity of nematodes. Applied Soil Ecology 10(3):239-251.</w:t>
      </w:r>
    </w:p>
    <w:p w:rsidR="00B118D4" w:rsidRDefault="00A51DA6" w:rsidP="00B118D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Bongers, T., </w:t>
      </w:r>
      <w:r w:rsidR="007F14D2" w:rsidRPr="007F14D2">
        <w:rPr>
          <w:rFonts w:ascii="Times New Roman" w:hAnsi="Times New Roman" w:cs="Times New Roman"/>
          <w:sz w:val="24"/>
          <w:szCs w:val="24"/>
        </w:rPr>
        <w:t>Ferris H. (1999): Nematode community structure as a bioindicator in environmental monitoring. Trends in Ecology &amp; Evolution 14(6):224-228.</w:t>
      </w:r>
    </w:p>
    <w:p w:rsidR="00B118D4" w:rsidRDefault="00B118D4" w:rsidP="00B118D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18D4">
        <w:rPr>
          <w:rFonts w:ascii="Times New Roman" w:hAnsi="Times New Roman" w:cs="Times New Roman"/>
          <w:sz w:val="24"/>
          <w:szCs w:val="24"/>
        </w:rPr>
        <w:t>Brmež, M., Ivezić, M., Raspudić, E., Majić, I. (2004): Dinamika polulacije nematoda u pšenici. Agriculture 10(2):5-9.</w:t>
      </w:r>
    </w:p>
    <w:p w:rsidR="00A43122" w:rsidRDefault="005F2CB4" w:rsidP="00A43122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2CB4">
        <w:rPr>
          <w:rFonts w:ascii="Times New Roman" w:hAnsi="Times New Roman" w:cs="Times New Roman"/>
          <w:sz w:val="24"/>
          <w:szCs w:val="24"/>
        </w:rPr>
        <w:t>Brmež, M., Ivezić, M., Raspudić, E., Tripar, V., Baličević, R. (2007): Nematode communities as bioindicators of antropogenic influence in agroecosystems. Cereal Research Communications (35)2:297-300.</w:t>
      </w:r>
    </w:p>
    <w:p w:rsidR="007A590A" w:rsidRDefault="007A590A" w:rsidP="007A590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590A">
        <w:rPr>
          <w:rFonts w:ascii="Times New Roman" w:hAnsi="Times New Roman" w:cs="Times New Roman"/>
          <w:bCs/>
          <w:sz w:val="24"/>
          <w:szCs w:val="24"/>
        </w:rPr>
        <w:t>Brmež, M</w:t>
      </w:r>
      <w:r w:rsidRPr="007A590A">
        <w:rPr>
          <w:rFonts w:ascii="Times New Roman" w:hAnsi="Times New Roman" w:cs="Times New Roman"/>
          <w:sz w:val="24"/>
          <w:szCs w:val="24"/>
        </w:rPr>
        <w:t xml:space="preserve">. (1999): Nematode kao bioindikatori stanja agroekosustava. Magistarski rad, </w:t>
      </w:r>
      <w:r w:rsidR="000B5DF5">
        <w:rPr>
          <w:rFonts w:ascii="Times New Roman" w:hAnsi="Times New Roman" w:cs="Times New Roman"/>
          <w:sz w:val="24"/>
          <w:szCs w:val="24"/>
        </w:rPr>
        <w:t>P</w:t>
      </w:r>
      <w:r w:rsidR="00A86EEC">
        <w:rPr>
          <w:rFonts w:ascii="Times New Roman" w:hAnsi="Times New Roman" w:cs="Times New Roman"/>
          <w:sz w:val="24"/>
          <w:szCs w:val="24"/>
        </w:rPr>
        <w:t xml:space="preserve">oljoprivredni fakultet u Osijeku: </w:t>
      </w:r>
      <w:r w:rsidR="00A51DA6">
        <w:rPr>
          <w:rFonts w:ascii="Times New Roman" w:hAnsi="Times New Roman" w:cs="Times New Roman"/>
          <w:sz w:val="24"/>
          <w:szCs w:val="24"/>
        </w:rPr>
        <w:t>str</w:t>
      </w:r>
      <w:r w:rsidRPr="007A590A">
        <w:rPr>
          <w:rFonts w:ascii="Times New Roman" w:hAnsi="Times New Roman" w:cs="Times New Roman"/>
          <w:sz w:val="24"/>
          <w:szCs w:val="24"/>
        </w:rPr>
        <w:t>. 61.</w:t>
      </w:r>
    </w:p>
    <w:p w:rsidR="007A590A" w:rsidRPr="007A590A" w:rsidRDefault="007A590A" w:rsidP="007A590A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590A">
        <w:rPr>
          <w:rFonts w:ascii="Times New Roman" w:eastAsia="Calibri" w:hAnsi="Times New Roman" w:cs="Times New Roman"/>
          <w:sz w:val="24"/>
          <w:szCs w:val="24"/>
          <w:lang w:val="pl-PL"/>
        </w:rPr>
        <w:t>Brmež, M.</w:t>
      </w:r>
      <w:r w:rsidRPr="007A590A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</w:t>
      </w:r>
      <w:r w:rsidRPr="007A590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(2004): Zajednice nematoda kao bioindikatori promjena u agroekosustavu. </w:t>
      </w:r>
      <w:proofErr w:type="spellStart"/>
      <w:r w:rsidRPr="007A590A">
        <w:rPr>
          <w:rFonts w:ascii="Times New Roman" w:eastAsia="Calibri" w:hAnsi="Times New Roman" w:cs="Times New Roman"/>
          <w:sz w:val="24"/>
          <w:szCs w:val="24"/>
          <w:lang w:val="en-US"/>
        </w:rPr>
        <w:t>Doktorska</w:t>
      </w:r>
      <w:proofErr w:type="spellEnd"/>
      <w:r w:rsidRPr="007A59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590A">
        <w:rPr>
          <w:rFonts w:ascii="Times New Roman" w:eastAsia="Calibri" w:hAnsi="Times New Roman" w:cs="Times New Roman"/>
          <w:sz w:val="24"/>
          <w:szCs w:val="24"/>
          <w:lang w:val="en-US"/>
        </w:rPr>
        <w:t>disertacija</w:t>
      </w:r>
      <w:proofErr w:type="spellEnd"/>
      <w:r w:rsidRPr="007A59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590A">
        <w:rPr>
          <w:rFonts w:ascii="Times New Roman" w:eastAsia="Calibri" w:hAnsi="Times New Roman" w:cs="Times New Roman"/>
          <w:sz w:val="24"/>
          <w:szCs w:val="24"/>
          <w:lang w:val="en-US"/>
        </w:rPr>
        <w:t>Poljo</w:t>
      </w:r>
      <w:r w:rsidR="00A51DA6">
        <w:rPr>
          <w:rFonts w:ascii="Times New Roman" w:eastAsia="Calibri" w:hAnsi="Times New Roman" w:cs="Times New Roman"/>
          <w:sz w:val="24"/>
          <w:szCs w:val="24"/>
          <w:lang w:val="en-US"/>
        </w:rPr>
        <w:t>privredni</w:t>
      </w:r>
      <w:proofErr w:type="spellEnd"/>
      <w:r w:rsidR="00A51D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DA6">
        <w:rPr>
          <w:rFonts w:ascii="Times New Roman" w:eastAsia="Calibri" w:hAnsi="Times New Roman" w:cs="Times New Roman"/>
          <w:sz w:val="24"/>
          <w:szCs w:val="24"/>
          <w:lang w:val="en-US"/>
        </w:rPr>
        <w:t>fakultet</w:t>
      </w:r>
      <w:proofErr w:type="spellEnd"/>
      <w:r w:rsidR="00A51D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A51DA6">
        <w:rPr>
          <w:rFonts w:ascii="Times New Roman" w:eastAsia="Calibri" w:hAnsi="Times New Roman" w:cs="Times New Roman"/>
          <w:sz w:val="24"/>
          <w:szCs w:val="24"/>
          <w:lang w:val="en-US"/>
        </w:rPr>
        <w:t>Osijeku</w:t>
      </w:r>
      <w:proofErr w:type="spellEnd"/>
      <w:r w:rsidR="00A51DA6">
        <w:rPr>
          <w:rFonts w:ascii="Times New Roman" w:eastAsia="Calibri" w:hAnsi="Times New Roman" w:cs="Times New Roman"/>
          <w:sz w:val="24"/>
          <w:szCs w:val="24"/>
          <w:lang w:val="en-US"/>
        </w:rPr>
        <w:t>: str</w:t>
      </w:r>
      <w:r w:rsidRPr="007A590A">
        <w:rPr>
          <w:rFonts w:ascii="Times New Roman" w:eastAsia="Calibri" w:hAnsi="Times New Roman" w:cs="Times New Roman"/>
          <w:sz w:val="24"/>
          <w:szCs w:val="24"/>
          <w:lang w:val="en-US"/>
        </w:rPr>
        <w:t>. 100.</w:t>
      </w:r>
    </w:p>
    <w:p w:rsidR="00A43122" w:rsidRDefault="00A43122" w:rsidP="00A43122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3122">
        <w:rPr>
          <w:rFonts w:ascii="Times New Roman" w:hAnsi="Times New Roman" w:cs="Times New Roman"/>
          <w:sz w:val="24"/>
          <w:szCs w:val="24"/>
        </w:rPr>
        <w:t>Fiscus, D.A.</w:t>
      </w:r>
      <w:r w:rsidR="00A51DA6">
        <w:rPr>
          <w:rFonts w:ascii="Times New Roman" w:hAnsi="Times New Roman" w:cs="Times New Roman"/>
          <w:sz w:val="24"/>
          <w:szCs w:val="24"/>
        </w:rPr>
        <w:t>,</w:t>
      </w:r>
      <w:r w:rsidRPr="00A43122">
        <w:rPr>
          <w:rFonts w:ascii="Times New Roman" w:hAnsi="Times New Roman" w:cs="Times New Roman"/>
          <w:sz w:val="24"/>
          <w:szCs w:val="24"/>
        </w:rPr>
        <w:t xml:space="preserve"> Neher, D.A. (2002): Distinguishing Sensitivity Of Free-Living Soil Nematode Genera To Physical And Chemical Disturbances. Ecological Applications 12(2):565-575.</w:t>
      </w:r>
    </w:p>
    <w:p w:rsidR="005F2CB4" w:rsidRDefault="005F2CB4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2CB4">
        <w:rPr>
          <w:rFonts w:ascii="Times New Roman" w:hAnsi="Times New Roman" w:cs="Times New Roman"/>
          <w:sz w:val="24"/>
          <w:szCs w:val="24"/>
        </w:rPr>
        <w:t>Gruzdeva, L.I., Matveeva, E.M., Kovalenko, T.E. (2007): Changes in Soil Nematode Communities under the Impact of Fertilizers. Eurasian Soil Science 40(6):681-693.</w:t>
      </w:r>
    </w:p>
    <w:p w:rsidR="00863121" w:rsidRDefault="00863121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3121">
        <w:rPr>
          <w:rFonts w:ascii="Times New Roman" w:hAnsi="Times New Roman" w:cs="Times New Roman"/>
          <w:sz w:val="24"/>
          <w:szCs w:val="24"/>
        </w:rPr>
        <w:lastRenderedPageBreak/>
        <w:t>Hunt, D.J. (1993): Aphelenchida, Longidoridae and Trichodoridae – Their systematics and bionomi</w:t>
      </w:r>
      <w:r w:rsidR="00A51DA6">
        <w:rPr>
          <w:rFonts w:ascii="Times New Roman" w:hAnsi="Times New Roman" w:cs="Times New Roman"/>
          <w:sz w:val="24"/>
          <w:szCs w:val="24"/>
        </w:rPr>
        <w:t>cs. CAB INT. Wallingford, UK. str</w:t>
      </w:r>
      <w:r w:rsidRPr="00863121">
        <w:rPr>
          <w:rFonts w:ascii="Times New Roman" w:hAnsi="Times New Roman" w:cs="Times New Roman"/>
          <w:sz w:val="24"/>
          <w:szCs w:val="24"/>
        </w:rPr>
        <w:t>. 352.</w:t>
      </w:r>
    </w:p>
    <w:p w:rsidR="00863121" w:rsidRDefault="002128F5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Mai, W.F., Lyon, H.H. (1975</w:t>
      </w:r>
      <w:r w:rsidR="00863121" w:rsidRPr="00863121">
        <w:rPr>
          <w:rFonts w:ascii="Times New Roman" w:hAnsi="Times New Roman" w:cs="Times New Roman"/>
          <w:sz w:val="24"/>
          <w:szCs w:val="24"/>
        </w:rPr>
        <w:t>): Pictorial key to genera of plant-parasitic nematodes. Cornell Unive</w:t>
      </w:r>
      <w:r>
        <w:rPr>
          <w:rFonts w:ascii="Times New Roman" w:hAnsi="Times New Roman" w:cs="Times New Roman"/>
          <w:sz w:val="24"/>
          <w:szCs w:val="24"/>
        </w:rPr>
        <w:t>rsity Press. London. str</w:t>
      </w:r>
      <w:r w:rsidR="00863121" w:rsidRPr="00863121">
        <w:rPr>
          <w:rFonts w:ascii="Times New Roman" w:hAnsi="Times New Roman" w:cs="Times New Roman"/>
          <w:sz w:val="24"/>
          <w:szCs w:val="24"/>
        </w:rPr>
        <w:t>. 219.</w:t>
      </w:r>
    </w:p>
    <w:p w:rsidR="005719AA" w:rsidRDefault="002128F5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McSorley, R. (1997</w:t>
      </w:r>
      <w:r w:rsidR="005719AA" w:rsidRPr="005719AA">
        <w:rPr>
          <w:rFonts w:ascii="Times New Roman" w:hAnsi="Times New Roman" w:cs="Times New Roman"/>
          <w:sz w:val="24"/>
          <w:szCs w:val="24"/>
        </w:rPr>
        <w:t xml:space="preserve">): Soil Inhabiting Nematodes, Phylum Nematoda. Univrsity of Florida. Institute of Food and Agriculture Sciences. </w:t>
      </w:r>
    </w:p>
    <w:p w:rsidR="00B23B03" w:rsidRDefault="00B23B03" w:rsidP="00B23B0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Moore, J.D., </w:t>
      </w:r>
      <w:r w:rsidR="002128F5">
        <w:rPr>
          <w:rFonts w:ascii="Times New Roman" w:hAnsi="Times New Roman" w:cs="Times New Roman"/>
          <w:sz w:val="24"/>
          <w:szCs w:val="24"/>
        </w:rPr>
        <w:t>Ouiment, R., Bohles, P.J. (2013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B23B03">
        <w:rPr>
          <w:rFonts w:ascii="Times New Roman" w:hAnsi="Times New Roman" w:cs="Times New Roman"/>
          <w:sz w:val="24"/>
          <w:szCs w:val="24"/>
        </w:rPr>
        <w:t>Effects of liming on survival and reproduction of two potentially invasive earthworm species in a northern forest Podzol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3B03">
        <w:rPr>
          <w:rFonts w:ascii="Times New Roman" w:hAnsi="Times New Roman" w:cs="Times New Roman"/>
          <w:sz w:val="24"/>
          <w:szCs w:val="24"/>
        </w:rPr>
        <w:t>Soil Biology and Biochemistry</w:t>
      </w:r>
      <w:r>
        <w:rPr>
          <w:rFonts w:ascii="Times New Roman" w:hAnsi="Times New Roman" w:cs="Times New Roman"/>
          <w:sz w:val="24"/>
          <w:szCs w:val="24"/>
        </w:rPr>
        <w:t xml:space="preserve"> 64:</w:t>
      </w:r>
      <w:r w:rsidRPr="00B23B03">
        <w:rPr>
          <w:rFonts w:ascii="Times New Roman" w:hAnsi="Times New Roman" w:cs="Times New Roman"/>
          <w:sz w:val="24"/>
          <w:szCs w:val="24"/>
        </w:rPr>
        <w:t>174–180</w:t>
      </w:r>
      <w:r w:rsidR="00A86EEC">
        <w:rPr>
          <w:rFonts w:ascii="Times New Roman" w:hAnsi="Times New Roman" w:cs="Times New Roman"/>
          <w:sz w:val="24"/>
          <w:szCs w:val="24"/>
        </w:rPr>
        <w:t>.</w:t>
      </w:r>
    </w:p>
    <w:p w:rsidR="00B118D4" w:rsidRDefault="00B118D4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18D4">
        <w:rPr>
          <w:rFonts w:ascii="Times New Roman" w:hAnsi="Times New Roman" w:cs="Times New Roman"/>
          <w:sz w:val="24"/>
          <w:szCs w:val="24"/>
        </w:rPr>
        <w:t>Neher, D.A.</w:t>
      </w:r>
      <w:r w:rsidR="002128F5">
        <w:rPr>
          <w:rFonts w:ascii="Times New Roman" w:hAnsi="Times New Roman" w:cs="Times New Roman"/>
          <w:sz w:val="24"/>
          <w:szCs w:val="24"/>
        </w:rPr>
        <w:t>, Barbercheck, M.E. (1999</w:t>
      </w:r>
      <w:r w:rsidRPr="00B118D4">
        <w:rPr>
          <w:rFonts w:ascii="Times New Roman" w:hAnsi="Times New Roman" w:cs="Times New Roman"/>
          <w:sz w:val="24"/>
          <w:szCs w:val="24"/>
        </w:rPr>
        <w:t xml:space="preserve">): Diversity and Function of Soil Mesofauna. U: Collins. W.W. and Qualset, C.O. (ur.): Biodiversity in agroecosystems. CRC Press. </w:t>
      </w:r>
      <w:r w:rsidRPr="00DE1FBE">
        <w:rPr>
          <w:rFonts w:ascii="Times New Roman" w:hAnsi="Times New Roman" w:cs="Times New Roman"/>
          <w:sz w:val="24"/>
          <w:szCs w:val="24"/>
        </w:rPr>
        <w:t>27-47.</w:t>
      </w:r>
    </w:p>
    <w:p w:rsidR="001C3EE7" w:rsidRPr="00DE1FBE" w:rsidRDefault="001C3EE7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EE7">
        <w:rPr>
          <w:rFonts w:ascii="Times New Roman" w:hAnsi="Times New Roman" w:cs="Times New Roman"/>
          <w:bCs/>
          <w:sz w:val="24"/>
          <w:szCs w:val="24"/>
          <w:lang w:val="en-AU"/>
        </w:rPr>
        <w:t>Neher</w:t>
      </w:r>
      <w:proofErr w:type="spellEnd"/>
      <w:r w:rsidRPr="001C3EE7">
        <w:rPr>
          <w:rFonts w:ascii="Times New Roman" w:hAnsi="Times New Roman" w:cs="Times New Roman"/>
          <w:bCs/>
          <w:sz w:val="24"/>
          <w:szCs w:val="24"/>
          <w:lang w:val="en-AU"/>
        </w:rPr>
        <w:t>, D. A.</w:t>
      </w:r>
      <w:r w:rsidRPr="001C3EE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(2001): Role of Nematodes i</w:t>
      </w:r>
      <w:r w:rsidRPr="001C3EE7">
        <w:rPr>
          <w:rFonts w:ascii="Times New Roman" w:hAnsi="Times New Roman" w:cs="Times New Roman"/>
          <w:sz w:val="24"/>
          <w:szCs w:val="24"/>
          <w:lang w:val="en-AU"/>
        </w:rPr>
        <w:t>n Soil Health and Their Use as Indicators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Pr="001C3EE7">
        <w:rPr>
          <w:rFonts w:ascii="Times New Roman" w:hAnsi="Times New Roman" w:cs="Times New Roman"/>
          <w:sz w:val="24"/>
          <w:szCs w:val="24"/>
        </w:rPr>
        <w:t>Journal of Nematology 33: 161-168. 16.</w:t>
      </w:r>
    </w:p>
    <w:p w:rsidR="007F14D2" w:rsidRDefault="007F14D2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14D2">
        <w:rPr>
          <w:rFonts w:ascii="Times New Roman" w:hAnsi="Times New Roman" w:cs="Times New Roman"/>
          <w:sz w:val="24"/>
          <w:szCs w:val="24"/>
        </w:rPr>
        <w:t>Olsen, O.W. (1974): Animal parasites: their life cycles and ecology. General Publishing Company. Canada</w:t>
      </w:r>
      <w:r w:rsidR="00A86EEC">
        <w:rPr>
          <w:rFonts w:ascii="Times New Roman" w:hAnsi="Times New Roman" w:cs="Times New Roman"/>
          <w:sz w:val="24"/>
          <w:szCs w:val="24"/>
        </w:rPr>
        <w:t>.</w:t>
      </w:r>
    </w:p>
    <w:p w:rsidR="007A67C6" w:rsidRDefault="002128F5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Oštrec Lj. (1998</w:t>
      </w:r>
      <w:r w:rsidR="007A67C6" w:rsidRPr="007A67C6">
        <w:rPr>
          <w:rFonts w:ascii="Times New Roman" w:hAnsi="Times New Roman" w:cs="Times New Roman"/>
          <w:sz w:val="24"/>
          <w:szCs w:val="24"/>
        </w:rPr>
        <w:t>): Zoologija: Štetne i korisne životinje u poljoprivredi. Zrinski. Čakovec.</w:t>
      </w:r>
    </w:p>
    <w:p w:rsidR="00C35F34" w:rsidRDefault="00C35F34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5F34">
        <w:rPr>
          <w:rFonts w:ascii="Times New Roman" w:hAnsi="Times New Roman" w:cs="Times New Roman"/>
          <w:sz w:val="24"/>
          <w:szCs w:val="24"/>
        </w:rPr>
        <w:t>Shukurov, N., Pen-Mouratov, S., Steinberger, Y. (2006): The influence of soil pollution on soil microbial biomass and nematode community structure in Navoiy Industrial Park, Uzbekistan. Environment International 32</w:t>
      </w:r>
      <w:r w:rsidR="002449CC">
        <w:rPr>
          <w:rFonts w:ascii="Times New Roman" w:hAnsi="Times New Roman" w:cs="Times New Roman"/>
          <w:sz w:val="24"/>
          <w:szCs w:val="24"/>
        </w:rPr>
        <w:t xml:space="preserve"> </w:t>
      </w:r>
      <w:r w:rsidRPr="00C35F34">
        <w:rPr>
          <w:rFonts w:ascii="Times New Roman" w:hAnsi="Times New Roman" w:cs="Times New Roman"/>
          <w:sz w:val="24"/>
          <w:szCs w:val="24"/>
        </w:rPr>
        <w:t>(1):</w:t>
      </w:r>
      <w:r w:rsidR="002449CC">
        <w:rPr>
          <w:rFonts w:ascii="Times New Roman" w:hAnsi="Times New Roman" w:cs="Times New Roman"/>
          <w:sz w:val="24"/>
          <w:szCs w:val="24"/>
        </w:rPr>
        <w:t xml:space="preserve"> </w:t>
      </w:r>
      <w:r w:rsidRPr="00C35F34">
        <w:rPr>
          <w:rFonts w:ascii="Times New Roman" w:hAnsi="Times New Roman" w:cs="Times New Roman"/>
          <w:sz w:val="24"/>
          <w:szCs w:val="24"/>
        </w:rPr>
        <w:t>1-11.</w:t>
      </w:r>
    </w:p>
    <w:p w:rsidR="00C35F34" w:rsidRDefault="002128F5" w:rsidP="00C35F3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Siddiqi, M.R. (2000</w:t>
      </w:r>
      <w:r w:rsidR="007A67C6" w:rsidRPr="007A67C6">
        <w:rPr>
          <w:rFonts w:ascii="Times New Roman" w:hAnsi="Times New Roman" w:cs="Times New Roman"/>
          <w:sz w:val="24"/>
          <w:szCs w:val="24"/>
        </w:rPr>
        <w:t>): Tylenchida: Parasites of Plants and Insects. CAB Internacional. Wallingford. UK.</w:t>
      </w:r>
    </w:p>
    <w:p w:rsidR="00E65240" w:rsidRDefault="00E65240" w:rsidP="00E6524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Stenberg, M., Stengerg, B., Rydberg, T. (2000): </w:t>
      </w:r>
      <w:r w:rsidRPr="00E65240">
        <w:rPr>
          <w:rFonts w:ascii="Times New Roman" w:hAnsi="Times New Roman" w:cs="Times New Roman"/>
          <w:sz w:val="24"/>
          <w:szCs w:val="24"/>
        </w:rPr>
        <w:t>Effects of reduced tillage and liming on microbial activity and soil properties in a weakly-structured soil</w:t>
      </w:r>
      <w:r>
        <w:rPr>
          <w:rFonts w:ascii="Times New Roman" w:hAnsi="Times New Roman" w:cs="Times New Roman"/>
          <w:sz w:val="24"/>
          <w:szCs w:val="24"/>
        </w:rPr>
        <w:t>. Applied Soil Ecology 14</w:t>
      </w:r>
      <w:r w:rsidR="00244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(2):</w:t>
      </w:r>
      <w:r w:rsidR="002449CC">
        <w:rPr>
          <w:rFonts w:ascii="Times New Roman" w:hAnsi="Times New Roman" w:cs="Times New Roman"/>
          <w:sz w:val="24"/>
          <w:szCs w:val="24"/>
        </w:rPr>
        <w:t xml:space="preserve"> </w:t>
      </w:r>
      <w:r w:rsidRPr="00E65240">
        <w:rPr>
          <w:rFonts w:ascii="Times New Roman" w:hAnsi="Times New Roman" w:cs="Times New Roman"/>
          <w:sz w:val="24"/>
          <w:szCs w:val="24"/>
        </w:rPr>
        <w:t>135–145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358" w:rsidRDefault="00D81358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Upjohn, B., Fenton, G., Conyers, M. (2005): Soil acidity and liming. Agfacts 19. Third eddition. NWS department of primary industries.</w:t>
      </w:r>
    </w:p>
    <w:p w:rsidR="00373A49" w:rsidRDefault="00373A49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3A49">
        <w:rPr>
          <w:rFonts w:ascii="Times New Roman" w:hAnsi="Times New Roman" w:cs="Times New Roman"/>
          <w:sz w:val="24"/>
          <w:szCs w:val="24"/>
        </w:rPr>
        <w:t>Yeates, G.W., T. Bongers, R.G.M. de Goede, D.W. Freck</w:t>
      </w:r>
      <w:r w:rsidR="002624B5">
        <w:rPr>
          <w:rFonts w:ascii="Times New Roman" w:hAnsi="Times New Roman" w:cs="Times New Roman"/>
          <w:sz w:val="24"/>
          <w:szCs w:val="24"/>
        </w:rPr>
        <w:t xml:space="preserve">man and S.S. Georgieva (1993): </w:t>
      </w:r>
      <w:r w:rsidRPr="00373A49">
        <w:rPr>
          <w:rFonts w:ascii="Times New Roman" w:hAnsi="Times New Roman" w:cs="Times New Roman"/>
          <w:sz w:val="24"/>
          <w:szCs w:val="24"/>
        </w:rPr>
        <w:t>Feeding habits in nematode families and genera on outline for soil ecologist. Journal of Nematology 25: 315-331.</w:t>
      </w:r>
    </w:p>
    <w:p w:rsidR="00873D90" w:rsidRDefault="00873D90" w:rsidP="002624B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73D90" w:rsidRPr="00873D90" w:rsidRDefault="00873D90" w:rsidP="00873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4"/>
        </w:rPr>
        <w:t xml:space="preserve">Effect of </w:t>
      </w:r>
      <w:r w:rsidRPr="00873D90">
        <w:rPr>
          <w:rFonts w:ascii="Times New Roman" w:eastAsia="Calibri" w:hAnsi="Times New Roman" w:cs="Times New Roman"/>
          <w:b/>
          <w:sz w:val="28"/>
          <w:szCs w:val="24"/>
        </w:rPr>
        <w:t xml:space="preserve">acidic soils </w:t>
      </w:r>
      <w:r>
        <w:rPr>
          <w:rFonts w:ascii="Times New Roman" w:eastAsia="Calibri" w:hAnsi="Times New Roman" w:cs="Times New Roman"/>
          <w:b/>
          <w:sz w:val="28"/>
          <w:szCs w:val="24"/>
        </w:rPr>
        <w:t>liming</w:t>
      </w:r>
      <w:r w:rsidRPr="00873D9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on</w:t>
      </w:r>
      <w:r w:rsidRPr="00873D90">
        <w:rPr>
          <w:rFonts w:ascii="Times New Roman" w:eastAsia="Calibri" w:hAnsi="Times New Roman" w:cs="Times New Roman"/>
          <w:b/>
          <w:sz w:val="28"/>
          <w:szCs w:val="24"/>
        </w:rPr>
        <w:t xml:space="preserve"> percentage of nematode genera</w:t>
      </w:r>
    </w:p>
    <w:bookmarkEnd w:id="0"/>
    <w:p w:rsidR="00873D90" w:rsidRPr="00873D90" w:rsidRDefault="00873D90" w:rsidP="00873D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D90" w:rsidRDefault="00873D90" w:rsidP="00873D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3D90">
        <w:rPr>
          <w:rFonts w:ascii="Times New Roman" w:eastAsia="Calibri" w:hAnsi="Times New Roman" w:cs="Times New Roman"/>
          <w:b/>
          <w:sz w:val="24"/>
          <w:szCs w:val="24"/>
        </w:rPr>
        <w:t>Summary</w:t>
      </w:r>
    </w:p>
    <w:p w:rsidR="00873D90" w:rsidRPr="00C25A9B" w:rsidRDefault="004B6C38" w:rsidP="00064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aim of this investigation was to determine the effect of acidic soil liming on percentage of nematode genera. </w:t>
      </w:r>
      <w:r w:rsidR="0006479C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Investigation was carried out in 2010. in Donja Vrba, in </w:t>
      </w:r>
      <w:r w:rsidR="008B0455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06479C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chili </w:t>
      </w:r>
      <w:r w:rsidR="00C25A9B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>pepper</w:t>
      </w:r>
      <w:r w:rsidR="0006479C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production. Experiment was settled in two treatments: soil without liming (control) and soil with addition of lime (2</w:t>
      </w:r>
      <w:proofErr w:type="gramStart"/>
      <w:r w:rsidR="0006479C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>,22</w:t>
      </w:r>
      <w:proofErr w:type="gramEnd"/>
      <w:r w:rsidR="0006479C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 kg</w:t>
      </w:r>
      <w:r w:rsidR="0006479C" w:rsidRPr="000B5DF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="0006479C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CaCO3), in four replicates. </w:t>
      </w:r>
      <w:r w:rsidR="00E30040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30 </w:t>
      </w:r>
      <w:r w:rsidR="00502F62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different </w:t>
      </w:r>
      <w:r w:rsidR="00E30040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nematode genera were determined, </w:t>
      </w:r>
      <w:r w:rsidR="00C25A9B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>22 genera</w:t>
      </w:r>
      <w:r w:rsidR="00E30040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treatment without liming and 23 nematode genera </w:t>
      </w:r>
      <w:r w:rsidR="008B0455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>in liming treatment.</w:t>
      </w:r>
      <w:r w:rsidR="00502F62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major differences in </w:t>
      </w:r>
      <w:r w:rsidR="00C25A9B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>occurrence</w:t>
      </w:r>
      <w:r w:rsidR="00502F62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nematode genera were observed in genuses </w:t>
      </w:r>
      <w:r w:rsidR="00502F62" w:rsidRPr="00C25A9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Rhabditis</w:t>
      </w:r>
      <w:r w:rsidR="00502F62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502F62" w:rsidRPr="00C25A9B">
        <w:rPr>
          <w:rFonts w:ascii="Times New Roman" w:eastAsia="Calibri" w:hAnsi="Times New Roman" w:cs="Times New Roman"/>
          <w:i/>
          <w:sz w:val="24"/>
          <w:szCs w:val="24"/>
          <w:lang w:val="en-US"/>
        </w:rPr>
        <w:t>Acrobeloides</w:t>
      </w:r>
      <w:r w:rsidR="00502F62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 percentage of </w:t>
      </w:r>
      <w:r w:rsidR="00502F62" w:rsidRPr="00C25A9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Rhabditis</w:t>
      </w:r>
      <w:r w:rsidR="00502F62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genera decreased in treatment with lime </w:t>
      </w:r>
      <w:r w:rsidR="00C25A9B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>addition</w:t>
      </w:r>
      <w:r w:rsidR="00502F62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while the percentage of </w:t>
      </w:r>
      <w:r w:rsidR="00502F62" w:rsidRPr="00C25A9B">
        <w:rPr>
          <w:rFonts w:ascii="Times New Roman" w:eastAsia="Calibri" w:hAnsi="Times New Roman" w:cs="Times New Roman"/>
          <w:i/>
          <w:sz w:val="24"/>
          <w:szCs w:val="24"/>
          <w:lang w:val="en-US"/>
        </w:rPr>
        <w:t>Acrobeloides</w:t>
      </w:r>
      <w:r w:rsidR="00502F62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genus, </w:t>
      </w:r>
      <w:r w:rsidR="00C25A9B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>increased</w:t>
      </w:r>
      <w:r w:rsidR="00502F62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Liming had a positive effect on biological </w:t>
      </w:r>
      <w:r w:rsidR="00C25A9B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>diversity</w:t>
      </w:r>
      <w:r w:rsidR="00502F62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soil organisms, and nematodes showed </w:t>
      </w:r>
      <w:r w:rsidR="00C25A9B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>potential</w:t>
      </w:r>
      <w:r w:rsidR="00502F62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serve as </w:t>
      </w:r>
      <w:r w:rsidR="00C25A9B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>a soil</w:t>
      </w:r>
      <w:r w:rsidR="00502F62" w:rsidRPr="00C25A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bioindicators.</w:t>
      </w:r>
    </w:p>
    <w:p w:rsidR="00873D90" w:rsidRPr="00081DFF" w:rsidRDefault="00873D90" w:rsidP="00FA7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90">
        <w:rPr>
          <w:rFonts w:ascii="Times New Roman" w:eastAsia="Calibri" w:hAnsi="Times New Roman" w:cs="Times New Roman"/>
          <w:sz w:val="24"/>
          <w:szCs w:val="24"/>
        </w:rPr>
        <w:t xml:space="preserve">Key words: </w:t>
      </w:r>
      <w:r w:rsidR="00B02C70">
        <w:rPr>
          <w:rFonts w:ascii="Times New Roman" w:eastAsia="Calibri" w:hAnsi="Times New Roman" w:cs="Times New Roman"/>
          <w:sz w:val="24"/>
          <w:szCs w:val="24"/>
        </w:rPr>
        <w:t>bioindicators, nematode</w:t>
      </w:r>
      <w:r w:rsidR="00FA76F4">
        <w:rPr>
          <w:rFonts w:ascii="Times New Roman" w:eastAsia="Calibri" w:hAnsi="Times New Roman" w:cs="Times New Roman"/>
          <w:sz w:val="24"/>
          <w:szCs w:val="24"/>
        </w:rPr>
        <w:t>s</w:t>
      </w:r>
      <w:r w:rsidR="00B02C70">
        <w:rPr>
          <w:rFonts w:ascii="Times New Roman" w:eastAsia="Calibri" w:hAnsi="Times New Roman" w:cs="Times New Roman"/>
          <w:sz w:val="24"/>
          <w:szCs w:val="24"/>
        </w:rPr>
        <w:t>,</w:t>
      </w:r>
      <w:r w:rsidR="002C57AF">
        <w:rPr>
          <w:rFonts w:ascii="Times New Roman" w:eastAsia="Calibri" w:hAnsi="Times New Roman" w:cs="Times New Roman"/>
          <w:sz w:val="24"/>
          <w:szCs w:val="24"/>
        </w:rPr>
        <w:t xml:space="preserve"> liming</w:t>
      </w:r>
      <w:r w:rsidR="000B5DF5">
        <w:rPr>
          <w:rFonts w:ascii="Times New Roman" w:eastAsia="Calibri" w:hAnsi="Times New Roman" w:cs="Times New Roman"/>
          <w:sz w:val="24"/>
          <w:szCs w:val="24"/>
        </w:rPr>
        <w:t xml:space="preserve"> of acidic soils</w:t>
      </w:r>
    </w:p>
    <w:sectPr w:rsidR="00873D90" w:rsidRPr="00081DFF" w:rsidSect="00C2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74A5"/>
    <w:multiLevelType w:val="singleLevel"/>
    <w:tmpl w:val="1D40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2C863F66"/>
    <w:multiLevelType w:val="hybridMultilevel"/>
    <w:tmpl w:val="DF3A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E2"/>
    <w:rsid w:val="00016A18"/>
    <w:rsid w:val="00020EEE"/>
    <w:rsid w:val="0005401D"/>
    <w:rsid w:val="0006479C"/>
    <w:rsid w:val="00081DFF"/>
    <w:rsid w:val="00091763"/>
    <w:rsid w:val="000B5DF5"/>
    <w:rsid w:val="000B7D58"/>
    <w:rsid w:val="000D544B"/>
    <w:rsid w:val="000F1CE0"/>
    <w:rsid w:val="000F357E"/>
    <w:rsid w:val="00101194"/>
    <w:rsid w:val="0011595A"/>
    <w:rsid w:val="00150EBF"/>
    <w:rsid w:val="00162114"/>
    <w:rsid w:val="00164212"/>
    <w:rsid w:val="001A023C"/>
    <w:rsid w:val="001A4951"/>
    <w:rsid w:val="001C233E"/>
    <w:rsid w:val="001C3EE7"/>
    <w:rsid w:val="001C77C0"/>
    <w:rsid w:val="002128F5"/>
    <w:rsid w:val="00220957"/>
    <w:rsid w:val="00234DD9"/>
    <w:rsid w:val="002449CC"/>
    <w:rsid w:val="002624B5"/>
    <w:rsid w:val="00281712"/>
    <w:rsid w:val="00281B42"/>
    <w:rsid w:val="00287917"/>
    <w:rsid w:val="002927C4"/>
    <w:rsid w:val="002B45BD"/>
    <w:rsid w:val="002C57AF"/>
    <w:rsid w:val="002C7913"/>
    <w:rsid w:val="002D2C76"/>
    <w:rsid w:val="002E15CD"/>
    <w:rsid w:val="002F7AA8"/>
    <w:rsid w:val="003037C8"/>
    <w:rsid w:val="003164DC"/>
    <w:rsid w:val="003343FD"/>
    <w:rsid w:val="0033794B"/>
    <w:rsid w:val="003706E1"/>
    <w:rsid w:val="00373A49"/>
    <w:rsid w:val="003B725A"/>
    <w:rsid w:val="003F61CB"/>
    <w:rsid w:val="004349FC"/>
    <w:rsid w:val="004818EA"/>
    <w:rsid w:val="004A25CD"/>
    <w:rsid w:val="004B6C38"/>
    <w:rsid w:val="004E4773"/>
    <w:rsid w:val="004E65E4"/>
    <w:rsid w:val="00502F62"/>
    <w:rsid w:val="00512774"/>
    <w:rsid w:val="005363E2"/>
    <w:rsid w:val="00551D9A"/>
    <w:rsid w:val="005545A0"/>
    <w:rsid w:val="00563DE5"/>
    <w:rsid w:val="005719AA"/>
    <w:rsid w:val="005768E9"/>
    <w:rsid w:val="005873EF"/>
    <w:rsid w:val="0059664B"/>
    <w:rsid w:val="005E6F2C"/>
    <w:rsid w:val="005F2CB4"/>
    <w:rsid w:val="006462A2"/>
    <w:rsid w:val="00653A9E"/>
    <w:rsid w:val="006A3BCE"/>
    <w:rsid w:val="006B2E98"/>
    <w:rsid w:val="006B2EBC"/>
    <w:rsid w:val="006C7297"/>
    <w:rsid w:val="007156C8"/>
    <w:rsid w:val="00734BA7"/>
    <w:rsid w:val="00743A5F"/>
    <w:rsid w:val="00771DD5"/>
    <w:rsid w:val="0078428C"/>
    <w:rsid w:val="007901A3"/>
    <w:rsid w:val="00795A4C"/>
    <w:rsid w:val="007A0226"/>
    <w:rsid w:val="007A0FCC"/>
    <w:rsid w:val="007A590A"/>
    <w:rsid w:val="007A67C6"/>
    <w:rsid w:val="007D42AD"/>
    <w:rsid w:val="007D75ED"/>
    <w:rsid w:val="007F14D2"/>
    <w:rsid w:val="0081631C"/>
    <w:rsid w:val="00863121"/>
    <w:rsid w:val="00872402"/>
    <w:rsid w:val="00873D90"/>
    <w:rsid w:val="00895AC2"/>
    <w:rsid w:val="008B0455"/>
    <w:rsid w:val="008C61B2"/>
    <w:rsid w:val="008C622D"/>
    <w:rsid w:val="008D220C"/>
    <w:rsid w:val="008E00D1"/>
    <w:rsid w:val="008E6BFD"/>
    <w:rsid w:val="00902DC7"/>
    <w:rsid w:val="0091591B"/>
    <w:rsid w:val="00927200"/>
    <w:rsid w:val="00936CFE"/>
    <w:rsid w:val="009D72FD"/>
    <w:rsid w:val="009E0568"/>
    <w:rsid w:val="009F2107"/>
    <w:rsid w:val="00A022A4"/>
    <w:rsid w:val="00A30EE1"/>
    <w:rsid w:val="00A43122"/>
    <w:rsid w:val="00A51DA6"/>
    <w:rsid w:val="00A57EDA"/>
    <w:rsid w:val="00A748D6"/>
    <w:rsid w:val="00A86EEC"/>
    <w:rsid w:val="00AC0B6C"/>
    <w:rsid w:val="00AD07E9"/>
    <w:rsid w:val="00B02C70"/>
    <w:rsid w:val="00B118D4"/>
    <w:rsid w:val="00B1504C"/>
    <w:rsid w:val="00B1521C"/>
    <w:rsid w:val="00B23B03"/>
    <w:rsid w:val="00B63593"/>
    <w:rsid w:val="00B915EA"/>
    <w:rsid w:val="00BA51B4"/>
    <w:rsid w:val="00BA69DB"/>
    <w:rsid w:val="00BD6098"/>
    <w:rsid w:val="00C122F4"/>
    <w:rsid w:val="00C243E5"/>
    <w:rsid w:val="00C25421"/>
    <w:rsid w:val="00C25A9B"/>
    <w:rsid w:val="00C35F34"/>
    <w:rsid w:val="00C47C3B"/>
    <w:rsid w:val="00CA3EFE"/>
    <w:rsid w:val="00CB022E"/>
    <w:rsid w:val="00CD06A0"/>
    <w:rsid w:val="00CD2748"/>
    <w:rsid w:val="00CD3CB6"/>
    <w:rsid w:val="00CF254A"/>
    <w:rsid w:val="00D035C8"/>
    <w:rsid w:val="00D81358"/>
    <w:rsid w:val="00D96E69"/>
    <w:rsid w:val="00DA1A72"/>
    <w:rsid w:val="00DE1FBE"/>
    <w:rsid w:val="00DE4D36"/>
    <w:rsid w:val="00E30040"/>
    <w:rsid w:val="00E43862"/>
    <w:rsid w:val="00E65240"/>
    <w:rsid w:val="00E82187"/>
    <w:rsid w:val="00E86C64"/>
    <w:rsid w:val="00EA09C3"/>
    <w:rsid w:val="00EA1A11"/>
    <w:rsid w:val="00EC7755"/>
    <w:rsid w:val="00EF1D2E"/>
    <w:rsid w:val="00EF44CA"/>
    <w:rsid w:val="00F36BB0"/>
    <w:rsid w:val="00F37B43"/>
    <w:rsid w:val="00F8459F"/>
    <w:rsid w:val="00FA76F4"/>
    <w:rsid w:val="00FB0B9D"/>
    <w:rsid w:val="00FD2888"/>
    <w:rsid w:val="00F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DA4903-01C5-4837-8B6F-385E3FC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1D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A2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5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jana.brmez@p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Escape d.o.o.</Company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Varga</dc:creator>
  <cp:lastModifiedBy>xy</cp:lastModifiedBy>
  <cp:revision>2</cp:revision>
  <cp:lastPrinted>2014-03-20T11:51:00Z</cp:lastPrinted>
  <dcterms:created xsi:type="dcterms:W3CDTF">2014-06-10T08:38:00Z</dcterms:created>
  <dcterms:modified xsi:type="dcterms:W3CDTF">2014-06-10T08:38:00Z</dcterms:modified>
</cp:coreProperties>
</file>