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D566" w14:textId="4968D688" w:rsidR="00FA236E" w:rsidRPr="00F743BC" w:rsidRDefault="001A1819" w:rsidP="00300D7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43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exposure of the </w:t>
      </w:r>
      <w:r w:rsidR="00300D78" w:rsidRPr="00F743BC">
        <w:rPr>
          <w:rFonts w:ascii="Times New Roman" w:hAnsi="Times New Roman" w:cs="Times New Roman"/>
          <w:b/>
          <w:sz w:val="24"/>
          <w:szCs w:val="24"/>
          <w:lang w:val="en-GB"/>
        </w:rPr>
        <w:t>Croatian population to toxic environmental</w:t>
      </w:r>
      <w:r w:rsidR="00F42A36" w:rsidRPr="00F743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contaminants</w:t>
      </w:r>
      <w:r w:rsidR="00750CA4" w:rsidRPr="00F743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"dioxin-like" PCBs</w:t>
      </w:r>
    </w:p>
    <w:p w14:paraId="0CD38A6A" w14:textId="77777777" w:rsidR="00300D78" w:rsidRPr="00F743BC" w:rsidRDefault="00300D78" w:rsidP="00300D7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A71CE9D" w14:textId="186E030C" w:rsidR="00300D78" w:rsidRPr="00F743BC" w:rsidRDefault="00300D78" w:rsidP="00300D7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743BC">
        <w:rPr>
          <w:rFonts w:ascii="Times New Roman" w:hAnsi="Times New Roman" w:cs="Times New Roman"/>
          <w:sz w:val="24"/>
          <w:szCs w:val="24"/>
          <w:lang w:val="en-GB"/>
        </w:rPr>
        <w:t>D. Klinčić</w:t>
      </w:r>
      <w:r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, S. </w:t>
      </w:r>
      <w:proofErr w:type="spellStart"/>
      <w:r w:rsidRPr="00F743BC">
        <w:rPr>
          <w:rFonts w:ascii="Times New Roman" w:hAnsi="Times New Roman" w:cs="Times New Roman"/>
          <w:sz w:val="24"/>
          <w:szCs w:val="24"/>
          <w:lang w:val="en-GB"/>
        </w:rPr>
        <w:t>Herceg</w:t>
      </w:r>
      <w:proofErr w:type="spellEnd"/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Romanić</w:t>
      </w:r>
      <w:r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, I. Brčić-Karačonji</w:t>
      </w:r>
      <w:r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, M. </w:t>
      </w:r>
      <w:proofErr w:type="spellStart"/>
      <w:r w:rsidRPr="00F743BC">
        <w:rPr>
          <w:rFonts w:ascii="Times New Roman" w:hAnsi="Times New Roman" w:cs="Times New Roman"/>
          <w:sz w:val="24"/>
          <w:szCs w:val="24"/>
          <w:lang w:val="en-GB"/>
        </w:rPr>
        <w:t>Matek</w:t>
      </w:r>
      <w:proofErr w:type="spellEnd"/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Sarić</w:t>
      </w:r>
      <w:r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850FDE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, J. </w:t>
      </w:r>
      <w:proofErr w:type="spellStart"/>
      <w:r w:rsidR="00850FDE" w:rsidRPr="00F743BC">
        <w:rPr>
          <w:rFonts w:ascii="Times New Roman" w:hAnsi="Times New Roman" w:cs="Times New Roman"/>
          <w:sz w:val="24"/>
          <w:szCs w:val="24"/>
          <w:lang w:val="en-GB"/>
        </w:rPr>
        <w:t>Grzunov</w:t>
      </w:r>
      <w:proofErr w:type="spellEnd"/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Letinić</w:t>
      </w:r>
      <w:r w:rsidR="00850FDE"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>, N. Brajenović</w:t>
      </w:r>
      <w:r w:rsidR="000B0E85"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14:paraId="6B102929" w14:textId="77777777" w:rsidR="00300D78" w:rsidRPr="00F743BC" w:rsidRDefault="00300D78" w:rsidP="00300D7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607F8B6" w14:textId="77777777" w:rsidR="00300D78" w:rsidRPr="00F743BC" w:rsidRDefault="00300D78" w:rsidP="00300D78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743B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Institute for Medical Research and Occupational Health,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Ksaverska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c. 2, 10 001 Zagreb, Croatia</w:t>
      </w:r>
    </w:p>
    <w:p w14:paraId="5ADD50D5" w14:textId="77777777" w:rsidR="00300D78" w:rsidRPr="00F743BC" w:rsidRDefault="00300D78" w:rsidP="00300D78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743B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University of Zadar, Department of Health Studies,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Trg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Kneza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Višeslava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9, 23 000, Zadar, Croatia</w:t>
      </w:r>
    </w:p>
    <w:p w14:paraId="7772D8BD" w14:textId="77777777" w:rsidR="00850FDE" w:rsidRPr="00F743BC" w:rsidRDefault="00850FDE" w:rsidP="00850FDE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743B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Institute of Public Health Zadar,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Kolovare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2, 23 000, Zadar, Croatia</w:t>
      </w:r>
    </w:p>
    <w:p w14:paraId="0BF1B0F1" w14:textId="77777777" w:rsidR="006D55AE" w:rsidRPr="00F743BC" w:rsidRDefault="006D55AE" w:rsidP="006D55AE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21DBEC7" w14:textId="2000082C" w:rsidR="0074186F" w:rsidRPr="00F743BC" w:rsidRDefault="00750CA4" w:rsidP="00300D7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743BC">
        <w:rPr>
          <w:rFonts w:ascii="Times New Roman" w:hAnsi="Times New Roman" w:cs="Times New Roman"/>
          <w:sz w:val="24"/>
          <w:szCs w:val="24"/>
          <w:lang w:val="en-GB"/>
        </w:rPr>
        <w:t>Mother’s</w:t>
      </w:r>
      <w:r w:rsidR="0074186F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milk is considered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="0074186F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best nutrition for </w:t>
      </w:r>
      <w:proofErr w:type="spellStart"/>
      <w:r w:rsidR="0074186F" w:rsidRPr="00F743BC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74186F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>because of</w:t>
      </w:r>
      <w:r w:rsidR="0074186F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its positive impact on their nervous, immune and hormonal system development. 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However, due to its high lipid content, human milk is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>prone to accumulating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lipophilic environmental contaminants such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>polychlorinated biphenyls (PCBs)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9438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6D55AE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can cause adverse health effects, such as </w:t>
      </w:r>
      <w:proofErr w:type="spellStart"/>
      <w:r w:rsidR="006D55AE" w:rsidRPr="00F743BC">
        <w:rPr>
          <w:rFonts w:ascii="Times New Roman" w:hAnsi="Times New Roman" w:cs="Times New Roman"/>
          <w:sz w:val="24"/>
          <w:szCs w:val="24"/>
          <w:lang w:val="en-GB"/>
        </w:rPr>
        <w:t>immunotoxicity</w:t>
      </w:r>
      <w:proofErr w:type="spellEnd"/>
      <w:r w:rsidR="006D55AE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, reproductive effects, endocrine disruption and carcinogenicity. 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Human milk could serve as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>a non-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>invasive matri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assessing the exposure to these contaminants for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1A1819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mother </w:t>
      </w:r>
      <w:r w:rsidR="000B0E85" w:rsidRPr="00F743BC">
        <w:rPr>
          <w:rFonts w:ascii="Times New Roman" w:hAnsi="Times New Roman" w:cs="Times New Roman"/>
          <w:sz w:val="24"/>
          <w:szCs w:val="24"/>
          <w:lang w:val="en-GB"/>
        </w:rPr>
        <w:t>and her offspring.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2CBF18" w14:textId="13E87C49" w:rsidR="00094385" w:rsidRPr="00F743BC" w:rsidRDefault="00094385" w:rsidP="00300D7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743BC">
        <w:rPr>
          <w:rFonts w:ascii="Times New Roman" w:hAnsi="Times New Roman" w:cs="Times New Roman"/>
          <w:sz w:val="24"/>
          <w:szCs w:val="24"/>
          <w:lang w:val="en-GB"/>
        </w:rPr>
        <w:t>In human milk samples from multiparaes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e investigated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levels of 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toxic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PCB congeners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known as</w:t>
      </w:r>
      <w:r w:rsidR="007A2B38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“dioxin-like” PCBs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because they interact with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aryl hydrocarbon receptor and cause similar toxic effects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2,3,7,8-tetrachloro</w:t>
      </w:r>
      <w:r w:rsidR="00FA4A82" w:rsidRPr="00F743BC">
        <w:rPr>
          <w:rFonts w:ascii="Times New Roman" w:hAnsi="Times New Roman" w:cs="Times New Roman"/>
          <w:sz w:val="24"/>
          <w:szCs w:val="24"/>
          <w:lang w:val="en-GB"/>
        </w:rPr>
        <w:t>dibenzo-</w:t>
      </w:r>
      <w:r w:rsidR="00FA4A82" w:rsidRPr="00F743BC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FA4A82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-dioxin. </w:t>
      </w:r>
      <w:r w:rsidR="00B02F3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After liquid-liquid extraction and clean-up of extracts,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analysis </w:t>
      </w:r>
      <w:r w:rsidR="00B02F35" w:rsidRPr="00F743BC">
        <w:rPr>
          <w:rFonts w:ascii="Times New Roman" w:hAnsi="Times New Roman" w:cs="Times New Roman"/>
          <w:sz w:val="24"/>
          <w:szCs w:val="24"/>
          <w:lang w:val="en-GB"/>
        </w:rPr>
        <w:t>of mono-</w:t>
      </w:r>
      <w:proofErr w:type="spellStart"/>
      <w:r w:rsidR="00B02F35" w:rsidRPr="00F743BC">
        <w:rPr>
          <w:rFonts w:ascii="Times New Roman" w:hAnsi="Times New Roman" w:cs="Times New Roman"/>
          <w:i/>
          <w:sz w:val="24"/>
          <w:szCs w:val="24"/>
          <w:lang w:val="en-GB"/>
        </w:rPr>
        <w:t>ortho</w:t>
      </w:r>
      <w:proofErr w:type="spellEnd"/>
      <w:r w:rsidR="00B02F35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congeners </w:t>
      </w:r>
      <w:r w:rsidR="00BC77D2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in 34 samples </w:t>
      </w:r>
      <w:r w:rsidR="00B02F35" w:rsidRPr="00F743BC">
        <w:rPr>
          <w:rFonts w:ascii="Times New Roman" w:hAnsi="Times New Roman" w:cs="Times New Roman"/>
          <w:sz w:val="24"/>
          <w:szCs w:val="24"/>
          <w:lang w:val="en-GB"/>
        </w:rPr>
        <w:t>was done using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GC-ECD technique,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whereas GC-MS/MS was introduced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detection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of the most toxic non-</w:t>
      </w:r>
      <w:proofErr w:type="spellStart"/>
      <w:r w:rsidRPr="00F743BC">
        <w:rPr>
          <w:rFonts w:ascii="Times New Roman" w:hAnsi="Times New Roman" w:cs="Times New Roman"/>
          <w:i/>
          <w:sz w:val="24"/>
          <w:szCs w:val="24"/>
          <w:lang w:val="en-GB"/>
        </w:rPr>
        <w:t>ortho</w:t>
      </w:r>
      <w:proofErr w:type="spellEnd"/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4A82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PCB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congeners in </w:t>
      </w:r>
      <w:proofErr w:type="spellStart"/>
      <w:r w:rsidRPr="00F743BC">
        <w:rPr>
          <w:rFonts w:ascii="Times New Roman" w:hAnsi="Times New Roman" w:cs="Times New Roman"/>
          <w:sz w:val="24"/>
          <w:szCs w:val="24"/>
          <w:lang w:val="en-GB"/>
        </w:rPr>
        <w:t>pg</w:t>
      </w:r>
      <w:proofErr w:type="spellEnd"/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/g </w:t>
      </w:r>
      <w:r w:rsidR="00BC77D2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milk fat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levels. </w:t>
      </w:r>
    </w:p>
    <w:p w14:paraId="01ABDDA7" w14:textId="0B77A27B" w:rsidR="00C21C0D" w:rsidRPr="00340160" w:rsidRDefault="00C21C0D" w:rsidP="00300D7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743BC">
        <w:rPr>
          <w:rFonts w:ascii="Times New Roman" w:hAnsi="Times New Roman" w:cs="Times New Roman"/>
          <w:sz w:val="24"/>
          <w:szCs w:val="24"/>
          <w:lang w:val="en-GB"/>
        </w:rPr>
        <w:t>Toxic PCB</w:t>
      </w:r>
      <w:r w:rsidR="00BA49FF" w:rsidRPr="00F743B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were found in 3-85 % of </w:t>
      </w:r>
      <w:r w:rsidR="00340160"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analysed samples in the range between &lt;LOQ and 83</w:t>
      </w:r>
      <w:r w:rsidR="005A6D18" w:rsidRPr="00F743B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>7 ng g</w:t>
      </w:r>
      <w:r w:rsidRPr="00F743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milk fat. </w:t>
      </w:r>
      <w:r w:rsidR="002460E9" w:rsidRPr="00F743BC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Pr="00F74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16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>non-</w:t>
      </w:r>
      <w:proofErr w:type="spellStart"/>
      <w:r w:rsidRPr="00340160">
        <w:rPr>
          <w:rFonts w:ascii="Times New Roman" w:hAnsi="Times New Roman" w:cs="Times New Roman"/>
          <w:i/>
          <w:sz w:val="24"/>
          <w:szCs w:val="24"/>
          <w:lang w:val="en-GB"/>
        </w:rPr>
        <w:t>ortho</w:t>
      </w:r>
      <w:proofErr w:type="spellEnd"/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congeners, PCB-126 was the most frequently </w:t>
      </w:r>
      <w:r w:rsidR="00750CA4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detected 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50CA4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59 % of 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samples </w:t>
      </w:r>
      <w:r w:rsidR="00750CA4" w:rsidRPr="0034016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34016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according to toxic equivalency factor (TEF) values</w:t>
      </w:r>
      <w:r w:rsidRPr="0034016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B0E85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assigned to PCB congeners, it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16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340160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considered the most toxic. Toxic </w:t>
      </w:r>
      <w:r w:rsidR="005A6D18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>equivalents</w:t>
      </w:r>
      <w:r w:rsidR="005A6D18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(TEQ),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D18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calculated by multiplying </w:t>
      </w:r>
      <w:r w:rsidR="0034016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A6D18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concentration of the individual congener </w:t>
      </w:r>
      <w:r w:rsidR="0034016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340160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D18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its TEF, were between 0 and 25.1 </w:t>
      </w:r>
      <w:proofErr w:type="spellStart"/>
      <w:r w:rsidR="005A6D18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>pg</w:t>
      </w:r>
      <w:proofErr w:type="spellEnd"/>
      <w:r w:rsidR="005A6D18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</w:t>
      </w:r>
      <w:r w:rsidR="005A6D18" w:rsidRPr="0034016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-1</w:t>
      </w:r>
      <w:r w:rsidR="005A6D18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milk fat (median value 1.3). </w:t>
      </w:r>
      <w:r w:rsidR="002460E9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Similar TEQ values were found in Turkey, </w:t>
      </w:r>
      <w:r w:rsidR="00750CA4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>Hungary, Poland and New Zealand</w:t>
      </w:r>
      <w:r w:rsidR="0034016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2460E9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while considerably higher values were found in </w:t>
      </w:r>
      <w:r w:rsid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C257D6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Czech Republic, </w:t>
      </w:r>
      <w:r w:rsidR="002460E9" w:rsidRPr="00340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Slovakia, France and China. </w:t>
      </w:r>
    </w:p>
    <w:p w14:paraId="396312A8" w14:textId="176A9449" w:rsidR="00DD58E0" w:rsidRPr="00340160" w:rsidRDefault="00340160" w:rsidP="00300D7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</w:t>
      </w:r>
      <w:r w:rsidR="00DD58E0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esults suggest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D58E0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general population in Croatia is not at high risk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DD58E0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exposure to toxic PCB congeners. </w:t>
      </w:r>
      <w:r>
        <w:rPr>
          <w:rFonts w:ascii="Times New Roman" w:hAnsi="Times New Roman" w:cs="Times New Roman"/>
          <w:sz w:val="24"/>
          <w:szCs w:val="24"/>
          <w:lang w:val="en-GB"/>
        </w:rPr>
        <w:t>However, the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high TEQ values in </w:t>
      </w:r>
      <w:r>
        <w:rPr>
          <w:rFonts w:ascii="Times New Roman" w:hAnsi="Times New Roman" w:cs="Times New Roman"/>
          <w:sz w:val="24"/>
          <w:szCs w:val="24"/>
          <w:lang w:val="en-GB"/>
        </w:rPr>
        <w:t>some of the</w:t>
      </w:r>
      <w:r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individual human milk samples are of concern because </w:t>
      </w:r>
      <w:proofErr w:type="spellStart"/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consuming these </w:t>
      </w:r>
      <w:r w:rsidR="000B0E85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breast 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>milk</w:t>
      </w:r>
      <w:r w:rsidR="000B0E85" w:rsidRPr="00340160">
        <w:rPr>
          <w:rFonts w:ascii="Times New Roman" w:hAnsi="Times New Roman" w:cs="Times New Roman"/>
          <w:sz w:val="24"/>
          <w:szCs w:val="24"/>
          <w:lang w:val="en-GB"/>
        </w:rPr>
        <w:t>s could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had a 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>high intake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studied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toxic contaminants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especially considering their low body weight</w:t>
      </w:r>
      <w:r w:rsidR="00BA49FF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B0E85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extremely </w:t>
      </w:r>
      <w:r w:rsidR="00BA49FF" w:rsidRPr="00340160">
        <w:rPr>
          <w:rFonts w:ascii="Times New Roman" w:hAnsi="Times New Roman" w:cs="Times New Roman"/>
          <w:sz w:val="24"/>
          <w:szCs w:val="24"/>
          <w:lang w:val="en-GB"/>
        </w:rPr>
        <w:t>sensitive life stage</w:t>
      </w:r>
      <w:r w:rsidR="008961EC" w:rsidRPr="0034016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A0CE4B8" w14:textId="48FEEBFE" w:rsidR="007A2B38" w:rsidRDefault="00BA49FF" w:rsidP="00340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4016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7A2B38" w:rsidRPr="0034016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40160">
        <w:rPr>
          <w:rFonts w:ascii="Times New Roman" w:hAnsi="Times New Roman" w:cs="Times New Roman"/>
          <w:sz w:val="20"/>
          <w:szCs w:val="20"/>
          <w:lang w:val="en-GB"/>
        </w:rPr>
        <w:t>Van den Berg et al., 2006. The 2005 World Health Organization re</w:t>
      </w:r>
      <w:r w:rsidR="00340160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evaluation of human and mammalian toxic equivalency factors for dioxins and dioxin-like compounds.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Toxicol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743BC">
        <w:rPr>
          <w:rFonts w:ascii="Times New Roman" w:hAnsi="Times New Roman" w:cs="Times New Roman"/>
          <w:sz w:val="20"/>
          <w:szCs w:val="20"/>
          <w:lang w:val="en-GB"/>
        </w:rPr>
        <w:t>Sci</w:t>
      </w:r>
      <w:proofErr w:type="spellEnd"/>
      <w:r w:rsidRPr="00F743BC">
        <w:rPr>
          <w:rFonts w:ascii="Times New Roman" w:hAnsi="Times New Roman" w:cs="Times New Roman"/>
          <w:sz w:val="20"/>
          <w:szCs w:val="20"/>
          <w:lang w:val="en-GB"/>
        </w:rPr>
        <w:t xml:space="preserve"> 93, 223–241.</w:t>
      </w:r>
    </w:p>
    <w:p w14:paraId="64773159" w14:textId="77777777" w:rsidR="009A1821" w:rsidRDefault="009A1821" w:rsidP="009A18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</w:pPr>
    </w:p>
    <w:p w14:paraId="278640F8" w14:textId="77777777" w:rsidR="009A1821" w:rsidRPr="009A1821" w:rsidRDefault="009A1821" w:rsidP="009A18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</w:pPr>
      <w:bookmarkStart w:id="0" w:name="_GoBack"/>
      <w:bookmarkEnd w:id="0"/>
      <w:r w:rsidRPr="009A1821">
        <w:rPr>
          <w:rFonts w:ascii="Times New Roman" w:eastAsia="Times New Roman" w:hAnsi="Times New Roman" w:cs="Times New Roman"/>
          <w:spacing w:val="-6"/>
          <w:sz w:val="24"/>
          <w:szCs w:val="24"/>
          <w:lang w:val="en-GB"/>
        </w:rPr>
        <w:t>Participation supported by project “OPENTOX”, Croatian science foundation.</w:t>
      </w:r>
    </w:p>
    <w:p w14:paraId="6C7F6816" w14:textId="77777777" w:rsidR="009A1821" w:rsidRPr="00F743BC" w:rsidRDefault="009A1821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A1821" w:rsidRPr="00F7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8"/>
    <w:rsid w:val="00094385"/>
    <w:rsid w:val="000B0E85"/>
    <w:rsid w:val="001A1819"/>
    <w:rsid w:val="002460E9"/>
    <w:rsid w:val="00300D78"/>
    <w:rsid w:val="00340160"/>
    <w:rsid w:val="005A6D18"/>
    <w:rsid w:val="006D55AE"/>
    <w:rsid w:val="0074186F"/>
    <w:rsid w:val="00750CA4"/>
    <w:rsid w:val="007A2B38"/>
    <w:rsid w:val="007E487A"/>
    <w:rsid w:val="00850FDE"/>
    <w:rsid w:val="008961EC"/>
    <w:rsid w:val="008B2FC2"/>
    <w:rsid w:val="009A1821"/>
    <w:rsid w:val="00B02F35"/>
    <w:rsid w:val="00BA49FF"/>
    <w:rsid w:val="00BC77D2"/>
    <w:rsid w:val="00C21C0D"/>
    <w:rsid w:val="00C257D6"/>
    <w:rsid w:val="00C55178"/>
    <w:rsid w:val="00D46A33"/>
    <w:rsid w:val="00DD58E0"/>
    <w:rsid w:val="00F42A36"/>
    <w:rsid w:val="00F743BC"/>
    <w:rsid w:val="00FA236E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Kožul</dc:creator>
  <cp:lastModifiedBy>Darija Kožul</cp:lastModifiedBy>
  <cp:revision>4</cp:revision>
  <dcterms:created xsi:type="dcterms:W3CDTF">2015-03-31T11:48:00Z</dcterms:created>
  <dcterms:modified xsi:type="dcterms:W3CDTF">2015-09-23T11:49:00Z</dcterms:modified>
</cp:coreProperties>
</file>