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60" w:rsidRDefault="00421060" w:rsidP="00514FA9">
      <w:pPr>
        <w:spacing w:line="480" w:lineRule="auto"/>
        <w:jc w:val="center"/>
        <w:rPr>
          <w:b/>
          <w:sz w:val="22"/>
          <w:szCs w:val="22"/>
          <w:lang w:val="en-GB"/>
        </w:rPr>
      </w:pPr>
      <w:r w:rsidRPr="005E5828">
        <w:rPr>
          <w:b/>
          <w:i/>
          <w:sz w:val="22"/>
          <w:szCs w:val="22"/>
          <w:lang w:val="en-GB"/>
        </w:rPr>
        <w:t xml:space="preserve">BRUCELLA MELITENSIS </w:t>
      </w:r>
      <w:r w:rsidRPr="005E5828">
        <w:rPr>
          <w:b/>
          <w:sz w:val="22"/>
          <w:szCs w:val="22"/>
          <w:lang w:val="en-GB"/>
        </w:rPr>
        <w:t>IN</w:t>
      </w:r>
      <w:r>
        <w:rPr>
          <w:b/>
          <w:sz w:val="22"/>
          <w:szCs w:val="22"/>
          <w:lang w:val="en-GB"/>
        </w:rPr>
        <w:t xml:space="preserve"> SMALL</w:t>
      </w:r>
      <w:r w:rsidRPr="005E5828">
        <w:rPr>
          <w:b/>
          <w:sz w:val="22"/>
          <w:szCs w:val="22"/>
          <w:lang w:val="en-GB"/>
        </w:rPr>
        <w:t xml:space="preserve"> RUMINANTS IN THE REPUBLIC OF CROATIA</w:t>
      </w:r>
    </w:p>
    <w:p w:rsidR="00421060" w:rsidRPr="005E5828" w:rsidRDefault="00421060" w:rsidP="00514FA9">
      <w:pPr>
        <w:spacing w:line="480" w:lineRule="auto"/>
        <w:jc w:val="center"/>
        <w:rPr>
          <w:b/>
          <w:i/>
          <w:sz w:val="22"/>
          <w:szCs w:val="22"/>
          <w:lang w:val="en-GB"/>
        </w:rPr>
      </w:pPr>
    </w:p>
    <w:p w:rsidR="00421060" w:rsidRPr="00BC6514" w:rsidRDefault="00421060" w:rsidP="00514FA9">
      <w:pPr>
        <w:spacing w:line="480" w:lineRule="auto"/>
        <w:jc w:val="center"/>
        <w:rPr>
          <w:sz w:val="22"/>
          <w:szCs w:val="22"/>
          <w:vertAlign w:val="superscript"/>
          <w:lang w:val="en-GB"/>
        </w:rPr>
      </w:pPr>
      <w:proofErr w:type="spellStart"/>
      <w:r w:rsidRPr="00BC6514">
        <w:rPr>
          <w:sz w:val="22"/>
          <w:szCs w:val="22"/>
          <w:lang w:val="en-GB"/>
        </w:rPr>
        <w:t>Zeljko</w:t>
      </w:r>
      <w:proofErr w:type="spellEnd"/>
      <w:r w:rsidRPr="00BC6514">
        <w:rPr>
          <w:sz w:val="22"/>
          <w:szCs w:val="22"/>
          <w:lang w:val="en-GB"/>
        </w:rPr>
        <w:t xml:space="preserve"> Cvetnic</w:t>
      </w:r>
      <w:r w:rsidRPr="00BC6514">
        <w:rPr>
          <w:sz w:val="22"/>
          <w:szCs w:val="22"/>
          <w:vertAlign w:val="superscript"/>
          <w:lang w:val="en-GB"/>
        </w:rPr>
        <w:t>1</w:t>
      </w:r>
      <w:r w:rsidRPr="00BC6514">
        <w:rPr>
          <w:sz w:val="22"/>
          <w:szCs w:val="22"/>
          <w:lang w:val="en-GB"/>
        </w:rPr>
        <w:t>; Silvio Spicic</w:t>
      </w:r>
      <w:r w:rsidRPr="00BC6514">
        <w:rPr>
          <w:sz w:val="22"/>
          <w:szCs w:val="22"/>
          <w:vertAlign w:val="superscript"/>
          <w:lang w:val="en-GB"/>
        </w:rPr>
        <w:t>1</w:t>
      </w:r>
      <w:r w:rsidRPr="00BC6514">
        <w:rPr>
          <w:sz w:val="22"/>
          <w:szCs w:val="22"/>
          <w:lang w:val="en-GB"/>
        </w:rPr>
        <w:t xml:space="preserve">; </w:t>
      </w:r>
      <w:proofErr w:type="spellStart"/>
      <w:r>
        <w:rPr>
          <w:sz w:val="22"/>
          <w:szCs w:val="22"/>
          <w:lang w:val="en-GB"/>
        </w:rPr>
        <w:t>Tomislav</w:t>
      </w:r>
      <w:proofErr w:type="spellEnd"/>
      <w:r>
        <w:rPr>
          <w:sz w:val="22"/>
          <w:szCs w:val="22"/>
          <w:lang w:val="en-GB"/>
        </w:rPr>
        <w:t xml:space="preserve"> </w:t>
      </w:r>
      <w:proofErr w:type="spellStart"/>
      <w:r>
        <w:rPr>
          <w:sz w:val="22"/>
          <w:szCs w:val="22"/>
          <w:lang w:val="en-GB"/>
        </w:rPr>
        <w:t>Kiš</w:t>
      </w:r>
      <w:proofErr w:type="spellEnd"/>
      <w:r w:rsidRPr="00BC6514">
        <w:rPr>
          <w:sz w:val="22"/>
          <w:szCs w:val="22"/>
          <w:vertAlign w:val="superscript"/>
          <w:lang w:val="en-GB"/>
        </w:rPr>
        <w:t xml:space="preserve"> 2</w:t>
      </w:r>
      <w:r w:rsidR="00352D38">
        <w:rPr>
          <w:sz w:val="22"/>
          <w:szCs w:val="22"/>
          <w:lang w:val="en-GB"/>
        </w:rPr>
        <w:t>;</w:t>
      </w:r>
      <w:r>
        <w:rPr>
          <w:sz w:val="22"/>
          <w:szCs w:val="22"/>
          <w:lang w:val="en-GB"/>
        </w:rPr>
        <w:t xml:space="preserve"> </w:t>
      </w:r>
      <w:proofErr w:type="spellStart"/>
      <w:r w:rsidRPr="00BC6514">
        <w:rPr>
          <w:sz w:val="22"/>
          <w:szCs w:val="22"/>
          <w:lang w:val="en-GB"/>
        </w:rPr>
        <w:t>Maja</w:t>
      </w:r>
      <w:proofErr w:type="spellEnd"/>
      <w:r w:rsidRPr="00BC6514">
        <w:rPr>
          <w:sz w:val="22"/>
          <w:szCs w:val="22"/>
          <w:lang w:val="en-GB"/>
        </w:rPr>
        <w:t xml:space="preserve"> Zdelar-Tuk</w:t>
      </w:r>
      <w:r w:rsidRPr="00BC6514">
        <w:rPr>
          <w:sz w:val="22"/>
          <w:szCs w:val="22"/>
          <w:vertAlign w:val="superscript"/>
          <w:lang w:val="en-GB"/>
        </w:rPr>
        <w:t>1</w:t>
      </w:r>
      <w:r w:rsidRPr="00BC6514">
        <w:rPr>
          <w:sz w:val="22"/>
          <w:szCs w:val="22"/>
          <w:lang w:val="en-GB"/>
        </w:rPr>
        <w:t xml:space="preserve">; </w:t>
      </w:r>
      <w:proofErr w:type="spellStart"/>
      <w:r w:rsidRPr="00BC6514">
        <w:rPr>
          <w:sz w:val="22"/>
          <w:szCs w:val="22"/>
          <w:lang w:val="en-GB"/>
        </w:rPr>
        <w:t>Sanja</w:t>
      </w:r>
      <w:proofErr w:type="spellEnd"/>
      <w:r w:rsidRPr="00BC6514">
        <w:rPr>
          <w:sz w:val="22"/>
          <w:szCs w:val="22"/>
          <w:lang w:val="en-GB"/>
        </w:rPr>
        <w:t xml:space="preserve"> Duvnjak</w:t>
      </w:r>
      <w:r>
        <w:rPr>
          <w:sz w:val="22"/>
          <w:szCs w:val="22"/>
          <w:vertAlign w:val="superscript"/>
          <w:lang w:val="en-GB"/>
        </w:rPr>
        <w:t>1</w:t>
      </w:r>
      <w:r w:rsidRPr="00BC6514">
        <w:rPr>
          <w:sz w:val="22"/>
          <w:szCs w:val="22"/>
          <w:lang w:val="en-GB"/>
        </w:rPr>
        <w:t>; Irena Reil</w:t>
      </w:r>
      <w:r w:rsidR="00415377" w:rsidRPr="00415377">
        <w:rPr>
          <w:sz w:val="22"/>
          <w:szCs w:val="22"/>
          <w:vertAlign w:val="superscript"/>
          <w:lang w:val="en-GB"/>
        </w:rPr>
        <w:t>1</w:t>
      </w:r>
      <w:r w:rsidR="00352D38">
        <w:rPr>
          <w:sz w:val="22"/>
          <w:szCs w:val="22"/>
          <w:lang w:val="en-GB"/>
        </w:rPr>
        <w:t>;</w:t>
      </w:r>
      <w:r>
        <w:rPr>
          <w:sz w:val="22"/>
          <w:szCs w:val="22"/>
          <w:lang w:val="en-GB"/>
        </w:rPr>
        <w:t xml:space="preserve"> </w:t>
      </w:r>
      <w:r w:rsidRPr="00BC6514">
        <w:rPr>
          <w:sz w:val="22"/>
          <w:szCs w:val="22"/>
          <w:lang w:val="en-GB"/>
        </w:rPr>
        <w:t>Boris Habrun</w:t>
      </w:r>
      <w:r w:rsidRPr="00BC6514">
        <w:rPr>
          <w:sz w:val="22"/>
          <w:szCs w:val="22"/>
          <w:vertAlign w:val="superscript"/>
          <w:lang w:val="en-GB"/>
        </w:rPr>
        <w:t>1</w:t>
      </w:r>
      <w:r w:rsidR="00352D38">
        <w:rPr>
          <w:sz w:val="22"/>
          <w:szCs w:val="22"/>
          <w:lang w:val="en-GB"/>
        </w:rPr>
        <w:t xml:space="preserve">; </w:t>
      </w:r>
      <w:proofErr w:type="spellStart"/>
      <w:r w:rsidRPr="00BC6514">
        <w:rPr>
          <w:sz w:val="22"/>
          <w:szCs w:val="22"/>
          <w:lang w:val="en-GB"/>
        </w:rPr>
        <w:t>Miroslav</w:t>
      </w:r>
      <w:proofErr w:type="spellEnd"/>
      <w:r w:rsidRPr="00BC6514">
        <w:rPr>
          <w:sz w:val="22"/>
          <w:szCs w:val="22"/>
          <w:lang w:val="en-GB"/>
        </w:rPr>
        <w:t xml:space="preserve"> Benic</w:t>
      </w:r>
      <w:r w:rsidRPr="00BC6514">
        <w:rPr>
          <w:sz w:val="22"/>
          <w:szCs w:val="22"/>
          <w:vertAlign w:val="superscript"/>
          <w:lang w:val="en-GB"/>
        </w:rPr>
        <w:t>1</w:t>
      </w:r>
      <w:r w:rsidRPr="00BC6514">
        <w:rPr>
          <w:sz w:val="22"/>
          <w:szCs w:val="22"/>
          <w:lang w:val="en-GB"/>
        </w:rPr>
        <w:t xml:space="preserve">; </w:t>
      </w:r>
      <w:proofErr w:type="spellStart"/>
      <w:r>
        <w:rPr>
          <w:sz w:val="22"/>
          <w:szCs w:val="22"/>
          <w:lang w:val="en-GB"/>
        </w:rPr>
        <w:t>Gordan</w:t>
      </w:r>
      <w:proofErr w:type="spellEnd"/>
      <w:r>
        <w:rPr>
          <w:sz w:val="22"/>
          <w:szCs w:val="22"/>
          <w:lang w:val="en-GB"/>
        </w:rPr>
        <w:t xml:space="preserve"> Kompes</w:t>
      </w:r>
      <w:r w:rsidRPr="00BC6514">
        <w:rPr>
          <w:sz w:val="22"/>
          <w:szCs w:val="22"/>
          <w:vertAlign w:val="superscript"/>
          <w:lang w:val="en-GB"/>
        </w:rPr>
        <w:t>1</w:t>
      </w:r>
    </w:p>
    <w:p w:rsidR="00421060" w:rsidRDefault="00421060" w:rsidP="00514FA9">
      <w:pPr>
        <w:spacing w:line="480" w:lineRule="auto"/>
        <w:jc w:val="both"/>
        <w:rPr>
          <w:sz w:val="22"/>
          <w:szCs w:val="22"/>
          <w:lang w:val="en-GB"/>
        </w:rPr>
      </w:pPr>
      <w:r>
        <w:rPr>
          <w:sz w:val="22"/>
          <w:szCs w:val="22"/>
          <w:lang w:val="en-GB"/>
        </w:rPr>
        <w:t>Scientific paper</w:t>
      </w:r>
    </w:p>
    <w:p w:rsidR="00421060" w:rsidRDefault="00421060" w:rsidP="00514FA9">
      <w:pPr>
        <w:spacing w:line="480" w:lineRule="auto"/>
        <w:jc w:val="center"/>
        <w:rPr>
          <w:b/>
          <w:bCs/>
          <w:sz w:val="22"/>
          <w:szCs w:val="22"/>
          <w:lang w:val="en-GB"/>
        </w:rPr>
      </w:pPr>
      <w:r w:rsidRPr="00BC6514">
        <w:rPr>
          <w:b/>
          <w:bCs/>
          <w:sz w:val="22"/>
          <w:szCs w:val="22"/>
          <w:lang w:val="en-GB"/>
        </w:rPr>
        <w:t>S</w:t>
      </w:r>
      <w:r>
        <w:rPr>
          <w:b/>
          <w:bCs/>
          <w:sz w:val="22"/>
          <w:szCs w:val="22"/>
          <w:lang w:val="en-GB"/>
        </w:rPr>
        <w:t>ummary</w:t>
      </w:r>
    </w:p>
    <w:p w:rsidR="00421060" w:rsidRPr="00700E00" w:rsidRDefault="00421060" w:rsidP="00514FA9">
      <w:pPr>
        <w:spacing w:line="480" w:lineRule="auto"/>
        <w:jc w:val="both"/>
        <w:rPr>
          <w:bCs/>
          <w:sz w:val="22"/>
          <w:szCs w:val="22"/>
          <w:lang w:val="en-GB"/>
        </w:rPr>
      </w:pPr>
      <w:r w:rsidRPr="00376F02">
        <w:rPr>
          <w:bCs/>
          <w:sz w:val="22"/>
          <w:szCs w:val="22"/>
          <w:lang w:val="en-GB"/>
        </w:rPr>
        <w:t xml:space="preserve">In the period from 2009 to 2013, comprehensive </w:t>
      </w:r>
      <w:proofErr w:type="spellStart"/>
      <w:r w:rsidRPr="00376F02">
        <w:rPr>
          <w:bCs/>
          <w:sz w:val="22"/>
          <w:szCs w:val="22"/>
          <w:lang w:val="en-GB"/>
        </w:rPr>
        <w:t>melitococcosis</w:t>
      </w:r>
      <w:proofErr w:type="spellEnd"/>
      <w:r w:rsidRPr="00376F02">
        <w:rPr>
          <w:bCs/>
          <w:sz w:val="22"/>
          <w:szCs w:val="22"/>
          <w:lang w:val="en-GB"/>
        </w:rPr>
        <w:t xml:space="preserve"> testing was conducted in the Republic of Croatia. During the testing, the Rose Bengal test was applied to 344</w:t>
      </w:r>
      <w:r w:rsidR="00E46EB8">
        <w:rPr>
          <w:bCs/>
          <w:sz w:val="22"/>
          <w:szCs w:val="22"/>
          <w:lang w:val="en-GB"/>
        </w:rPr>
        <w:t xml:space="preserve"> </w:t>
      </w:r>
      <w:r w:rsidRPr="00376F02">
        <w:rPr>
          <w:bCs/>
          <w:sz w:val="22"/>
          <w:szCs w:val="22"/>
          <w:lang w:val="en-GB"/>
        </w:rPr>
        <w:t>019 blood samples of sheep and goats, and positive reactions were confirmed in 1143 (0.3%) of samples. The complement fixation test (confirmatory test) was conducted on 43</w:t>
      </w:r>
      <w:r w:rsidR="00E46EB8">
        <w:rPr>
          <w:bCs/>
          <w:sz w:val="22"/>
          <w:szCs w:val="22"/>
          <w:lang w:val="en-GB"/>
        </w:rPr>
        <w:t xml:space="preserve"> </w:t>
      </w:r>
      <w:r w:rsidRPr="00376F02">
        <w:rPr>
          <w:bCs/>
          <w:sz w:val="22"/>
          <w:szCs w:val="22"/>
          <w:lang w:val="en-GB"/>
        </w:rPr>
        <w:t>428 samples, with positive re</w:t>
      </w:r>
      <w:r>
        <w:rPr>
          <w:bCs/>
          <w:sz w:val="22"/>
          <w:szCs w:val="22"/>
          <w:lang w:val="en-GB"/>
        </w:rPr>
        <w:t xml:space="preserve">actions confirmed in 768 (1.8%) </w:t>
      </w:r>
      <w:r w:rsidRPr="00376F02">
        <w:rPr>
          <w:bCs/>
          <w:sz w:val="22"/>
          <w:szCs w:val="22"/>
          <w:lang w:val="en-GB"/>
        </w:rPr>
        <w:t xml:space="preserve">of samples. The organs and tissues of 336 sheep and goats were inspected </w:t>
      </w:r>
      <w:proofErr w:type="spellStart"/>
      <w:r w:rsidRPr="00376F02">
        <w:rPr>
          <w:bCs/>
          <w:sz w:val="22"/>
          <w:szCs w:val="22"/>
          <w:lang w:val="en-GB"/>
        </w:rPr>
        <w:t>bacteriologically</w:t>
      </w:r>
      <w:proofErr w:type="spellEnd"/>
      <w:r w:rsidRPr="00376F02">
        <w:rPr>
          <w:bCs/>
          <w:sz w:val="22"/>
          <w:szCs w:val="22"/>
          <w:lang w:val="en-GB"/>
        </w:rPr>
        <w:t xml:space="preserve">, and </w:t>
      </w:r>
      <w:r w:rsidRPr="00376F02">
        <w:rPr>
          <w:bCs/>
          <w:i/>
          <w:sz w:val="22"/>
          <w:szCs w:val="22"/>
          <w:lang w:val="en-GB"/>
        </w:rPr>
        <w:t>Brucella</w:t>
      </w:r>
      <w:r w:rsidRPr="00376F02">
        <w:rPr>
          <w:bCs/>
          <w:sz w:val="22"/>
          <w:szCs w:val="22"/>
          <w:lang w:val="en-GB"/>
        </w:rPr>
        <w:t xml:space="preserve"> sp. was isolated in 15 (4.5%) of samples. </w:t>
      </w:r>
      <w:proofErr w:type="gramStart"/>
      <w:r w:rsidRPr="00376F02">
        <w:rPr>
          <w:bCs/>
          <w:sz w:val="22"/>
          <w:szCs w:val="22"/>
          <w:lang w:val="en-GB"/>
        </w:rPr>
        <w:t>Bacteriol</w:t>
      </w:r>
      <w:r>
        <w:rPr>
          <w:bCs/>
          <w:sz w:val="22"/>
          <w:szCs w:val="22"/>
          <w:lang w:val="en-GB"/>
        </w:rPr>
        <w:t xml:space="preserve">ogical and molecular techniques </w:t>
      </w:r>
      <w:r>
        <w:rPr>
          <w:sz w:val="22"/>
          <w:szCs w:val="22"/>
          <w:lang w:val="en-GB"/>
        </w:rPr>
        <w:t>(</w:t>
      </w:r>
      <w:proofErr w:type="spellStart"/>
      <w:r>
        <w:rPr>
          <w:sz w:val="22"/>
          <w:szCs w:val="22"/>
          <w:lang w:val="en-GB"/>
        </w:rPr>
        <w:t>Bru</w:t>
      </w:r>
      <w:proofErr w:type="spellEnd"/>
      <w:r>
        <w:rPr>
          <w:bCs/>
          <w:sz w:val="22"/>
          <w:szCs w:val="22"/>
          <w:lang w:val="en-GB"/>
        </w:rPr>
        <w:t xml:space="preserve"> </w:t>
      </w:r>
      <w:r w:rsidRPr="00376F02">
        <w:rPr>
          <w:sz w:val="22"/>
          <w:szCs w:val="22"/>
          <w:lang w:val="en-GB"/>
        </w:rPr>
        <w:t>up/</w:t>
      </w:r>
      <w:proofErr w:type="spellStart"/>
      <w:r w:rsidRPr="00376F02">
        <w:rPr>
          <w:sz w:val="22"/>
          <w:szCs w:val="22"/>
          <w:lang w:val="en-GB"/>
        </w:rPr>
        <w:t>Bru</w:t>
      </w:r>
      <w:proofErr w:type="spellEnd"/>
      <w:r w:rsidRPr="00376F02">
        <w:rPr>
          <w:sz w:val="22"/>
          <w:szCs w:val="22"/>
          <w:lang w:val="en-GB"/>
        </w:rPr>
        <w:t xml:space="preserve">-low and Bruce-Ladder) in isolates proved the presence of </w:t>
      </w:r>
      <w:r w:rsidRPr="00E22B8C">
        <w:rPr>
          <w:i/>
          <w:sz w:val="22"/>
          <w:szCs w:val="22"/>
          <w:lang w:val="en-GB"/>
        </w:rPr>
        <w:t>Brucella melitensis</w:t>
      </w:r>
      <w:r w:rsidRPr="00376F02">
        <w:rPr>
          <w:sz w:val="22"/>
          <w:szCs w:val="22"/>
          <w:lang w:val="en-GB"/>
        </w:rPr>
        <w:t xml:space="preserve"> biovar 3.</w:t>
      </w:r>
      <w:proofErr w:type="gramEnd"/>
    </w:p>
    <w:p w:rsidR="00421060" w:rsidRPr="00376F02" w:rsidRDefault="00421060" w:rsidP="00514FA9">
      <w:pPr>
        <w:spacing w:line="480" w:lineRule="auto"/>
        <w:jc w:val="both"/>
        <w:rPr>
          <w:sz w:val="22"/>
          <w:szCs w:val="22"/>
          <w:lang w:val="en-GB"/>
        </w:rPr>
      </w:pPr>
    </w:p>
    <w:p w:rsidR="00421060" w:rsidRDefault="00421060" w:rsidP="00514FA9">
      <w:pPr>
        <w:spacing w:line="480" w:lineRule="auto"/>
        <w:jc w:val="both"/>
        <w:rPr>
          <w:i/>
          <w:sz w:val="22"/>
          <w:szCs w:val="22"/>
          <w:lang w:val="en-GB"/>
        </w:rPr>
      </w:pPr>
      <w:r w:rsidRPr="00376F02">
        <w:rPr>
          <w:b/>
          <w:sz w:val="22"/>
          <w:szCs w:val="22"/>
          <w:lang w:val="en-GB"/>
        </w:rPr>
        <w:t>Key words:</w:t>
      </w:r>
      <w:r w:rsidRPr="00376F02">
        <w:rPr>
          <w:sz w:val="22"/>
          <w:szCs w:val="22"/>
          <w:lang w:val="en-GB"/>
        </w:rPr>
        <w:t xml:space="preserve"> </w:t>
      </w:r>
      <w:r w:rsidRPr="00254E49">
        <w:rPr>
          <w:i/>
          <w:sz w:val="22"/>
          <w:szCs w:val="22"/>
          <w:lang w:val="en-GB"/>
        </w:rPr>
        <w:t>Brucella melitensis, ruminants, serological and bacteriological tests, Republic of Croatia</w:t>
      </w:r>
    </w:p>
    <w:p w:rsidR="00421060" w:rsidRDefault="00421060" w:rsidP="00514FA9">
      <w:pPr>
        <w:spacing w:line="480" w:lineRule="auto"/>
        <w:jc w:val="center"/>
        <w:rPr>
          <w:b/>
          <w:sz w:val="22"/>
          <w:szCs w:val="22"/>
          <w:lang w:val="en-GB"/>
        </w:rPr>
      </w:pPr>
      <w:r>
        <w:rPr>
          <w:b/>
          <w:sz w:val="22"/>
          <w:szCs w:val="22"/>
          <w:lang w:val="en-GB"/>
        </w:rPr>
        <w:t>INTRODUCTION</w:t>
      </w:r>
    </w:p>
    <w:p w:rsidR="00421060" w:rsidRDefault="00421060" w:rsidP="00514FA9">
      <w:pPr>
        <w:spacing w:line="480" w:lineRule="auto"/>
        <w:jc w:val="both"/>
        <w:rPr>
          <w:sz w:val="22"/>
          <w:szCs w:val="22"/>
          <w:lang w:val="en-GB"/>
        </w:rPr>
      </w:pPr>
      <w:proofErr w:type="spellStart"/>
      <w:r w:rsidRPr="00BC6514">
        <w:rPr>
          <w:sz w:val="22"/>
          <w:szCs w:val="22"/>
          <w:lang w:val="en-GB"/>
        </w:rPr>
        <w:t>Melitococcosis</w:t>
      </w:r>
      <w:proofErr w:type="spellEnd"/>
      <w:r w:rsidRPr="00BC6514">
        <w:rPr>
          <w:sz w:val="22"/>
          <w:szCs w:val="22"/>
          <w:lang w:val="en-GB"/>
        </w:rPr>
        <w:t xml:space="preserve"> or brucellosis is a chronic infectious disease of sheep and goats caused by the species </w:t>
      </w:r>
      <w:r w:rsidRPr="00BC6514">
        <w:rPr>
          <w:i/>
          <w:sz w:val="22"/>
          <w:szCs w:val="22"/>
          <w:lang w:val="en-GB"/>
        </w:rPr>
        <w:t>Brucella</w:t>
      </w:r>
      <w:r w:rsidRPr="00BC6514">
        <w:rPr>
          <w:sz w:val="22"/>
          <w:szCs w:val="22"/>
          <w:lang w:val="en-GB"/>
        </w:rPr>
        <w:t xml:space="preserve"> (</w:t>
      </w:r>
      <w:r w:rsidRPr="00BC6514">
        <w:rPr>
          <w:i/>
          <w:sz w:val="22"/>
          <w:szCs w:val="22"/>
          <w:lang w:val="en-GB"/>
        </w:rPr>
        <w:t>B</w:t>
      </w:r>
      <w:r w:rsidRPr="00BC6514">
        <w:rPr>
          <w:sz w:val="22"/>
          <w:szCs w:val="22"/>
          <w:lang w:val="en-GB"/>
        </w:rPr>
        <w:t xml:space="preserve">.) </w:t>
      </w:r>
      <w:r w:rsidRPr="00BC6514">
        <w:rPr>
          <w:i/>
          <w:sz w:val="22"/>
          <w:szCs w:val="22"/>
          <w:lang w:val="en-GB"/>
        </w:rPr>
        <w:t>melitensis</w:t>
      </w:r>
      <w:r w:rsidRPr="00BC6514">
        <w:rPr>
          <w:sz w:val="22"/>
          <w:szCs w:val="22"/>
          <w:lang w:val="en-GB"/>
        </w:rPr>
        <w:t xml:space="preserve">. It is one of the most widespread </w:t>
      </w:r>
      <w:proofErr w:type="spellStart"/>
      <w:r w:rsidRPr="00BC6514">
        <w:rPr>
          <w:sz w:val="22"/>
          <w:szCs w:val="22"/>
          <w:lang w:val="en-GB"/>
        </w:rPr>
        <w:t>zoonoses</w:t>
      </w:r>
      <w:proofErr w:type="spellEnd"/>
      <w:r w:rsidRPr="00BC6514">
        <w:rPr>
          <w:sz w:val="22"/>
          <w:szCs w:val="22"/>
          <w:lang w:val="en-GB"/>
        </w:rPr>
        <w:t xml:space="preserve"> worldwide. This paper gives an overview of th</w:t>
      </w:r>
      <w:r>
        <w:rPr>
          <w:sz w:val="22"/>
          <w:szCs w:val="22"/>
          <w:lang w:val="en-GB"/>
        </w:rPr>
        <w:t xml:space="preserve">e distribution of </w:t>
      </w:r>
      <w:r w:rsidRPr="00376F02">
        <w:rPr>
          <w:i/>
          <w:sz w:val="22"/>
          <w:szCs w:val="22"/>
          <w:lang w:val="en-GB"/>
        </w:rPr>
        <w:t>Brucella</w:t>
      </w:r>
      <w:r>
        <w:rPr>
          <w:sz w:val="22"/>
          <w:szCs w:val="22"/>
          <w:lang w:val="en-GB"/>
        </w:rPr>
        <w:t xml:space="preserve"> (</w:t>
      </w:r>
      <w:r w:rsidRPr="00376F02">
        <w:rPr>
          <w:i/>
          <w:sz w:val="22"/>
          <w:szCs w:val="22"/>
          <w:lang w:val="en-GB"/>
        </w:rPr>
        <w:t>B</w:t>
      </w:r>
      <w:r>
        <w:rPr>
          <w:sz w:val="22"/>
          <w:szCs w:val="22"/>
          <w:lang w:val="en-GB"/>
        </w:rPr>
        <w:t xml:space="preserve">.) </w:t>
      </w:r>
      <w:r w:rsidRPr="00376F02">
        <w:rPr>
          <w:i/>
          <w:sz w:val="22"/>
          <w:szCs w:val="22"/>
          <w:lang w:val="en-GB"/>
        </w:rPr>
        <w:t>melitensis</w:t>
      </w:r>
      <w:r w:rsidRPr="00BC6514">
        <w:rPr>
          <w:sz w:val="22"/>
          <w:szCs w:val="22"/>
          <w:lang w:val="en-GB"/>
        </w:rPr>
        <w:t xml:space="preserve"> in the Republic of Croatia in the period from 2009 to 2013. Bacteriological and molecular techniques were used to prove and confirm the species </w:t>
      </w:r>
      <w:r w:rsidRPr="00BC6514">
        <w:rPr>
          <w:i/>
          <w:sz w:val="22"/>
          <w:szCs w:val="22"/>
          <w:lang w:val="en-GB"/>
        </w:rPr>
        <w:t>Brucella</w:t>
      </w:r>
      <w:r w:rsidRPr="00BC6514">
        <w:rPr>
          <w:sz w:val="22"/>
          <w:szCs w:val="22"/>
          <w:lang w:val="en-GB"/>
        </w:rPr>
        <w:t xml:space="preserve"> sp.</w:t>
      </w:r>
    </w:p>
    <w:p w:rsidR="00421060" w:rsidRDefault="00514FA9" w:rsidP="00514FA9">
      <w:pPr>
        <w:spacing w:line="480" w:lineRule="auto"/>
        <w:jc w:val="center"/>
        <w:rPr>
          <w:b/>
          <w:sz w:val="22"/>
          <w:szCs w:val="22"/>
          <w:lang w:val="en-GB"/>
        </w:rPr>
      </w:pPr>
      <w:r>
        <w:rPr>
          <w:b/>
          <w:sz w:val="22"/>
          <w:szCs w:val="22"/>
          <w:lang w:val="en-GB"/>
        </w:rPr>
        <w:t>M</w:t>
      </w:r>
      <w:r w:rsidR="00421060">
        <w:rPr>
          <w:b/>
          <w:sz w:val="22"/>
          <w:szCs w:val="22"/>
          <w:lang w:val="en-GB"/>
        </w:rPr>
        <w:t>ATERIAL AND METHODS</w:t>
      </w:r>
    </w:p>
    <w:p w:rsidR="00421060" w:rsidRPr="00415377" w:rsidRDefault="00421060" w:rsidP="00514FA9">
      <w:pPr>
        <w:spacing w:line="480" w:lineRule="auto"/>
        <w:ind w:right="70"/>
        <w:jc w:val="both"/>
        <w:rPr>
          <w:sz w:val="22"/>
          <w:szCs w:val="22"/>
          <w:lang w:val="en-GB"/>
        </w:rPr>
      </w:pPr>
      <w:r w:rsidRPr="00415377">
        <w:rPr>
          <w:sz w:val="22"/>
          <w:szCs w:val="22"/>
          <w:lang w:val="en-GB"/>
        </w:rPr>
        <w:t>In the investigated period from 2</w:t>
      </w:r>
      <w:r w:rsidR="00E46EB8">
        <w:rPr>
          <w:sz w:val="22"/>
          <w:szCs w:val="22"/>
          <w:lang w:val="en-GB"/>
        </w:rPr>
        <w:t xml:space="preserve">009 to 2013, a total of 344 </w:t>
      </w:r>
      <w:r w:rsidRPr="00415377">
        <w:rPr>
          <w:sz w:val="22"/>
          <w:szCs w:val="22"/>
          <w:lang w:val="en-GB"/>
        </w:rPr>
        <w:t>019 blood samples of sheep and goats were tested serologically using the Rose Bengal test (RBT) for brucellosis (</w:t>
      </w:r>
      <w:r w:rsidRPr="00415377">
        <w:rPr>
          <w:i/>
          <w:sz w:val="22"/>
          <w:szCs w:val="22"/>
          <w:lang w:val="en-GB"/>
        </w:rPr>
        <w:t>B. melitensis</w:t>
      </w:r>
      <w:r w:rsidRPr="00415377">
        <w:rPr>
          <w:sz w:val="22"/>
          <w:szCs w:val="22"/>
          <w:lang w:val="en-GB"/>
        </w:rPr>
        <w:t xml:space="preserve">) at the Croatian Veterinary Institute. In addition, 43 428 samples were tested using the </w:t>
      </w:r>
      <w:r w:rsidRPr="00415377">
        <w:rPr>
          <w:bCs/>
          <w:sz w:val="22"/>
          <w:szCs w:val="22"/>
          <w:lang w:val="en-GB"/>
        </w:rPr>
        <w:t xml:space="preserve">complement fixation test </w:t>
      </w:r>
      <w:r w:rsidRPr="00415377">
        <w:rPr>
          <w:sz w:val="22"/>
          <w:szCs w:val="22"/>
          <w:lang w:val="en-GB"/>
        </w:rPr>
        <w:t>(CFT). The blood samples of sheep and goats were collected from the territories of 20 counties and the City of Zagreb. For bacteriological testing were taken lymph nodes, liver, spleen and reproductive organs (uterus and testes) from 336 sheep and goats. Isolates were identified by classical bacteriological and molecular analysis according to OIE Manual 2009.</w:t>
      </w:r>
    </w:p>
    <w:p w:rsidR="00421060" w:rsidRDefault="00421060" w:rsidP="00514FA9">
      <w:pPr>
        <w:spacing w:line="480" w:lineRule="auto"/>
        <w:ind w:right="68"/>
        <w:jc w:val="center"/>
        <w:rPr>
          <w:b/>
          <w:sz w:val="22"/>
          <w:szCs w:val="22"/>
          <w:lang w:val="en-GB"/>
        </w:rPr>
      </w:pPr>
      <w:r>
        <w:rPr>
          <w:b/>
          <w:sz w:val="22"/>
          <w:szCs w:val="22"/>
          <w:lang w:val="en-GB"/>
        </w:rPr>
        <w:t>RESULTS AND DISCUSSION</w:t>
      </w:r>
    </w:p>
    <w:p w:rsidR="00421060" w:rsidRDefault="00421060" w:rsidP="00514FA9">
      <w:pPr>
        <w:spacing w:line="480" w:lineRule="auto"/>
        <w:ind w:right="68"/>
        <w:jc w:val="both"/>
        <w:rPr>
          <w:sz w:val="22"/>
          <w:szCs w:val="22"/>
          <w:lang w:val="en-GB"/>
        </w:rPr>
      </w:pPr>
      <w:r w:rsidRPr="00BC6514">
        <w:rPr>
          <w:sz w:val="22"/>
          <w:szCs w:val="22"/>
          <w:lang w:val="en-GB"/>
        </w:rPr>
        <w:t>During the survey period from 2009 to 2013, the RBT screening test was applied to 344</w:t>
      </w:r>
      <w:r w:rsidR="00E46EB8">
        <w:rPr>
          <w:sz w:val="22"/>
          <w:szCs w:val="22"/>
          <w:lang w:val="en-GB"/>
        </w:rPr>
        <w:t xml:space="preserve"> </w:t>
      </w:r>
      <w:r w:rsidRPr="00BC6514">
        <w:rPr>
          <w:sz w:val="22"/>
          <w:szCs w:val="22"/>
          <w:lang w:val="en-GB"/>
        </w:rPr>
        <w:t>019 blood samples, with positive reactions confirmed in 1143 (0.3%) of blood samples of sheep and goat. The CFT method was used to test 43</w:t>
      </w:r>
      <w:r w:rsidR="00E46EB8">
        <w:rPr>
          <w:sz w:val="22"/>
          <w:szCs w:val="22"/>
          <w:lang w:val="en-GB"/>
        </w:rPr>
        <w:t xml:space="preserve"> </w:t>
      </w:r>
      <w:r w:rsidRPr="00BC6514">
        <w:rPr>
          <w:sz w:val="22"/>
          <w:szCs w:val="22"/>
          <w:lang w:val="en-GB"/>
        </w:rPr>
        <w:t xml:space="preserve">428 samples, with positive reactions confirmed in 768 (1.8%) of </w:t>
      </w:r>
    </w:p>
    <w:p w:rsidR="00421060" w:rsidRDefault="00415377" w:rsidP="00514FA9">
      <w:pPr>
        <w:spacing w:line="480" w:lineRule="auto"/>
        <w:jc w:val="both"/>
        <w:rPr>
          <w:sz w:val="16"/>
          <w:szCs w:val="16"/>
          <w:vertAlign w:val="superscript"/>
          <w:lang w:val="en-GB"/>
        </w:rPr>
      </w:pPr>
      <w:proofErr w:type="gramStart"/>
      <w:r w:rsidRPr="00BC6514">
        <w:rPr>
          <w:sz w:val="22"/>
          <w:szCs w:val="22"/>
          <w:lang w:val="en-GB"/>
        </w:rPr>
        <w:t>blood</w:t>
      </w:r>
      <w:proofErr w:type="gramEnd"/>
      <w:r w:rsidRPr="00BC6514">
        <w:rPr>
          <w:sz w:val="22"/>
          <w:szCs w:val="22"/>
          <w:lang w:val="en-GB"/>
        </w:rPr>
        <w:t xml:space="preserve"> samples. Organ and tissues samples of 336 sheep and goats were examined </w:t>
      </w:r>
      <w:proofErr w:type="spellStart"/>
      <w:r w:rsidRPr="00BC6514">
        <w:rPr>
          <w:sz w:val="22"/>
          <w:szCs w:val="22"/>
          <w:lang w:val="en-GB"/>
        </w:rPr>
        <w:t>bacteriologically</w:t>
      </w:r>
      <w:proofErr w:type="spellEnd"/>
      <w:r w:rsidRPr="00BC6514">
        <w:rPr>
          <w:sz w:val="22"/>
          <w:szCs w:val="22"/>
          <w:lang w:val="en-GB"/>
        </w:rPr>
        <w:t>, and brucellosis was isolated in 15 (4.5%) of samples.</w:t>
      </w:r>
      <w:r>
        <w:rPr>
          <w:sz w:val="22"/>
          <w:szCs w:val="22"/>
          <w:lang w:val="en-GB"/>
        </w:rPr>
        <w:t xml:space="preserve">  </w:t>
      </w:r>
      <w:r w:rsidRPr="00BC6514">
        <w:rPr>
          <w:sz w:val="22"/>
          <w:szCs w:val="22"/>
          <w:lang w:val="en-GB"/>
        </w:rPr>
        <w:t>All 15 isolates obtained from sheep, goats and</w:t>
      </w:r>
      <w:r w:rsidR="00BB7578">
        <w:rPr>
          <w:sz w:val="22"/>
          <w:szCs w:val="22"/>
          <w:lang w:val="en-GB"/>
        </w:rPr>
        <w:t xml:space="preserve"> </w:t>
      </w:r>
    </w:p>
    <w:p w:rsidR="00415377" w:rsidRDefault="00421060" w:rsidP="00514FA9">
      <w:pPr>
        <w:spacing w:line="480" w:lineRule="auto"/>
        <w:jc w:val="both"/>
        <w:rPr>
          <w:bCs/>
          <w:sz w:val="22"/>
          <w:szCs w:val="22"/>
          <w:lang w:val="en-GB"/>
        </w:rPr>
      </w:pPr>
      <w:r w:rsidRPr="00BC6514">
        <w:rPr>
          <w:sz w:val="22"/>
          <w:szCs w:val="22"/>
          <w:lang w:val="en-GB"/>
        </w:rPr>
        <w:t xml:space="preserve">one bovine sample were proven to belong to the genus </w:t>
      </w:r>
      <w:r w:rsidRPr="00BC6514">
        <w:rPr>
          <w:i/>
          <w:sz w:val="22"/>
          <w:szCs w:val="22"/>
          <w:lang w:val="en-GB"/>
        </w:rPr>
        <w:t>Brucella</w:t>
      </w:r>
      <w:r w:rsidRPr="00BC6514">
        <w:rPr>
          <w:sz w:val="22"/>
          <w:szCs w:val="22"/>
          <w:lang w:val="en-GB"/>
        </w:rPr>
        <w:t xml:space="preserve"> sp.,</w:t>
      </w:r>
      <w:r>
        <w:rPr>
          <w:sz w:val="22"/>
          <w:szCs w:val="22"/>
          <w:lang w:val="en-GB"/>
        </w:rPr>
        <w:t xml:space="preserve"> </w:t>
      </w:r>
      <w:r w:rsidRPr="00BC6514">
        <w:rPr>
          <w:sz w:val="22"/>
          <w:szCs w:val="22"/>
          <w:lang w:val="en-GB"/>
        </w:rPr>
        <w:t>the Bruce</w:t>
      </w:r>
      <w:r>
        <w:rPr>
          <w:sz w:val="22"/>
          <w:szCs w:val="22"/>
          <w:lang w:val="en-GB"/>
        </w:rPr>
        <w:t>-L</w:t>
      </w:r>
      <w:r w:rsidRPr="00BC6514">
        <w:rPr>
          <w:sz w:val="22"/>
          <w:szCs w:val="22"/>
          <w:lang w:val="en-GB"/>
        </w:rPr>
        <w:t>adder test, a multiplex</w:t>
      </w:r>
      <w:r>
        <w:rPr>
          <w:sz w:val="22"/>
          <w:szCs w:val="22"/>
          <w:lang w:val="en-GB"/>
        </w:rPr>
        <w:t xml:space="preserve"> </w:t>
      </w:r>
      <w:r w:rsidRPr="00BC6514">
        <w:rPr>
          <w:sz w:val="22"/>
          <w:szCs w:val="22"/>
          <w:lang w:val="en-GB"/>
        </w:rPr>
        <w:t xml:space="preserve">PCR assay with eight primers, was used to confirm that all 15 isolates belonged to the species </w:t>
      </w:r>
      <w:r w:rsidRPr="00BC6514">
        <w:rPr>
          <w:i/>
          <w:sz w:val="22"/>
          <w:szCs w:val="22"/>
          <w:lang w:val="en-GB"/>
        </w:rPr>
        <w:t>B.</w:t>
      </w:r>
      <w:r>
        <w:rPr>
          <w:sz w:val="22"/>
          <w:szCs w:val="22"/>
          <w:lang w:val="en-GB"/>
        </w:rPr>
        <w:t xml:space="preserve"> </w:t>
      </w:r>
      <w:r w:rsidRPr="00BC6514">
        <w:rPr>
          <w:i/>
          <w:sz w:val="22"/>
          <w:szCs w:val="22"/>
          <w:lang w:val="en-GB"/>
        </w:rPr>
        <w:t>melitensis</w:t>
      </w:r>
      <w:r w:rsidRPr="00BC6514">
        <w:rPr>
          <w:sz w:val="22"/>
          <w:szCs w:val="22"/>
          <w:lang w:val="en-GB"/>
        </w:rPr>
        <w:t>.</w:t>
      </w:r>
    </w:p>
    <w:p w:rsidR="00685E75" w:rsidRPr="00415377" w:rsidRDefault="00685E75" w:rsidP="00514FA9">
      <w:pPr>
        <w:spacing w:line="480" w:lineRule="auto"/>
        <w:jc w:val="both"/>
        <w:rPr>
          <w:bCs/>
          <w:sz w:val="22"/>
          <w:szCs w:val="22"/>
          <w:lang w:val="en-GB"/>
        </w:rPr>
      </w:pPr>
      <w:r w:rsidRPr="00685E75">
        <w:rPr>
          <w:bCs/>
          <w:sz w:val="22"/>
          <w:szCs w:val="22"/>
          <w:lang w:val="en-GB"/>
        </w:rPr>
        <w:t xml:space="preserve">Every country has their own legislation on the control of the disease, trade in livestock, marking, etc, and all of these regulations are more or less based on the legislation of the European Union. However, the strategy to eradicate the disease differs between countries, based largely on the situation with brucellosis in the country, the opportunities and other socio-political and financial circumstances that are important for the implementation of comprehensive measures to control and eradicate brucellosis. There are constant threats, including the fact that it is always possible the disease will emerge in a country resulting from a reduction in supervision due to an underestimation of the incidence of the disease. Terminations of programs to vaccinate sheep and goats result in flare ups of the disease, as do </w:t>
      </w:r>
      <w:r w:rsidRPr="00685E75">
        <w:rPr>
          <w:bCs/>
          <w:sz w:val="22"/>
          <w:szCs w:val="22"/>
          <w:lang w:val="en-GB"/>
        </w:rPr>
        <w:lastRenderedPageBreak/>
        <w:t xml:space="preserve">weak border controls and imports of infected animals into disease-free countries. Ultimately, wild ruminants also represent sources of brucellosis. For example, France has officially been a brucellosis-free country in ruminants since </w:t>
      </w:r>
      <w:proofErr w:type="gramStart"/>
      <w:r w:rsidRPr="00685E75">
        <w:rPr>
          <w:bCs/>
          <w:sz w:val="22"/>
          <w:szCs w:val="22"/>
          <w:lang w:val="en-GB"/>
        </w:rPr>
        <w:t>2005,</w:t>
      </w:r>
      <w:proofErr w:type="gramEnd"/>
      <w:r w:rsidRPr="00685E75">
        <w:rPr>
          <w:bCs/>
          <w:sz w:val="22"/>
          <w:szCs w:val="22"/>
          <w:lang w:val="en-GB"/>
        </w:rPr>
        <w:t xml:space="preserve"> however, brucellosis caused by the species </w:t>
      </w:r>
      <w:r w:rsidRPr="00685E75">
        <w:rPr>
          <w:i/>
          <w:sz w:val="22"/>
          <w:szCs w:val="22"/>
          <w:lang w:val="en-GB"/>
        </w:rPr>
        <w:t>B. melitensis</w:t>
      </w:r>
      <w:r w:rsidRPr="00685E75">
        <w:rPr>
          <w:sz w:val="22"/>
          <w:szCs w:val="22"/>
          <w:lang w:val="en-GB"/>
        </w:rPr>
        <w:t xml:space="preserve"> was proven in alpine ibex (</w:t>
      </w:r>
      <w:r w:rsidRPr="00685E75">
        <w:rPr>
          <w:i/>
          <w:sz w:val="22"/>
          <w:szCs w:val="22"/>
          <w:lang w:val="en-GB"/>
        </w:rPr>
        <w:t>Capra ibex</w:t>
      </w:r>
      <w:r w:rsidRPr="00685E75">
        <w:rPr>
          <w:sz w:val="22"/>
          <w:szCs w:val="22"/>
          <w:lang w:val="en-GB"/>
        </w:rPr>
        <w:t>) in the French alps. Subsequent research and molecular testing proved that the strain in humans and goats and domesticated ruminants was identical to that in the ibex</w:t>
      </w:r>
      <w:r w:rsidR="006C60E5">
        <w:rPr>
          <w:sz w:val="22"/>
          <w:szCs w:val="22"/>
          <w:lang w:val="en-GB"/>
        </w:rPr>
        <w:t>.</w:t>
      </w:r>
    </w:p>
    <w:p w:rsidR="00415377" w:rsidRPr="00415377" w:rsidRDefault="00415377" w:rsidP="00514FA9">
      <w:pPr>
        <w:spacing w:line="480" w:lineRule="auto"/>
        <w:jc w:val="center"/>
        <w:rPr>
          <w:b/>
          <w:sz w:val="22"/>
          <w:szCs w:val="22"/>
          <w:lang w:val="en-GB"/>
        </w:rPr>
      </w:pPr>
      <w:r w:rsidRPr="00415377">
        <w:rPr>
          <w:b/>
          <w:sz w:val="22"/>
          <w:szCs w:val="22"/>
          <w:lang w:val="en-GB"/>
        </w:rPr>
        <w:t>CONCLUSIONS</w:t>
      </w:r>
    </w:p>
    <w:p w:rsidR="00685E75" w:rsidRPr="00685E75" w:rsidRDefault="00685E75" w:rsidP="00514FA9">
      <w:pPr>
        <w:spacing w:line="480" w:lineRule="auto"/>
        <w:jc w:val="both"/>
        <w:rPr>
          <w:bCs/>
          <w:sz w:val="22"/>
          <w:szCs w:val="22"/>
          <w:lang w:val="en-GB"/>
        </w:rPr>
      </w:pPr>
      <w:r w:rsidRPr="00685E75">
        <w:rPr>
          <w:bCs/>
          <w:sz w:val="22"/>
          <w:szCs w:val="22"/>
          <w:lang w:val="en-GB"/>
        </w:rPr>
        <w:t xml:space="preserve">Based on this survey, it can be concluded that Croatia has a favourable situation with regard to the infection of humans with </w:t>
      </w:r>
      <w:r w:rsidRPr="00685E75">
        <w:rPr>
          <w:bCs/>
          <w:i/>
          <w:sz w:val="22"/>
          <w:szCs w:val="22"/>
          <w:lang w:val="en-GB"/>
        </w:rPr>
        <w:t>B. melitensis</w:t>
      </w:r>
      <w:r w:rsidRPr="00685E75">
        <w:rPr>
          <w:bCs/>
          <w:sz w:val="22"/>
          <w:szCs w:val="22"/>
          <w:lang w:val="en-GB"/>
        </w:rPr>
        <w:t xml:space="preserve">, although there is the ongoing threat of the entry of infections from the territory of </w:t>
      </w:r>
      <w:proofErr w:type="spellStart"/>
      <w:r w:rsidRPr="00685E75">
        <w:rPr>
          <w:bCs/>
          <w:sz w:val="22"/>
          <w:szCs w:val="22"/>
          <w:lang w:val="en-GB"/>
        </w:rPr>
        <w:t>BiH</w:t>
      </w:r>
      <w:proofErr w:type="spellEnd"/>
      <w:r w:rsidRPr="00685E75">
        <w:rPr>
          <w:bCs/>
          <w:sz w:val="22"/>
          <w:szCs w:val="22"/>
          <w:lang w:val="en-GB"/>
        </w:rPr>
        <w:t xml:space="preserve"> into Croatia, which has been proven in this study. The appropriate strategies have proven to be </w:t>
      </w:r>
      <w:proofErr w:type="gramStart"/>
      <w:r w:rsidRPr="00685E75">
        <w:rPr>
          <w:bCs/>
          <w:sz w:val="22"/>
          <w:szCs w:val="22"/>
          <w:lang w:val="en-GB"/>
        </w:rPr>
        <w:t>efficient,</w:t>
      </w:r>
      <w:proofErr w:type="gramEnd"/>
      <w:r w:rsidRPr="00685E75">
        <w:rPr>
          <w:bCs/>
          <w:sz w:val="22"/>
          <w:szCs w:val="22"/>
          <w:lang w:val="en-GB"/>
        </w:rPr>
        <w:t xml:space="preserve"> and constant supervision and control of the disease is mandatory even in disease-free regions, and also in the Republic of Croatia.</w:t>
      </w:r>
    </w:p>
    <w:p w:rsidR="00685E75" w:rsidRPr="00BC6514" w:rsidRDefault="00685E75" w:rsidP="00514FA9">
      <w:pPr>
        <w:spacing w:line="480" w:lineRule="auto"/>
        <w:jc w:val="both"/>
        <w:rPr>
          <w:b/>
          <w:sz w:val="22"/>
          <w:szCs w:val="22"/>
          <w:lang w:val="en-GB"/>
        </w:rPr>
      </w:pPr>
    </w:p>
    <w:p w:rsidR="0091081A" w:rsidRDefault="00087BC0" w:rsidP="00514FA9">
      <w:pPr>
        <w:spacing w:before="240" w:after="240" w:line="480" w:lineRule="auto"/>
        <w:jc w:val="both"/>
        <w:rPr>
          <w:sz w:val="22"/>
          <w:szCs w:val="22"/>
        </w:rPr>
      </w:pPr>
      <w:r>
        <w:rPr>
          <w:noProof/>
        </w:rPr>
        <w:drawing>
          <wp:inline distT="0" distB="0" distL="0" distR="0">
            <wp:extent cx="4075612" cy="2717074"/>
            <wp:effectExtent l="19050" t="0" r="1088" b="0"/>
            <wp:docPr id="6" name="Picture 1" descr="DSC0150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07a.jpg"/>
                    <pic:cNvPicPr/>
                  </pic:nvPicPr>
                  <pic:blipFill>
                    <a:blip r:embed="rId7" cstate="print"/>
                    <a:stretch>
                      <a:fillRect/>
                    </a:stretch>
                  </pic:blipFill>
                  <pic:spPr>
                    <a:xfrm>
                      <a:off x="0" y="0"/>
                      <a:ext cx="4075612" cy="2717074"/>
                    </a:xfrm>
                    <a:prstGeom prst="rect">
                      <a:avLst/>
                    </a:prstGeom>
                  </pic:spPr>
                </pic:pic>
              </a:graphicData>
            </a:graphic>
          </wp:inline>
        </w:drawing>
      </w:r>
    </w:p>
    <w:p w:rsidR="0091081A" w:rsidRDefault="00087BC0" w:rsidP="00514FA9">
      <w:pPr>
        <w:spacing w:before="240" w:after="240" w:line="480" w:lineRule="auto"/>
        <w:jc w:val="both"/>
        <w:rPr>
          <w:sz w:val="22"/>
          <w:szCs w:val="22"/>
        </w:rPr>
      </w:pPr>
      <w:r>
        <w:rPr>
          <w:sz w:val="22"/>
          <w:szCs w:val="22"/>
        </w:rPr>
        <w:t>Picture 1. Rose Bengal test showing positive sample</w:t>
      </w:r>
    </w:p>
    <w:p w:rsidR="0091081A" w:rsidRDefault="0091081A" w:rsidP="00514FA9">
      <w:pPr>
        <w:pStyle w:val="Header"/>
        <w:spacing w:line="480" w:lineRule="auto"/>
      </w:pPr>
      <w:r>
        <w:rPr>
          <w:noProof/>
        </w:rPr>
        <w:lastRenderedPageBreak/>
        <w:drawing>
          <wp:inline distT="0" distB="0" distL="0" distR="0">
            <wp:extent cx="4381500" cy="3300169"/>
            <wp:effectExtent l="19050" t="0" r="0" b="0"/>
            <wp:docPr id="1" name="Picture 0" descr="P1016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6379.JPG"/>
                    <pic:cNvPicPr/>
                  </pic:nvPicPr>
                  <pic:blipFill>
                    <a:blip r:embed="rId8" cstate="print"/>
                    <a:stretch>
                      <a:fillRect/>
                    </a:stretch>
                  </pic:blipFill>
                  <pic:spPr>
                    <a:xfrm>
                      <a:off x="0" y="0"/>
                      <a:ext cx="4387168" cy="3304438"/>
                    </a:xfrm>
                    <a:prstGeom prst="rect">
                      <a:avLst/>
                    </a:prstGeom>
                  </pic:spPr>
                </pic:pic>
              </a:graphicData>
            </a:graphic>
          </wp:inline>
        </w:drawing>
      </w:r>
    </w:p>
    <w:p w:rsidR="00C5635C" w:rsidRDefault="0091081A" w:rsidP="00514FA9">
      <w:pPr>
        <w:pStyle w:val="Header"/>
        <w:spacing w:line="480" w:lineRule="auto"/>
        <w:rPr>
          <w:bCs/>
          <w:sz w:val="22"/>
          <w:szCs w:val="22"/>
          <w:lang w:val="en-GB"/>
        </w:rPr>
      </w:pPr>
      <w:r>
        <w:t xml:space="preserve">Picture </w:t>
      </w:r>
      <w:r w:rsidR="00087BC0">
        <w:t>2</w:t>
      </w:r>
      <w:r>
        <w:t xml:space="preserve">. </w:t>
      </w:r>
      <w:r>
        <w:rPr>
          <w:bCs/>
          <w:sz w:val="22"/>
          <w:szCs w:val="22"/>
          <w:lang w:val="en-GB"/>
        </w:rPr>
        <w:t>C</w:t>
      </w:r>
      <w:r w:rsidRPr="00376F02">
        <w:rPr>
          <w:bCs/>
          <w:sz w:val="22"/>
          <w:szCs w:val="22"/>
          <w:lang w:val="en-GB"/>
        </w:rPr>
        <w:t>omplement fixation test</w:t>
      </w:r>
      <w:r w:rsidR="00C5635C">
        <w:rPr>
          <w:bCs/>
          <w:sz w:val="22"/>
          <w:szCs w:val="22"/>
          <w:lang w:val="en-GB"/>
        </w:rPr>
        <w:t xml:space="preserve"> (Line A – positive control; Line B – negative control, </w:t>
      </w:r>
    </w:p>
    <w:p w:rsidR="0091081A" w:rsidRDefault="00C5635C" w:rsidP="00514FA9">
      <w:pPr>
        <w:pStyle w:val="Header"/>
        <w:spacing w:line="480" w:lineRule="auto"/>
        <w:ind w:left="993"/>
        <w:rPr>
          <w:bCs/>
          <w:sz w:val="22"/>
          <w:szCs w:val="22"/>
          <w:lang w:val="en-GB"/>
        </w:rPr>
      </w:pPr>
      <w:r>
        <w:rPr>
          <w:bCs/>
          <w:sz w:val="22"/>
          <w:szCs w:val="22"/>
          <w:lang w:val="en-GB"/>
        </w:rPr>
        <w:t>Line C – F – positive samples)</w:t>
      </w:r>
    </w:p>
    <w:p w:rsidR="00514FA9" w:rsidRDefault="00514FA9" w:rsidP="00514FA9">
      <w:pPr>
        <w:pStyle w:val="Header"/>
        <w:spacing w:line="480" w:lineRule="auto"/>
        <w:ind w:left="993"/>
        <w:rPr>
          <w:bCs/>
          <w:sz w:val="22"/>
          <w:szCs w:val="22"/>
          <w:lang w:val="en-GB"/>
        </w:rPr>
      </w:pPr>
    </w:p>
    <w:p w:rsidR="00087BC0" w:rsidRDefault="00EA0D63" w:rsidP="00514FA9">
      <w:pPr>
        <w:pStyle w:val="Header"/>
        <w:spacing w:line="480" w:lineRule="auto"/>
        <w:ind w:left="851" w:hanging="851"/>
        <w:rPr>
          <w:bCs/>
          <w:sz w:val="22"/>
          <w:szCs w:val="22"/>
          <w:lang w:val="en-GB"/>
        </w:rPr>
      </w:pPr>
      <w:r>
        <w:rPr>
          <w:bCs/>
          <w:noProof/>
          <w:sz w:val="22"/>
          <w:szCs w:val="22"/>
        </w:rPr>
        <w:drawing>
          <wp:inline distT="0" distB="0" distL="0" distR="0">
            <wp:extent cx="5760720" cy="2004060"/>
            <wp:effectExtent l="19050" t="0" r="0" b="0"/>
            <wp:docPr id="3" name="Picture 2" descr="Slika melit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melitensis.jpg"/>
                    <pic:cNvPicPr/>
                  </pic:nvPicPr>
                  <pic:blipFill>
                    <a:blip r:embed="rId9" cstate="print"/>
                    <a:stretch>
                      <a:fillRect/>
                    </a:stretch>
                  </pic:blipFill>
                  <pic:spPr>
                    <a:xfrm>
                      <a:off x="0" y="0"/>
                      <a:ext cx="5760720" cy="2004060"/>
                    </a:xfrm>
                    <a:prstGeom prst="rect">
                      <a:avLst/>
                    </a:prstGeom>
                  </pic:spPr>
                </pic:pic>
              </a:graphicData>
            </a:graphic>
          </wp:inline>
        </w:drawing>
      </w:r>
    </w:p>
    <w:p w:rsidR="007B62DE" w:rsidRDefault="007B62DE" w:rsidP="00514FA9">
      <w:pPr>
        <w:pStyle w:val="Header"/>
        <w:spacing w:line="480" w:lineRule="auto"/>
        <w:ind w:left="851" w:hanging="851"/>
        <w:rPr>
          <w:bCs/>
          <w:sz w:val="22"/>
          <w:szCs w:val="22"/>
          <w:lang w:val="en-GB"/>
        </w:rPr>
      </w:pPr>
      <w:proofErr w:type="gramStart"/>
      <w:r>
        <w:rPr>
          <w:bCs/>
          <w:sz w:val="22"/>
          <w:szCs w:val="22"/>
          <w:lang w:val="en-GB"/>
        </w:rPr>
        <w:t xml:space="preserve">Picture </w:t>
      </w:r>
      <w:r w:rsidR="00087BC0">
        <w:rPr>
          <w:bCs/>
          <w:sz w:val="22"/>
          <w:szCs w:val="22"/>
          <w:lang w:val="en-GB"/>
        </w:rPr>
        <w:t>3</w:t>
      </w:r>
      <w:r>
        <w:rPr>
          <w:bCs/>
          <w:sz w:val="22"/>
          <w:szCs w:val="22"/>
          <w:lang w:val="en-GB"/>
        </w:rPr>
        <w:t>.</w:t>
      </w:r>
      <w:proofErr w:type="gramEnd"/>
      <w:r>
        <w:rPr>
          <w:bCs/>
          <w:sz w:val="22"/>
          <w:szCs w:val="22"/>
          <w:lang w:val="en-GB"/>
        </w:rPr>
        <w:t xml:space="preserve"> </w:t>
      </w:r>
      <w:r w:rsidR="00087BC0">
        <w:rPr>
          <w:bCs/>
          <w:sz w:val="22"/>
          <w:szCs w:val="22"/>
          <w:lang w:val="en-GB"/>
        </w:rPr>
        <w:t xml:space="preserve">Bruce – Ladder </w:t>
      </w:r>
      <w:r w:rsidR="00EA0D63">
        <w:rPr>
          <w:bCs/>
          <w:sz w:val="22"/>
          <w:szCs w:val="22"/>
          <w:lang w:val="en-GB"/>
        </w:rPr>
        <w:t>F2</w:t>
      </w:r>
      <w:r>
        <w:rPr>
          <w:bCs/>
          <w:sz w:val="22"/>
          <w:szCs w:val="22"/>
          <w:lang w:val="en-GB"/>
        </w:rPr>
        <w:t xml:space="preserve"> – </w:t>
      </w:r>
      <w:r w:rsidR="00EA0D63">
        <w:rPr>
          <w:bCs/>
          <w:sz w:val="22"/>
          <w:szCs w:val="22"/>
          <w:lang w:val="en-GB"/>
        </w:rPr>
        <w:t>F10</w:t>
      </w:r>
      <w:r>
        <w:rPr>
          <w:bCs/>
          <w:sz w:val="22"/>
          <w:szCs w:val="22"/>
          <w:lang w:val="en-GB"/>
        </w:rPr>
        <w:t xml:space="preserve"> – positive samples; </w:t>
      </w:r>
      <w:r w:rsidR="00EA0D63">
        <w:rPr>
          <w:bCs/>
          <w:sz w:val="22"/>
          <w:szCs w:val="22"/>
          <w:lang w:val="en-GB"/>
        </w:rPr>
        <w:t>G</w:t>
      </w:r>
      <w:r>
        <w:rPr>
          <w:bCs/>
          <w:sz w:val="22"/>
          <w:szCs w:val="22"/>
          <w:lang w:val="en-GB"/>
        </w:rPr>
        <w:t xml:space="preserve">7 – </w:t>
      </w:r>
      <w:r w:rsidRPr="007B62DE">
        <w:rPr>
          <w:bCs/>
          <w:i/>
          <w:sz w:val="22"/>
          <w:szCs w:val="22"/>
          <w:lang w:val="en-GB"/>
        </w:rPr>
        <w:t>Brucella abortus</w:t>
      </w:r>
      <w:r>
        <w:rPr>
          <w:bCs/>
          <w:sz w:val="22"/>
          <w:szCs w:val="22"/>
          <w:lang w:val="en-GB"/>
        </w:rPr>
        <w:t xml:space="preserve"> PK (positive control); </w:t>
      </w:r>
      <w:r w:rsidR="00087BC0">
        <w:rPr>
          <w:bCs/>
          <w:sz w:val="22"/>
          <w:szCs w:val="22"/>
          <w:lang w:val="en-GB"/>
        </w:rPr>
        <w:t xml:space="preserve"> </w:t>
      </w:r>
      <w:r w:rsidR="00EA0D63">
        <w:rPr>
          <w:bCs/>
          <w:sz w:val="22"/>
          <w:szCs w:val="22"/>
          <w:lang w:val="en-GB"/>
        </w:rPr>
        <w:t>G</w:t>
      </w:r>
      <w:r>
        <w:rPr>
          <w:bCs/>
          <w:sz w:val="22"/>
          <w:szCs w:val="22"/>
          <w:lang w:val="en-GB"/>
        </w:rPr>
        <w:t xml:space="preserve">8 – </w:t>
      </w:r>
      <w:r w:rsidR="00087BC0">
        <w:rPr>
          <w:bCs/>
          <w:i/>
          <w:sz w:val="22"/>
          <w:szCs w:val="22"/>
          <w:lang w:val="en-GB"/>
        </w:rPr>
        <w:t xml:space="preserve">Brucella </w:t>
      </w:r>
      <w:r w:rsidRPr="007B62DE">
        <w:rPr>
          <w:bCs/>
          <w:i/>
          <w:sz w:val="22"/>
          <w:szCs w:val="22"/>
          <w:lang w:val="en-GB"/>
        </w:rPr>
        <w:t>melitensis</w:t>
      </w:r>
      <w:r>
        <w:rPr>
          <w:bCs/>
          <w:sz w:val="22"/>
          <w:szCs w:val="22"/>
          <w:lang w:val="en-GB"/>
        </w:rPr>
        <w:t xml:space="preserve"> PK; </w:t>
      </w:r>
      <w:r w:rsidR="00EA0D63">
        <w:rPr>
          <w:bCs/>
          <w:sz w:val="22"/>
          <w:szCs w:val="22"/>
          <w:lang w:val="en-GB"/>
        </w:rPr>
        <w:t>G</w:t>
      </w:r>
      <w:r>
        <w:rPr>
          <w:bCs/>
          <w:sz w:val="22"/>
          <w:szCs w:val="22"/>
          <w:lang w:val="en-GB"/>
        </w:rPr>
        <w:t xml:space="preserve">9 – </w:t>
      </w:r>
      <w:r w:rsidRPr="007B62DE">
        <w:rPr>
          <w:bCs/>
          <w:i/>
          <w:sz w:val="22"/>
          <w:szCs w:val="22"/>
          <w:lang w:val="en-GB"/>
        </w:rPr>
        <w:t xml:space="preserve">Brucella </w:t>
      </w:r>
      <w:proofErr w:type="spellStart"/>
      <w:r w:rsidRPr="007B62DE">
        <w:rPr>
          <w:bCs/>
          <w:i/>
          <w:sz w:val="22"/>
          <w:szCs w:val="22"/>
          <w:lang w:val="en-GB"/>
        </w:rPr>
        <w:t>ovis</w:t>
      </w:r>
      <w:proofErr w:type="spellEnd"/>
      <w:r>
        <w:rPr>
          <w:bCs/>
          <w:sz w:val="22"/>
          <w:szCs w:val="22"/>
          <w:lang w:val="en-GB"/>
        </w:rPr>
        <w:t xml:space="preserve"> PK; </w:t>
      </w:r>
      <w:r w:rsidR="00EA0D63">
        <w:rPr>
          <w:bCs/>
          <w:sz w:val="22"/>
          <w:szCs w:val="22"/>
          <w:lang w:val="en-GB"/>
        </w:rPr>
        <w:t>G</w:t>
      </w:r>
      <w:r>
        <w:rPr>
          <w:bCs/>
          <w:sz w:val="22"/>
          <w:szCs w:val="22"/>
          <w:lang w:val="en-GB"/>
        </w:rPr>
        <w:t xml:space="preserve">10 – </w:t>
      </w:r>
      <w:r w:rsidRPr="007B62DE">
        <w:rPr>
          <w:bCs/>
          <w:i/>
          <w:sz w:val="22"/>
          <w:szCs w:val="22"/>
          <w:lang w:val="en-GB"/>
        </w:rPr>
        <w:t>Brucella suis</w:t>
      </w:r>
      <w:r>
        <w:rPr>
          <w:bCs/>
          <w:sz w:val="22"/>
          <w:szCs w:val="22"/>
          <w:lang w:val="en-GB"/>
        </w:rPr>
        <w:t xml:space="preserve"> PK</w:t>
      </w:r>
      <w:r w:rsidR="00EA0D63">
        <w:rPr>
          <w:bCs/>
          <w:sz w:val="22"/>
          <w:szCs w:val="22"/>
          <w:lang w:val="en-GB"/>
        </w:rPr>
        <w:t>; G11 –</w:t>
      </w:r>
      <w:r w:rsidR="00116758" w:rsidRPr="00116758">
        <w:rPr>
          <w:bCs/>
          <w:i/>
          <w:sz w:val="22"/>
          <w:szCs w:val="22"/>
          <w:lang w:val="en-GB"/>
        </w:rPr>
        <w:t xml:space="preserve"> </w:t>
      </w:r>
      <w:r w:rsidR="00087BC0">
        <w:rPr>
          <w:bCs/>
          <w:i/>
          <w:sz w:val="22"/>
          <w:szCs w:val="22"/>
          <w:lang w:val="en-GB"/>
        </w:rPr>
        <w:t xml:space="preserve">Brucella </w:t>
      </w:r>
      <w:r w:rsidR="00116758" w:rsidRPr="007B62DE">
        <w:rPr>
          <w:bCs/>
          <w:i/>
          <w:sz w:val="22"/>
          <w:szCs w:val="22"/>
          <w:lang w:val="en-GB"/>
        </w:rPr>
        <w:t>melitensis</w:t>
      </w:r>
      <w:r w:rsidR="00EA0D63">
        <w:rPr>
          <w:bCs/>
          <w:sz w:val="22"/>
          <w:szCs w:val="22"/>
          <w:lang w:val="en-GB"/>
        </w:rPr>
        <w:t xml:space="preserve"> Rev1</w:t>
      </w:r>
    </w:p>
    <w:sectPr w:rsidR="007B62DE" w:rsidSect="005F52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6AD" w:rsidRDefault="005336AD" w:rsidP="0091081A">
      <w:r>
        <w:separator/>
      </w:r>
    </w:p>
  </w:endnote>
  <w:endnote w:type="continuationSeparator" w:id="0">
    <w:p w:rsidR="005336AD" w:rsidRDefault="005336AD" w:rsidP="00910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6AD" w:rsidRDefault="005336AD" w:rsidP="0091081A">
      <w:r>
        <w:separator/>
      </w:r>
    </w:p>
  </w:footnote>
  <w:footnote w:type="continuationSeparator" w:id="0">
    <w:p w:rsidR="005336AD" w:rsidRDefault="005336AD" w:rsidP="00910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496"/>
    <w:multiLevelType w:val="hybridMultilevel"/>
    <w:tmpl w:val="8F065E08"/>
    <w:lvl w:ilvl="0" w:tplc="264E094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3EA2"/>
    <w:rsid w:val="00003EA2"/>
    <w:rsid w:val="00027CD4"/>
    <w:rsid w:val="00074D5B"/>
    <w:rsid w:val="00087BC0"/>
    <w:rsid w:val="000A35D7"/>
    <w:rsid w:val="000A38D0"/>
    <w:rsid w:val="00116758"/>
    <w:rsid w:val="002035D1"/>
    <w:rsid w:val="00254E49"/>
    <w:rsid w:val="00352D38"/>
    <w:rsid w:val="00376F02"/>
    <w:rsid w:val="004007DA"/>
    <w:rsid w:val="00415377"/>
    <w:rsid w:val="00421060"/>
    <w:rsid w:val="00491243"/>
    <w:rsid w:val="004E55A0"/>
    <w:rsid w:val="00514FA9"/>
    <w:rsid w:val="005336AD"/>
    <w:rsid w:val="00554B4F"/>
    <w:rsid w:val="005E5828"/>
    <w:rsid w:val="005F5217"/>
    <w:rsid w:val="00684D01"/>
    <w:rsid w:val="00685E75"/>
    <w:rsid w:val="006C60E5"/>
    <w:rsid w:val="007B62DE"/>
    <w:rsid w:val="00817CEB"/>
    <w:rsid w:val="00837CD3"/>
    <w:rsid w:val="0091081A"/>
    <w:rsid w:val="009856F0"/>
    <w:rsid w:val="009A5ECF"/>
    <w:rsid w:val="00A80609"/>
    <w:rsid w:val="00A90E85"/>
    <w:rsid w:val="00BB372C"/>
    <w:rsid w:val="00BB7578"/>
    <w:rsid w:val="00BC6514"/>
    <w:rsid w:val="00C0531A"/>
    <w:rsid w:val="00C5635C"/>
    <w:rsid w:val="00CC60E6"/>
    <w:rsid w:val="00CF4E76"/>
    <w:rsid w:val="00CF73D0"/>
    <w:rsid w:val="00DE392A"/>
    <w:rsid w:val="00DE680D"/>
    <w:rsid w:val="00E46EB8"/>
    <w:rsid w:val="00EA0D63"/>
    <w:rsid w:val="00EB6FA9"/>
    <w:rsid w:val="00ED396B"/>
    <w:rsid w:val="00F70D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A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003EA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003EA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EA2"/>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003EA2"/>
    <w:rPr>
      <w:rFonts w:ascii="Cambria" w:eastAsia="Times New Roman" w:hAnsi="Cambria" w:cs="Times New Roman"/>
      <w:b/>
      <w:bCs/>
      <w:sz w:val="26"/>
      <w:szCs w:val="26"/>
      <w:lang w:eastAsia="hr-HR"/>
    </w:rPr>
  </w:style>
  <w:style w:type="character" w:styleId="Hyperlink">
    <w:name w:val="Hyperlink"/>
    <w:basedOn w:val="DefaultParagraphFont"/>
    <w:uiPriority w:val="99"/>
    <w:unhideWhenUsed/>
    <w:rsid w:val="00003EA2"/>
    <w:rPr>
      <w:color w:val="0000FF"/>
      <w:u w:val="single"/>
    </w:rPr>
  </w:style>
  <w:style w:type="character" w:customStyle="1" w:styleId="citation">
    <w:name w:val="citation"/>
    <w:basedOn w:val="DefaultParagraphFont"/>
    <w:rsid w:val="00003EA2"/>
  </w:style>
  <w:style w:type="character" w:styleId="Emphasis">
    <w:name w:val="Emphasis"/>
    <w:basedOn w:val="DefaultParagraphFont"/>
    <w:uiPriority w:val="20"/>
    <w:qFormat/>
    <w:rsid w:val="00003EA2"/>
    <w:rPr>
      <w:i/>
      <w:iCs/>
    </w:rPr>
  </w:style>
  <w:style w:type="character" w:customStyle="1" w:styleId="ref-journal">
    <w:name w:val="ref-journal"/>
    <w:basedOn w:val="DefaultParagraphFont"/>
    <w:rsid w:val="00003EA2"/>
  </w:style>
  <w:style w:type="character" w:customStyle="1" w:styleId="ref-vol">
    <w:name w:val="ref-vol"/>
    <w:basedOn w:val="DefaultParagraphFont"/>
    <w:rsid w:val="00003EA2"/>
  </w:style>
  <w:style w:type="character" w:customStyle="1" w:styleId="citationstartpage">
    <w:name w:val="citation_start_page"/>
    <w:basedOn w:val="DefaultParagraphFont"/>
    <w:rsid w:val="00003EA2"/>
  </w:style>
  <w:style w:type="paragraph" w:styleId="BalloonText">
    <w:name w:val="Balloon Text"/>
    <w:basedOn w:val="Normal"/>
    <w:link w:val="BalloonTextChar"/>
    <w:uiPriority w:val="99"/>
    <w:semiHidden/>
    <w:unhideWhenUsed/>
    <w:rsid w:val="00003EA2"/>
    <w:rPr>
      <w:rFonts w:ascii="Tahoma" w:hAnsi="Tahoma" w:cs="Tahoma"/>
      <w:sz w:val="16"/>
      <w:szCs w:val="16"/>
    </w:rPr>
  </w:style>
  <w:style w:type="character" w:customStyle="1" w:styleId="BalloonTextChar">
    <w:name w:val="Balloon Text Char"/>
    <w:basedOn w:val="DefaultParagraphFont"/>
    <w:link w:val="BalloonText"/>
    <w:uiPriority w:val="99"/>
    <w:semiHidden/>
    <w:rsid w:val="00003EA2"/>
    <w:rPr>
      <w:rFonts w:ascii="Tahoma" w:eastAsia="Times New Roman" w:hAnsi="Tahoma" w:cs="Tahoma"/>
      <w:sz w:val="16"/>
      <w:szCs w:val="16"/>
      <w:lang w:eastAsia="hr-HR"/>
    </w:rPr>
  </w:style>
  <w:style w:type="paragraph" w:styleId="Header">
    <w:name w:val="header"/>
    <w:basedOn w:val="Normal"/>
    <w:link w:val="HeaderChar"/>
    <w:uiPriority w:val="99"/>
    <w:semiHidden/>
    <w:unhideWhenUsed/>
    <w:rsid w:val="0091081A"/>
    <w:pPr>
      <w:tabs>
        <w:tab w:val="center" w:pos="4536"/>
        <w:tab w:val="right" w:pos="9072"/>
      </w:tabs>
    </w:pPr>
  </w:style>
  <w:style w:type="character" w:customStyle="1" w:styleId="HeaderChar">
    <w:name w:val="Header Char"/>
    <w:basedOn w:val="DefaultParagraphFont"/>
    <w:link w:val="Header"/>
    <w:uiPriority w:val="99"/>
    <w:semiHidden/>
    <w:rsid w:val="0091081A"/>
    <w:rPr>
      <w:rFonts w:ascii="Times New Roman" w:eastAsia="Times New Roman" w:hAnsi="Times New Roman" w:cs="Times New Roman"/>
      <w:sz w:val="24"/>
      <w:szCs w:val="24"/>
      <w:lang w:eastAsia="hr-HR"/>
    </w:rPr>
  </w:style>
  <w:style w:type="paragraph" w:styleId="Footer">
    <w:name w:val="footer"/>
    <w:basedOn w:val="Normal"/>
    <w:link w:val="FooterChar"/>
    <w:uiPriority w:val="99"/>
    <w:semiHidden/>
    <w:unhideWhenUsed/>
    <w:rsid w:val="0091081A"/>
    <w:pPr>
      <w:tabs>
        <w:tab w:val="center" w:pos="4536"/>
        <w:tab w:val="right" w:pos="9072"/>
      </w:tabs>
    </w:pPr>
  </w:style>
  <w:style w:type="character" w:customStyle="1" w:styleId="FooterChar">
    <w:name w:val="Footer Char"/>
    <w:basedOn w:val="DefaultParagraphFont"/>
    <w:link w:val="Footer"/>
    <w:uiPriority w:val="99"/>
    <w:semiHidden/>
    <w:rsid w:val="0091081A"/>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4</Pages>
  <Words>756</Words>
  <Characters>4312</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Cvetnic</dc:creator>
  <cp:lastModifiedBy>Duvnjak</cp:lastModifiedBy>
  <cp:revision>15</cp:revision>
  <dcterms:created xsi:type="dcterms:W3CDTF">2015-07-17T05:58:00Z</dcterms:created>
  <dcterms:modified xsi:type="dcterms:W3CDTF">2015-10-17T08:08:00Z</dcterms:modified>
</cp:coreProperties>
</file>